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8A442">
      <w:pPr>
        <w:tabs>
          <w:tab w:val="left" w:pos="5760"/>
          <w:tab w:val="left" w:pos="6300"/>
        </w:tabs>
        <w:kinsoku w:val="0"/>
        <w:overflowPunct w:val="0"/>
        <w:autoSpaceDE w:val="0"/>
        <w:autoSpaceDN w:val="0"/>
        <w:spacing w:line="360" w:lineRule="auto"/>
        <w:jc w:val="left"/>
        <w:textAlignment w:val="baseline"/>
        <w:rPr>
          <w:rFonts w:ascii="Times New Roman" w:hAnsi="Times New Roman"/>
          <w:sz w:val="44"/>
          <w:szCs w:val="44"/>
        </w:rPr>
      </w:pPr>
      <w:r>
        <w:rPr>
          <w:rFonts w:ascii="Times New Roman" w:hAnsi="Times New Roman"/>
          <w:sz w:val="44"/>
          <w:szCs w:val="44"/>
        </w:rPr>
        <w:tab/>
      </w:r>
    </w:p>
    <w:p w14:paraId="1AE053D0">
      <w:pPr>
        <w:pStyle w:val="16"/>
        <w:rPr>
          <w:rFonts w:ascii="Times New Roman" w:hAnsi="Times New Roman"/>
          <w:sz w:val="44"/>
          <w:szCs w:val="44"/>
        </w:rPr>
      </w:pPr>
    </w:p>
    <w:p w14:paraId="35EC1E47">
      <w:pPr>
        <w:pStyle w:val="16"/>
        <w:rPr>
          <w:rFonts w:ascii="Times New Roman" w:hAnsi="Times New Roman"/>
          <w:sz w:val="44"/>
          <w:szCs w:val="44"/>
        </w:rPr>
      </w:pPr>
    </w:p>
    <w:p w14:paraId="6B7539AB">
      <w:pPr>
        <w:pStyle w:val="16"/>
        <w:rPr>
          <w:rFonts w:hint="eastAsia" w:ascii="Times New Roman" w:hAnsi="Times New Roman"/>
          <w:sz w:val="44"/>
          <w:szCs w:val="44"/>
        </w:rPr>
      </w:pPr>
    </w:p>
    <w:p w14:paraId="5D7A2D4D">
      <w:pPr>
        <w:kinsoku w:val="0"/>
        <w:overflowPunct w:val="0"/>
        <w:autoSpaceDE w:val="0"/>
        <w:autoSpaceDN w:val="0"/>
        <w:spacing w:line="360" w:lineRule="auto"/>
        <w:jc w:val="center"/>
        <w:textAlignment w:val="baseline"/>
        <w:rPr>
          <w:rFonts w:hint="eastAsia" w:ascii="Times New Roman" w:hAnsi="Times New Roman"/>
          <w:b/>
          <w:sz w:val="52"/>
          <w:szCs w:val="52"/>
        </w:rPr>
      </w:pPr>
      <w:r>
        <w:rPr>
          <w:rFonts w:hint="eastAsia" w:ascii="Times New Roman" w:hAnsi="Times New Roman"/>
          <w:b/>
          <w:sz w:val="52"/>
          <w:szCs w:val="52"/>
        </w:rPr>
        <w:t>南通市第三人民医院</w:t>
      </w:r>
    </w:p>
    <w:p w14:paraId="199F4174">
      <w:pPr>
        <w:kinsoku w:val="0"/>
        <w:overflowPunct w:val="0"/>
        <w:autoSpaceDE w:val="0"/>
        <w:autoSpaceDN w:val="0"/>
        <w:spacing w:line="360" w:lineRule="auto"/>
        <w:jc w:val="center"/>
        <w:textAlignment w:val="baseline"/>
        <w:rPr>
          <w:rFonts w:hint="eastAsia" w:ascii="Times New Roman" w:hAnsi="Times New Roman"/>
          <w:b/>
          <w:sz w:val="52"/>
          <w:szCs w:val="52"/>
        </w:rPr>
      </w:pPr>
      <w:r>
        <w:rPr>
          <w:rFonts w:hint="eastAsia" w:ascii="Times New Roman" w:hAnsi="Times New Roman"/>
          <w:b/>
          <w:sz w:val="52"/>
          <w:szCs w:val="52"/>
          <w:lang w:eastAsia="zh-CN"/>
        </w:rPr>
        <w:t>病理科细胞室及包埋室通风系统改造项目</w:t>
      </w:r>
    </w:p>
    <w:p w14:paraId="462124DC">
      <w:pPr>
        <w:pStyle w:val="2"/>
        <w:rPr>
          <w:rFonts w:hint="eastAsia" w:ascii="Times New Roman" w:hAnsi="Times New Roman"/>
        </w:rPr>
      </w:pPr>
    </w:p>
    <w:p w14:paraId="1537CB7C">
      <w:pPr>
        <w:pStyle w:val="2"/>
        <w:kinsoku w:val="0"/>
        <w:overflowPunct w:val="0"/>
        <w:autoSpaceDE w:val="0"/>
        <w:autoSpaceDN w:val="0"/>
        <w:spacing w:after="0" w:line="360" w:lineRule="auto"/>
        <w:ind w:left="0" w:leftChars="0"/>
        <w:rPr>
          <w:rFonts w:hint="eastAsia" w:ascii="Times New Roman" w:hAnsi="Times New Roman"/>
        </w:rPr>
      </w:pPr>
    </w:p>
    <w:p w14:paraId="0A73A913">
      <w:pPr>
        <w:pStyle w:val="2"/>
        <w:kinsoku w:val="0"/>
        <w:overflowPunct w:val="0"/>
        <w:autoSpaceDE w:val="0"/>
        <w:autoSpaceDN w:val="0"/>
        <w:spacing w:after="0" w:line="360" w:lineRule="auto"/>
        <w:ind w:left="0" w:leftChars="0"/>
        <w:rPr>
          <w:rFonts w:hint="eastAsia" w:ascii="Times New Roman" w:hAnsi="Times New Roman"/>
        </w:rPr>
      </w:pPr>
    </w:p>
    <w:p w14:paraId="2F2DB6F6">
      <w:pPr>
        <w:pStyle w:val="2"/>
        <w:kinsoku w:val="0"/>
        <w:overflowPunct w:val="0"/>
        <w:autoSpaceDE w:val="0"/>
        <w:autoSpaceDN w:val="0"/>
        <w:spacing w:after="0" w:line="360" w:lineRule="auto"/>
        <w:ind w:left="0" w:leftChars="0"/>
        <w:rPr>
          <w:rFonts w:hint="eastAsia" w:ascii="Times New Roman" w:hAnsi="Times New Roman"/>
        </w:rPr>
      </w:pPr>
    </w:p>
    <w:p w14:paraId="1EC843A7">
      <w:pPr>
        <w:pStyle w:val="2"/>
        <w:kinsoku w:val="0"/>
        <w:overflowPunct w:val="0"/>
        <w:autoSpaceDE w:val="0"/>
        <w:autoSpaceDN w:val="0"/>
        <w:spacing w:after="0" w:line="360" w:lineRule="auto"/>
        <w:ind w:left="0" w:leftChars="0"/>
        <w:rPr>
          <w:rFonts w:hint="eastAsia" w:ascii="Times New Roman" w:hAnsi="Times New Roman"/>
        </w:rPr>
      </w:pPr>
    </w:p>
    <w:p w14:paraId="5E4CC8F3">
      <w:pPr>
        <w:kinsoku w:val="0"/>
        <w:overflowPunct w:val="0"/>
        <w:autoSpaceDE w:val="0"/>
        <w:autoSpaceDN w:val="0"/>
        <w:spacing w:line="360" w:lineRule="auto"/>
        <w:jc w:val="center"/>
        <w:textAlignment w:val="baseline"/>
        <w:rPr>
          <w:rFonts w:ascii="Times New Roman" w:hAnsi="Times New Roman"/>
          <w:b/>
          <w:sz w:val="72"/>
          <w:szCs w:val="56"/>
        </w:rPr>
      </w:pPr>
      <w:r>
        <w:rPr>
          <w:rFonts w:hint="eastAsia" w:ascii="Times New Roman" w:hAnsi="Times New Roman"/>
          <w:b/>
          <w:sz w:val="72"/>
          <w:szCs w:val="56"/>
          <w:lang w:eastAsia="zh-CN"/>
        </w:rPr>
        <w:t>院内比选</w:t>
      </w:r>
      <w:r>
        <w:rPr>
          <w:rFonts w:ascii="Times New Roman" w:hAnsi="Times New Roman"/>
          <w:b/>
          <w:sz w:val="72"/>
          <w:szCs w:val="56"/>
        </w:rPr>
        <w:t>文件</w:t>
      </w:r>
    </w:p>
    <w:p w14:paraId="4F19F718">
      <w:pPr>
        <w:kinsoku w:val="0"/>
        <w:overflowPunct w:val="0"/>
        <w:autoSpaceDE w:val="0"/>
        <w:autoSpaceDN w:val="0"/>
        <w:spacing w:line="360" w:lineRule="auto"/>
        <w:jc w:val="center"/>
        <w:textAlignment w:val="baseline"/>
        <w:rPr>
          <w:rFonts w:ascii="Times New Roman" w:hAnsi="Times New Roman"/>
          <w:b/>
          <w:sz w:val="36"/>
        </w:rPr>
      </w:pPr>
    </w:p>
    <w:p w14:paraId="785626C2">
      <w:pPr>
        <w:pStyle w:val="2"/>
        <w:rPr>
          <w:rFonts w:ascii="Times New Roman" w:hAnsi="Times New Roman"/>
          <w:b/>
          <w:sz w:val="36"/>
        </w:rPr>
      </w:pPr>
    </w:p>
    <w:p w14:paraId="217D4A96">
      <w:pPr>
        <w:pStyle w:val="2"/>
        <w:rPr>
          <w:rFonts w:ascii="Times New Roman" w:hAnsi="Times New Roman"/>
          <w:b/>
          <w:sz w:val="36"/>
        </w:rPr>
      </w:pPr>
    </w:p>
    <w:p w14:paraId="7345E4D0">
      <w:pPr>
        <w:kinsoku w:val="0"/>
        <w:overflowPunct w:val="0"/>
        <w:autoSpaceDE w:val="0"/>
        <w:autoSpaceDN w:val="0"/>
        <w:spacing w:line="360" w:lineRule="auto"/>
        <w:textAlignment w:val="baseline"/>
        <w:rPr>
          <w:rFonts w:hint="eastAsia" w:ascii="Times New Roman" w:hAnsi="Times New Roman"/>
          <w:b/>
          <w:sz w:val="36"/>
        </w:rPr>
      </w:pPr>
    </w:p>
    <w:p w14:paraId="11E40A6A">
      <w:pPr>
        <w:pStyle w:val="16"/>
        <w:rPr>
          <w:rFonts w:hint="eastAsia" w:ascii="Times New Roman" w:hAnsi="Times New Roman"/>
          <w:b/>
          <w:sz w:val="36"/>
        </w:rPr>
      </w:pPr>
    </w:p>
    <w:p w14:paraId="74D21FEE">
      <w:pPr>
        <w:pStyle w:val="16"/>
        <w:rPr>
          <w:rFonts w:hint="eastAsia" w:ascii="Times New Roman" w:hAnsi="Times New Roman"/>
          <w:b/>
          <w:sz w:val="36"/>
        </w:rPr>
      </w:pPr>
    </w:p>
    <w:p w14:paraId="59350F14">
      <w:pPr>
        <w:kinsoku w:val="0"/>
        <w:overflowPunct w:val="0"/>
        <w:autoSpaceDE w:val="0"/>
        <w:autoSpaceDN w:val="0"/>
        <w:spacing w:line="360" w:lineRule="auto"/>
        <w:jc w:val="center"/>
        <w:textAlignment w:val="baseline"/>
        <w:rPr>
          <w:rFonts w:ascii="Times New Roman" w:hAnsi="Times New Roman" w:cs="宋体"/>
          <w:b/>
          <w:sz w:val="30"/>
          <w:szCs w:val="30"/>
        </w:rPr>
      </w:pPr>
    </w:p>
    <w:p w14:paraId="2AAD28C6">
      <w:pPr>
        <w:kinsoku w:val="0"/>
        <w:overflowPunct w:val="0"/>
        <w:autoSpaceDE w:val="0"/>
        <w:autoSpaceDN w:val="0"/>
        <w:spacing w:line="360" w:lineRule="auto"/>
        <w:jc w:val="center"/>
        <w:textAlignment w:val="baseline"/>
        <w:rPr>
          <w:rFonts w:ascii="Times New Roman" w:hAnsi="Times New Roman" w:cs="宋体"/>
          <w:b/>
          <w:sz w:val="32"/>
          <w:szCs w:val="32"/>
        </w:rPr>
      </w:pPr>
      <w:r>
        <w:rPr>
          <w:rFonts w:hint="eastAsia" w:ascii="Times New Roman" w:hAnsi="Times New Roman" w:cs="宋体"/>
          <w:b/>
          <w:sz w:val="32"/>
          <w:szCs w:val="32"/>
        </w:rPr>
        <w:t>采购单位：南通市第三人民医院</w:t>
      </w:r>
    </w:p>
    <w:p w14:paraId="750A4B6D">
      <w:pPr>
        <w:kinsoku w:val="0"/>
        <w:overflowPunct w:val="0"/>
        <w:autoSpaceDE w:val="0"/>
        <w:autoSpaceDN w:val="0"/>
        <w:spacing w:line="360" w:lineRule="auto"/>
        <w:jc w:val="center"/>
        <w:textAlignment w:val="baseline"/>
        <w:rPr>
          <w:rFonts w:ascii="Times New Roman" w:hAnsi="Times New Roman" w:cs="宋体"/>
          <w:b/>
          <w:sz w:val="30"/>
          <w:szCs w:val="30"/>
          <w:highlight w:val="none"/>
        </w:rPr>
      </w:pPr>
      <w:r>
        <w:rPr>
          <w:rFonts w:hint="eastAsia" w:ascii="Times New Roman" w:hAnsi="Times New Roman" w:cs="宋体"/>
          <w:b/>
          <w:sz w:val="32"/>
          <w:szCs w:val="32"/>
          <w:highlight w:val="none"/>
        </w:rPr>
        <w:t>202</w:t>
      </w:r>
      <w:r>
        <w:rPr>
          <w:rFonts w:hint="eastAsia" w:ascii="Times New Roman" w:hAnsi="Times New Roman" w:cs="宋体"/>
          <w:b/>
          <w:sz w:val="32"/>
          <w:szCs w:val="32"/>
          <w:highlight w:val="none"/>
          <w:lang w:val="en-US" w:eastAsia="zh-CN"/>
        </w:rPr>
        <w:t>6</w:t>
      </w:r>
      <w:r>
        <w:rPr>
          <w:rFonts w:hint="eastAsia" w:ascii="Times New Roman" w:hAnsi="Times New Roman" w:cs="宋体"/>
          <w:b/>
          <w:sz w:val="32"/>
          <w:szCs w:val="32"/>
          <w:highlight w:val="none"/>
        </w:rPr>
        <w:t>年</w:t>
      </w:r>
      <w:r>
        <w:rPr>
          <w:rFonts w:hint="eastAsia" w:ascii="Times New Roman" w:hAnsi="Times New Roman" w:cs="宋体"/>
          <w:b/>
          <w:sz w:val="32"/>
          <w:szCs w:val="32"/>
          <w:highlight w:val="none"/>
          <w:lang w:val="en-US" w:eastAsia="zh-CN"/>
        </w:rPr>
        <w:t>5</w:t>
      </w:r>
      <w:r>
        <w:rPr>
          <w:rFonts w:hint="eastAsia" w:ascii="Times New Roman" w:hAnsi="Times New Roman" w:cs="宋体"/>
          <w:b/>
          <w:sz w:val="32"/>
          <w:szCs w:val="32"/>
          <w:highlight w:val="none"/>
        </w:rPr>
        <w:t>月</w:t>
      </w:r>
    </w:p>
    <w:p w14:paraId="309026CA">
      <w:pPr>
        <w:kinsoku w:val="0"/>
        <w:overflowPunct w:val="0"/>
        <w:autoSpaceDE w:val="0"/>
        <w:autoSpaceDN w:val="0"/>
        <w:spacing w:line="360" w:lineRule="auto"/>
        <w:jc w:val="center"/>
        <w:rPr>
          <w:rFonts w:ascii="Times New Roman" w:hAnsi="Times New Roman" w:cs="宋体"/>
          <w:b/>
          <w:sz w:val="24"/>
          <w:szCs w:val="24"/>
        </w:rPr>
      </w:pPr>
      <w:r>
        <w:rPr>
          <w:rFonts w:ascii="Times New Roman" w:hAnsi="Times New Roman" w:cs="宋体"/>
          <w:b/>
          <w:sz w:val="24"/>
          <w:szCs w:val="24"/>
        </w:rPr>
        <w:br w:type="page"/>
      </w:r>
      <w:r>
        <w:rPr>
          <w:rFonts w:hint="eastAsia" w:ascii="Times New Roman" w:hAnsi="Times New Roman"/>
          <w:b/>
          <w:sz w:val="44"/>
          <w:szCs w:val="44"/>
        </w:rPr>
        <w:t>目  录</w:t>
      </w:r>
    </w:p>
    <w:p w14:paraId="4670ED56">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b/>
          <w:bCs/>
          <w:sz w:val="36"/>
          <w:szCs w:val="36"/>
        </w:rPr>
        <w:fldChar w:fldCharType="begin"/>
      </w:r>
      <w:r>
        <w:rPr>
          <w:rFonts w:ascii="Times New Roman" w:hAnsi="Times New Roman"/>
          <w:b/>
          <w:bCs/>
          <w:sz w:val="36"/>
          <w:szCs w:val="36"/>
        </w:rPr>
        <w:instrText xml:space="preserve"> TOC \o "1-1" </w:instrText>
      </w:r>
      <w:r>
        <w:rPr>
          <w:rFonts w:ascii="Times New Roman" w:hAnsi="Times New Roman"/>
          <w:b/>
          <w:bCs/>
          <w:sz w:val="36"/>
          <w:szCs w:val="36"/>
        </w:rPr>
        <w:fldChar w:fldCharType="separate"/>
      </w:r>
      <w:r>
        <w:rPr>
          <w:rFonts w:ascii="Times New Roman" w:hAnsi="Times New Roman"/>
          <w:sz w:val="32"/>
          <w:szCs w:val="32"/>
        </w:rPr>
        <w:t xml:space="preserve">第一章 </w:t>
      </w:r>
      <w:r>
        <w:rPr>
          <w:rFonts w:hint="eastAsia" w:ascii="Times New Roman" w:hAnsi="Times New Roman"/>
          <w:sz w:val="32"/>
          <w:szCs w:val="32"/>
          <w:lang w:eastAsia="zh-CN"/>
        </w:rPr>
        <w:t>比选</w:t>
      </w:r>
      <w:r>
        <w:rPr>
          <w:rFonts w:hint="eastAsia" w:ascii="Times New Roman" w:hAnsi="Times New Roman"/>
          <w:sz w:val="32"/>
          <w:szCs w:val="32"/>
        </w:rPr>
        <w:t>公告</w:t>
      </w:r>
    </w:p>
    <w:p w14:paraId="5E2E023D">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 xml:space="preserve">第二章 </w:t>
      </w:r>
      <w:r>
        <w:rPr>
          <w:rFonts w:hint="eastAsia" w:ascii="Times New Roman" w:hAnsi="Times New Roman"/>
          <w:sz w:val="32"/>
          <w:szCs w:val="32"/>
        </w:rPr>
        <w:t>供应商</w:t>
      </w:r>
      <w:r>
        <w:rPr>
          <w:rFonts w:ascii="Times New Roman" w:hAnsi="Times New Roman"/>
          <w:sz w:val="32"/>
          <w:szCs w:val="32"/>
        </w:rPr>
        <w:t>须知</w:t>
      </w:r>
    </w:p>
    <w:p w14:paraId="555232FF">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第三章 项目需求</w:t>
      </w:r>
    </w:p>
    <w:p w14:paraId="5C0670DF">
      <w:pPr>
        <w:tabs>
          <w:tab w:val="right" w:leader="dot" w:pos="9528"/>
        </w:tabs>
        <w:kinsoku w:val="0"/>
        <w:overflowPunct w:val="0"/>
        <w:autoSpaceDE w:val="0"/>
        <w:autoSpaceDN w:val="0"/>
        <w:adjustRightInd w:val="0"/>
        <w:spacing w:line="360" w:lineRule="auto"/>
        <w:textAlignment w:val="baseline"/>
        <w:rPr>
          <w:rFonts w:ascii="Times New Roman" w:hAnsi="Times New Roman" w:eastAsia="宋体"/>
          <w:sz w:val="32"/>
          <w:szCs w:val="32"/>
        </w:rPr>
      </w:pPr>
      <w:r>
        <w:rPr>
          <w:rFonts w:ascii="Times New Roman" w:hAnsi="Times New Roman"/>
          <w:sz w:val="32"/>
          <w:szCs w:val="32"/>
        </w:rPr>
        <w:t>第</w:t>
      </w:r>
      <w:r>
        <w:rPr>
          <w:rFonts w:hint="eastAsia" w:ascii="Times New Roman" w:hAnsi="Times New Roman"/>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14:paraId="141431B5">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第五章 合同授予</w:t>
      </w:r>
    </w:p>
    <w:p w14:paraId="24F68A6D">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第六章 质疑与投诉</w:t>
      </w:r>
    </w:p>
    <w:p w14:paraId="0F4F0C62">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第七章 投标响应文件组成及格式</w:t>
      </w:r>
    </w:p>
    <w:p w14:paraId="35E50F5B">
      <w:pPr>
        <w:kinsoku w:val="0"/>
        <w:overflowPunct w:val="0"/>
        <w:autoSpaceDE w:val="0"/>
        <w:autoSpaceDN w:val="0"/>
        <w:spacing w:line="360" w:lineRule="auto"/>
        <w:rPr>
          <w:rFonts w:ascii="Times New Roman" w:hAnsi="Times New Roman" w:cs="宋体"/>
          <w:b/>
          <w:sz w:val="24"/>
          <w:szCs w:val="24"/>
        </w:rPr>
      </w:pPr>
      <w:r>
        <w:rPr>
          <w:rFonts w:ascii="Times New Roman" w:hAnsi="Times New Roman"/>
          <w:b/>
          <w:bCs/>
          <w:sz w:val="36"/>
          <w:szCs w:val="36"/>
        </w:rPr>
        <w:fldChar w:fldCharType="end"/>
      </w:r>
    </w:p>
    <w:p w14:paraId="772E2AD6">
      <w:pPr>
        <w:pStyle w:val="4"/>
        <w:keepNext w:val="0"/>
        <w:keepLines w:val="0"/>
        <w:tabs>
          <w:tab w:val="left" w:pos="255"/>
          <w:tab w:val="center" w:pos="4696"/>
        </w:tabs>
        <w:kinsoku w:val="0"/>
        <w:overflowPunct w:val="0"/>
        <w:autoSpaceDE w:val="0"/>
        <w:autoSpaceDN w:val="0"/>
        <w:spacing w:before="0" w:after="0" w:line="360" w:lineRule="auto"/>
        <w:jc w:val="center"/>
        <w:textAlignment w:val="baseline"/>
        <w:rPr>
          <w:rFonts w:ascii="Times New Roman" w:hAnsi="Times New Roman" w:eastAsia="宋体"/>
          <w:w w:val="80"/>
          <w:sz w:val="48"/>
          <w:szCs w:val="44"/>
        </w:rPr>
      </w:pPr>
      <w:r>
        <w:rPr>
          <w:rFonts w:ascii="Times New Roman" w:hAnsi="Times New Roman" w:eastAsia="宋体"/>
          <w:w w:val="80"/>
          <w:sz w:val="48"/>
          <w:szCs w:val="44"/>
        </w:rPr>
        <w:br w:type="page"/>
      </w:r>
      <w:r>
        <w:rPr>
          <w:rFonts w:hint="eastAsia" w:ascii="Times New Roman" w:hAnsi="Times New Roman" w:eastAsia="宋体"/>
          <w:w w:val="80"/>
          <w:sz w:val="48"/>
          <w:szCs w:val="44"/>
        </w:rPr>
        <w:t xml:space="preserve">第一章 </w:t>
      </w:r>
      <w:r>
        <w:rPr>
          <w:rFonts w:hint="eastAsia" w:ascii="Times New Roman" w:hAnsi="Times New Roman" w:eastAsia="宋体"/>
          <w:w w:val="80"/>
          <w:sz w:val="48"/>
          <w:szCs w:val="44"/>
          <w:lang w:eastAsia="zh-CN"/>
        </w:rPr>
        <w:t>比选</w:t>
      </w:r>
      <w:r>
        <w:rPr>
          <w:rFonts w:hint="eastAsia" w:ascii="Times New Roman" w:hAnsi="Times New Roman" w:eastAsia="宋体"/>
          <w:w w:val="80"/>
          <w:sz w:val="48"/>
          <w:szCs w:val="44"/>
        </w:rPr>
        <w:t>公告</w:t>
      </w:r>
    </w:p>
    <w:p w14:paraId="08E72B99">
      <w:pPr>
        <w:pBdr>
          <w:top w:val="single" w:color="auto" w:sz="4" w:space="1"/>
          <w:left w:val="single" w:color="auto" w:sz="4" w:space="4"/>
          <w:bottom w:val="single" w:color="auto" w:sz="4" w:space="1"/>
          <w:right w:val="single" w:color="auto" w:sz="4" w:space="4"/>
        </w:pBdr>
        <w:kinsoku w:val="0"/>
        <w:overflowPunct w:val="0"/>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项目概况</w:t>
      </w:r>
    </w:p>
    <w:p w14:paraId="4EDFC8D8">
      <w:pPr>
        <w:pBdr>
          <w:top w:val="single" w:color="auto" w:sz="4" w:space="1"/>
          <w:left w:val="single" w:color="auto" w:sz="4" w:space="4"/>
          <w:bottom w:val="single" w:color="auto" w:sz="4" w:space="1"/>
          <w:right w:val="single" w:color="auto" w:sz="4" w:space="4"/>
        </w:pBdr>
        <w:kinsoku w:val="0"/>
        <w:overflowPunct w:val="0"/>
        <w:autoSpaceDE w:val="0"/>
        <w:autoSpaceDN w:val="0"/>
        <w:spacing w:line="360" w:lineRule="auto"/>
        <w:ind w:firstLine="480" w:firstLineChars="200"/>
        <w:rPr>
          <w:rFonts w:ascii="Times New Roman" w:hAnsi="Times New Roman"/>
          <w:sz w:val="24"/>
          <w:szCs w:val="24"/>
        </w:rPr>
      </w:pPr>
      <w:bookmarkStart w:id="0" w:name="_Hlk108444697"/>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病理科细胞室及包埋室通风系统改造项目</w:t>
      </w:r>
      <w:r>
        <w:rPr>
          <w:rFonts w:hint="eastAsia" w:ascii="Times New Roman" w:hAnsi="Times New Roman"/>
          <w:sz w:val="24"/>
          <w:szCs w:val="24"/>
        </w:rPr>
        <w:t>的潜在供应商应在</w:t>
      </w:r>
      <w:r>
        <w:rPr>
          <w:rFonts w:hint="eastAsia" w:ascii="Times New Roman" w:hAnsi="Times New Roman"/>
          <w:sz w:val="24"/>
          <w:szCs w:val="24"/>
          <w:u w:val="single"/>
        </w:rPr>
        <w:t>南通市第三人民医院官网</w:t>
      </w:r>
      <w:r>
        <w:rPr>
          <w:rFonts w:hint="eastAsia" w:ascii="Times New Roman" w:hAnsi="Times New Roman"/>
          <w:sz w:val="24"/>
          <w:szCs w:val="24"/>
        </w:rPr>
        <w:t>获取</w:t>
      </w:r>
      <w:r>
        <w:rPr>
          <w:rFonts w:hint="eastAsia" w:ascii="Times New Roman" w:hAnsi="Times New Roman"/>
          <w:sz w:val="24"/>
          <w:szCs w:val="24"/>
          <w:lang w:eastAsia="zh-CN"/>
        </w:rPr>
        <w:t>比选文件</w:t>
      </w:r>
      <w:r>
        <w:rPr>
          <w:rFonts w:hint="eastAsia" w:ascii="Times New Roman" w:hAnsi="Times New Roman"/>
          <w:sz w:val="24"/>
          <w:szCs w:val="24"/>
        </w:rPr>
        <w:t>，并于</w:t>
      </w:r>
      <w:r>
        <w:rPr>
          <w:rFonts w:hint="eastAsia" w:ascii="Times New Roman" w:hAnsi="Times New Roman"/>
          <w:sz w:val="24"/>
          <w:szCs w:val="24"/>
          <w:lang w:eastAsia="zh-CN"/>
        </w:rPr>
        <w:t>202</w:t>
      </w:r>
      <w:r>
        <w:rPr>
          <w:rFonts w:hint="eastAsia" w:ascii="Times New Roman" w:hAnsi="Times New Roman"/>
          <w:sz w:val="24"/>
          <w:szCs w:val="24"/>
          <w:lang w:val="en-US" w:eastAsia="zh-CN"/>
        </w:rPr>
        <w:t>6</w:t>
      </w:r>
      <w:r>
        <w:rPr>
          <w:rFonts w:hint="eastAsia" w:ascii="Times New Roman" w:hAnsi="Times New Roman"/>
          <w:sz w:val="24"/>
          <w:szCs w:val="24"/>
          <w:highlight w:val="none"/>
        </w:rPr>
        <w:t>年</w:t>
      </w:r>
      <w:r>
        <w:rPr>
          <w:rFonts w:hint="eastAsia" w:ascii="Times New Roman" w:hAnsi="Times New Roman"/>
          <w:sz w:val="24"/>
          <w:szCs w:val="24"/>
          <w:highlight w:val="none"/>
          <w:lang w:val="en-US" w:eastAsia="zh-CN"/>
        </w:rPr>
        <w:t>5月19</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9</w:t>
      </w:r>
      <w:r>
        <w:rPr>
          <w:rFonts w:hint="eastAsia" w:ascii="Times New Roman" w:hAnsi="Times New Roman"/>
          <w:sz w:val="24"/>
          <w:szCs w:val="24"/>
          <w:highlight w:val="none"/>
        </w:rPr>
        <w:t>时</w:t>
      </w:r>
      <w:r>
        <w:rPr>
          <w:rFonts w:hint="eastAsia" w:ascii="Times New Roman" w:hAnsi="Times New Roman"/>
          <w:sz w:val="24"/>
          <w:szCs w:val="24"/>
          <w:highlight w:val="none"/>
          <w:lang w:val="en-US" w:eastAsia="zh-CN"/>
        </w:rPr>
        <w:t>0</w:t>
      </w:r>
      <w:r>
        <w:rPr>
          <w:rFonts w:hint="eastAsia" w:ascii="Times New Roman" w:hAnsi="Times New Roman"/>
          <w:sz w:val="24"/>
          <w:szCs w:val="24"/>
          <w:highlight w:val="none"/>
        </w:rPr>
        <w:t>0分前</w:t>
      </w:r>
      <w:r>
        <w:rPr>
          <w:rFonts w:hint="eastAsia" w:ascii="Times New Roman" w:hAnsi="Times New Roman"/>
          <w:sz w:val="24"/>
          <w:szCs w:val="24"/>
        </w:rPr>
        <w:t>提交响应文件。</w:t>
      </w:r>
    </w:p>
    <w:bookmarkEnd w:id="0"/>
    <w:p w14:paraId="18CBEAD1">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一、项目基本情况</w:t>
      </w:r>
    </w:p>
    <w:p w14:paraId="35A818E3">
      <w:pPr>
        <w:kinsoku w:val="0"/>
        <w:overflowPunct w:val="0"/>
        <w:autoSpaceDE w:val="0"/>
        <w:autoSpaceDN w:val="0"/>
        <w:spacing w:line="360" w:lineRule="auto"/>
        <w:ind w:firstLine="482" w:firstLineChars="200"/>
        <w:textAlignment w:val="baseline"/>
        <w:rPr>
          <w:rFonts w:hint="eastAsia" w:ascii="Times New Roman" w:hAnsi="Times New Roman"/>
          <w:b/>
          <w:sz w:val="24"/>
          <w:szCs w:val="24"/>
        </w:rPr>
      </w:pPr>
      <w:r>
        <w:rPr>
          <w:rFonts w:hint="eastAsia" w:ascii="Times New Roman" w:hAnsi="Times New Roman"/>
          <w:b/>
          <w:sz w:val="24"/>
          <w:szCs w:val="24"/>
        </w:rPr>
        <w:t>1、项目名称：</w:t>
      </w:r>
      <w:r>
        <w:rPr>
          <w:rFonts w:hint="eastAsia" w:ascii="Times New Roman" w:hAnsi="Times New Roman"/>
          <w:sz w:val="24"/>
          <w:szCs w:val="24"/>
        </w:rPr>
        <w:t>南通市第三人民医院</w:t>
      </w:r>
      <w:r>
        <w:rPr>
          <w:rFonts w:hint="eastAsia" w:ascii="Times New Roman" w:hAnsi="Times New Roman"/>
          <w:sz w:val="24"/>
          <w:szCs w:val="24"/>
          <w:lang w:eastAsia="zh-CN"/>
        </w:rPr>
        <w:t>病理科细胞室及包埋室通风系统改造项目</w:t>
      </w:r>
    </w:p>
    <w:p w14:paraId="32E1C4BD">
      <w:pPr>
        <w:keepNext w:val="0"/>
        <w:keepLines w:val="0"/>
        <w:pageBreakBefore w:val="0"/>
        <w:kinsoku/>
        <w:wordWrap/>
        <w:overflowPunct/>
        <w:topLinePunct w:val="0"/>
        <w:autoSpaceDE/>
        <w:autoSpaceDN/>
        <w:bidi w:val="0"/>
        <w:adjustRightInd/>
        <w:snapToGrid/>
        <w:spacing w:line="480" w:lineRule="exact"/>
        <w:ind w:firstLine="482" w:firstLineChars="200"/>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2</w:t>
      </w:r>
      <w:r>
        <w:rPr>
          <w:rFonts w:hint="eastAsia" w:ascii="Times New Roman" w:hAnsi="Times New Roman"/>
          <w:b/>
          <w:sz w:val="24"/>
          <w:szCs w:val="24"/>
        </w:rPr>
        <w:t>、</w:t>
      </w:r>
      <w:r>
        <w:rPr>
          <w:rFonts w:hint="eastAsia" w:ascii="宋体" w:hAnsi="宋体" w:eastAsia="宋体" w:cs="宋体"/>
          <w:b/>
          <w:bCs/>
          <w:sz w:val="24"/>
          <w:szCs w:val="24"/>
        </w:rPr>
        <w:t>项目预算控制价</w:t>
      </w:r>
      <w:r>
        <w:rPr>
          <w:rFonts w:hint="eastAsia" w:ascii="宋体" w:hAnsi="宋体" w:eastAsia="宋体" w:cs="宋体"/>
          <w:sz w:val="24"/>
          <w:szCs w:val="24"/>
          <w:lang w:eastAsia="zh-CN"/>
        </w:rPr>
        <w:t>：</w:t>
      </w:r>
      <w:r>
        <w:rPr>
          <w:rFonts w:hint="eastAsia" w:ascii="宋体" w:hAnsi="宋体" w:eastAsia="宋体" w:cs="宋体"/>
          <w:sz w:val="24"/>
          <w:szCs w:val="24"/>
        </w:rPr>
        <w:t>44,500元（人民币肆万肆仟伍佰元整），含所有设备、材料、安装</w:t>
      </w:r>
      <w:r>
        <w:rPr>
          <w:rFonts w:hint="eastAsia" w:ascii="宋体" w:hAnsi="宋体" w:cs="宋体"/>
          <w:sz w:val="24"/>
          <w:szCs w:val="24"/>
          <w:lang w:eastAsia="zh-CN"/>
        </w:rPr>
        <w:t>调试</w:t>
      </w:r>
      <w:r>
        <w:rPr>
          <w:rFonts w:hint="eastAsia" w:ascii="宋体" w:hAnsi="宋体" w:eastAsia="宋体" w:cs="宋体"/>
          <w:sz w:val="24"/>
          <w:szCs w:val="24"/>
        </w:rPr>
        <w:t>及税费。</w:t>
      </w:r>
    </w:p>
    <w:p w14:paraId="61A7F169">
      <w:pPr>
        <w:kinsoku w:val="0"/>
        <w:overflowPunct w:val="0"/>
        <w:autoSpaceDE w:val="0"/>
        <w:autoSpaceDN w:val="0"/>
        <w:spacing w:line="360" w:lineRule="auto"/>
        <w:ind w:firstLine="482" w:firstLineChars="200"/>
        <w:textAlignment w:val="baseline"/>
        <w:rPr>
          <w:rFonts w:hint="eastAsia" w:ascii="Times New Roman" w:hAnsi="Times New Roman"/>
          <w:b/>
          <w:sz w:val="24"/>
          <w:szCs w:val="24"/>
        </w:rPr>
      </w:pPr>
      <w:r>
        <w:rPr>
          <w:rFonts w:hint="eastAsia" w:ascii="Times New Roman" w:hAnsi="Times New Roman"/>
          <w:b/>
          <w:sz w:val="24"/>
          <w:szCs w:val="24"/>
          <w:lang w:val="en-US" w:eastAsia="zh-CN"/>
        </w:rPr>
        <w:t>3、</w:t>
      </w:r>
      <w:r>
        <w:rPr>
          <w:rFonts w:hint="eastAsia" w:ascii="Times New Roman" w:hAnsi="Times New Roman"/>
          <w:b/>
          <w:sz w:val="24"/>
          <w:szCs w:val="24"/>
        </w:rPr>
        <w:t>采购需求：</w:t>
      </w:r>
      <w:r>
        <w:rPr>
          <w:rFonts w:hint="eastAsia" w:ascii="Times New Roman" w:hAnsi="Times New Roman"/>
          <w:sz w:val="24"/>
          <w:szCs w:val="24"/>
        </w:rPr>
        <w:t>具体内容详见第三章项目需求</w:t>
      </w:r>
      <w:r>
        <w:rPr>
          <w:rFonts w:hint="eastAsia" w:ascii="Times New Roman"/>
          <w:sz w:val="24"/>
          <w:szCs w:val="24"/>
        </w:rPr>
        <w:t>。</w:t>
      </w:r>
    </w:p>
    <w:p w14:paraId="1D873265">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lang w:val="en-US" w:eastAsia="zh-CN"/>
        </w:rPr>
        <w:t>4</w:t>
      </w:r>
      <w:r>
        <w:rPr>
          <w:rFonts w:hint="eastAsia" w:ascii="Times New Roman" w:hAnsi="Times New Roman"/>
          <w:b/>
          <w:sz w:val="24"/>
          <w:szCs w:val="24"/>
        </w:rPr>
        <w:t>、本项目（是/否）接受联合体：</w:t>
      </w:r>
      <w:r>
        <w:rPr>
          <w:rFonts w:hint="eastAsia" w:ascii="Times New Roman" w:hAnsi="Times New Roman"/>
          <w:sz w:val="24"/>
          <w:szCs w:val="24"/>
        </w:rPr>
        <w:t>否</w:t>
      </w:r>
      <w:r>
        <w:rPr>
          <w:rFonts w:ascii="Times New Roman" w:hAnsi="Times New Roman"/>
          <w:sz w:val="24"/>
          <w:szCs w:val="24"/>
        </w:rPr>
        <w:t>。</w:t>
      </w:r>
    </w:p>
    <w:p w14:paraId="3DE846F5">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二、申请人的资格要求：</w:t>
      </w:r>
    </w:p>
    <w:p w14:paraId="6DA9E8EB">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1、满足《中华人民共和国政府采购法》第二十二条规定：</w:t>
      </w:r>
    </w:p>
    <w:p w14:paraId="34E407FC">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（1）具有独立承担民事责任的能力；</w:t>
      </w:r>
    </w:p>
    <w:p w14:paraId="461E7B3F">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（2）具有良好的商业信誉和健全的财务会计制度；</w:t>
      </w:r>
    </w:p>
    <w:p w14:paraId="63F2BB75">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（3）具有履行合同所必需的设备和专业技术能力；</w:t>
      </w:r>
    </w:p>
    <w:p w14:paraId="1A8AC6F8">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（4）有依法缴纳税收和社会保障资金的良好记录；</w:t>
      </w:r>
    </w:p>
    <w:p w14:paraId="740BF3CC">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（5）参加政府采购活动前三年内，在经营活动中没有重大违法记录；</w:t>
      </w:r>
    </w:p>
    <w:p w14:paraId="12D6F078">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（6）法律、行政法规规定的其他条件。</w:t>
      </w:r>
    </w:p>
    <w:p w14:paraId="6F408D6F">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2、落实政府采购政策需满足的资格要求：</w:t>
      </w:r>
      <w:r>
        <w:rPr>
          <w:rFonts w:hint="eastAsia" w:ascii="Times New Roman" w:hAnsi="Times New Roman" w:cs="宋体"/>
          <w:sz w:val="24"/>
          <w:szCs w:val="24"/>
          <w:u w:val="single"/>
        </w:rPr>
        <w:t>无</w:t>
      </w:r>
      <w:r>
        <w:rPr>
          <w:rFonts w:hint="eastAsia" w:ascii="Times New Roman" w:hAnsi="Times New Roman" w:cs="宋体"/>
          <w:sz w:val="24"/>
          <w:szCs w:val="24"/>
        </w:rPr>
        <w:t>；</w:t>
      </w:r>
    </w:p>
    <w:p w14:paraId="19EB108E">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3、本项目的特定资格要求：</w:t>
      </w:r>
    </w:p>
    <w:p w14:paraId="7E3CB115">
      <w:pPr>
        <w:kinsoku w:val="0"/>
        <w:overflowPunct w:val="0"/>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（1）供应商须具有独立法人资格，具有有效的企业法人营业执照（或事业单位法人证书），有能力按本</w:t>
      </w:r>
      <w:r>
        <w:rPr>
          <w:rFonts w:hint="eastAsia" w:ascii="Times New Roman" w:hAnsi="Times New Roman"/>
          <w:sz w:val="24"/>
          <w:szCs w:val="24"/>
          <w:lang w:eastAsia="zh-CN"/>
        </w:rPr>
        <w:t>比选文件</w:t>
      </w:r>
      <w:r>
        <w:rPr>
          <w:rFonts w:hint="eastAsia" w:ascii="Times New Roman" w:hAnsi="Times New Roman"/>
          <w:sz w:val="24"/>
          <w:szCs w:val="24"/>
        </w:rPr>
        <w:t>规定的要求提供专业服务。</w:t>
      </w:r>
    </w:p>
    <w:p w14:paraId="01B0B889">
      <w:pPr>
        <w:kinsoku w:val="0"/>
        <w:overflowPunct w:val="0"/>
        <w:autoSpaceDE w:val="0"/>
        <w:autoSpaceDN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）法定代表人参加招标的，必须提供法定代表人身份证明及法定代表人本人身份证复印件；非法定代表人参加招标的，必须提供法定</w:t>
      </w:r>
      <w:r>
        <w:rPr>
          <w:rFonts w:hint="eastAsia" w:ascii="Times New Roman" w:hAnsi="Times New Roman" w:eastAsia="宋体" w:cs="Times New Roman"/>
          <w:sz w:val="24"/>
          <w:szCs w:val="24"/>
        </w:rPr>
        <w:t>代表人签字或盖章的授权委托书、法定代表人本人身份证复印件及被授权人本人身份证复印件。</w:t>
      </w:r>
    </w:p>
    <w:p w14:paraId="6F772EE6">
      <w:pPr>
        <w:kinsoku w:val="0"/>
        <w:overflowPunct w:val="0"/>
        <w:autoSpaceDE w:val="0"/>
        <w:autoSpaceDN w:val="0"/>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投标人须为所投主要设备（台式定向污气导吸装置、台式通风柜）的制造商或授权代理商。若为代理商，须提供制造商针对本项目的授权书及售后服务承诺函。</w:t>
      </w:r>
    </w:p>
    <w:p w14:paraId="7F15D19F">
      <w:pPr>
        <w:kinsoku w:val="0"/>
        <w:overflowPunct w:val="0"/>
        <w:autoSpaceDE w:val="0"/>
        <w:autoSpaceDN w:val="0"/>
        <w:spacing w:line="360" w:lineRule="auto"/>
        <w:ind w:firstLine="482" w:firstLineChars="200"/>
        <w:textAlignment w:val="baseline"/>
        <w:rPr>
          <w:rFonts w:ascii="Times New Roman" w:hAnsi="Times New Roman"/>
          <w:b/>
          <w:sz w:val="24"/>
          <w:szCs w:val="24"/>
          <w:lang w:val="zh-CN"/>
        </w:rPr>
      </w:pPr>
      <w:r>
        <w:rPr>
          <w:rFonts w:hint="eastAsia" w:ascii="Times New Roman" w:hAnsi="Times New Roman"/>
          <w:b/>
          <w:sz w:val="24"/>
          <w:szCs w:val="24"/>
          <w:lang w:val="zh-CN"/>
        </w:rPr>
        <w:t>具体资格要求详见第七章中的“资格审查文件”。</w:t>
      </w:r>
    </w:p>
    <w:p w14:paraId="2DF3C35A">
      <w:pPr>
        <w:kinsoku w:val="0"/>
        <w:overflowPunct w:val="0"/>
        <w:autoSpaceDE w:val="0"/>
        <w:autoSpaceDN w:val="0"/>
        <w:spacing w:line="360" w:lineRule="auto"/>
        <w:ind w:firstLine="482" w:firstLineChars="200"/>
        <w:textAlignment w:val="baseline"/>
        <w:rPr>
          <w:rFonts w:ascii="Times New Roman" w:hAnsi="Times New Roman"/>
          <w:b/>
          <w:sz w:val="24"/>
          <w:szCs w:val="24"/>
          <w:lang w:val="zh-CN"/>
        </w:rPr>
      </w:pPr>
      <w:r>
        <w:rPr>
          <w:rFonts w:hint="eastAsia" w:ascii="Times New Roman" w:hAnsi="Times New Roman"/>
          <w:b/>
          <w:sz w:val="24"/>
          <w:szCs w:val="24"/>
          <w:lang w:val="zh-CN"/>
        </w:rPr>
        <w:t>请供应商认真对照资格要求，如不符合要求，无意或故意参与采购活动的，所产生的一切后果由供应商承担。对提供虚假材料的响应供应商作无效响应处理。</w:t>
      </w:r>
    </w:p>
    <w:p w14:paraId="1D004559">
      <w:pPr>
        <w:kinsoku w:val="0"/>
        <w:overflowPunct w:val="0"/>
        <w:autoSpaceDE w:val="0"/>
        <w:autoSpaceDN w:val="0"/>
        <w:spacing w:line="360" w:lineRule="auto"/>
        <w:ind w:firstLine="482" w:firstLineChars="200"/>
        <w:textAlignment w:val="baseline"/>
        <w:rPr>
          <w:rFonts w:hint="eastAsia" w:ascii="Times New Roman" w:hAnsi="Times New Roman" w:cs="宋体"/>
          <w:b/>
          <w:bCs/>
          <w:sz w:val="24"/>
          <w:szCs w:val="24"/>
        </w:rPr>
      </w:pPr>
      <w:r>
        <w:rPr>
          <w:rFonts w:hint="eastAsia" w:ascii="Times New Roman" w:hAnsi="Times New Roman" w:cs="宋体"/>
          <w:b/>
          <w:bCs/>
          <w:sz w:val="24"/>
          <w:szCs w:val="24"/>
        </w:rPr>
        <w:t>三、</w:t>
      </w:r>
      <w:r>
        <w:rPr>
          <w:rFonts w:ascii="Times New Roman" w:hAnsi="Times New Roman" w:cs="宋体"/>
          <w:b/>
          <w:bCs/>
          <w:sz w:val="24"/>
          <w:szCs w:val="24"/>
        </w:rPr>
        <w:t>获取</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及响应报名</w:t>
      </w:r>
    </w:p>
    <w:p w14:paraId="28D732C4">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ascii="Times New Roman" w:hAnsi="Times New Roman" w:cs="宋体"/>
          <w:bCs/>
          <w:sz w:val="24"/>
          <w:szCs w:val="24"/>
        </w:rPr>
        <w:t>1</w:t>
      </w:r>
      <w:r>
        <w:rPr>
          <w:rFonts w:hint="eastAsia" w:ascii="Times New Roman" w:hAnsi="Times New Roman" w:cs="宋体"/>
          <w:bCs/>
          <w:sz w:val="24"/>
          <w:szCs w:val="24"/>
        </w:rPr>
        <w:t>、</w:t>
      </w:r>
      <w:r>
        <w:rPr>
          <w:rFonts w:ascii="Times New Roman" w:hAnsi="Times New Roman" w:cs="宋体"/>
          <w:bCs/>
          <w:sz w:val="24"/>
          <w:szCs w:val="24"/>
        </w:rPr>
        <w:t>获取时间：</w:t>
      </w:r>
      <w:r>
        <w:rPr>
          <w:rFonts w:hint="eastAsia" w:ascii="Times New Roman" w:hAnsi="Times New Roman" w:cs="宋体"/>
          <w:bCs/>
          <w:sz w:val="24"/>
          <w:szCs w:val="24"/>
        </w:rPr>
        <w:t>自本</w:t>
      </w:r>
      <w:r>
        <w:rPr>
          <w:rFonts w:ascii="Times New Roman" w:hAnsi="Times New Roman" w:cs="宋体"/>
          <w:bCs/>
          <w:sz w:val="24"/>
          <w:szCs w:val="24"/>
        </w:rPr>
        <w:t>公告发布</w:t>
      </w:r>
      <w:r>
        <w:rPr>
          <w:rFonts w:hint="eastAsia" w:ascii="Times New Roman" w:hAnsi="Times New Roman" w:cs="宋体"/>
          <w:bCs/>
          <w:sz w:val="24"/>
          <w:szCs w:val="24"/>
        </w:rPr>
        <w:t>之</w:t>
      </w:r>
      <w:r>
        <w:rPr>
          <w:rFonts w:hint="eastAsia" w:ascii="Times New Roman" w:hAnsi="Times New Roman" w:cs="宋体"/>
          <w:bCs/>
          <w:sz w:val="24"/>
          <w:szCs w:val="24"/>
          <w:highlight w:val="none"/>
        </w:rPr>
        <w:t>日起</w:t>
      </w:r>
      <w:r>
        <w:rPr>
          <w:rFonts w:ascii="Times New Roman" w:hAnsi="Times New Roman" w:cs="宋体"/>
          <w:bCs/>
          <w:sz w:val="24"/>
          <w:szCs w:val="24"/>
          <w:highlight w:val="none"/>
        </w:rPr>
        <w:t>至</w:t>
      </w:r>
      <w:r>
        <w:rPr>
          <w:rFonts w:hint="eastAsia" w:ascii="Times New Roman" w:hAnsi="Times New Roman" w:cs="宋体"/>
          <w:bCs/>
          <w:sz w:val="24"/>
          <w:szCs w:val="24"/>
          <w:highlight w:val="none"/>
          <w:lang w:eastAsia="zh-CN"/>
        </w:rPr>
        <w:t>202</w:t>
      </w:r>
      <w:r>
        <w:rPr>
          <w:rFonts w:hint="eastAsia" w:ascii="Times New Roman" w:hAnsi="Times New Roman" w:cs="宋体"/>
          <w:bCs/>
          <w:sz w:val="24"/>
          <w:szCs w:val="24"/>
          <w:highlight w:val="none"/>
          <w:lang w:val="en-US" w:eastAsia="zh-CN"/>
        </w:rPr>
        <w:t>6</w:t>
      </w:r>
      <w:r>
        <w:rPr>
          <w:rFonts w:hint="eastAsia" w:ascii="Times New Roman" w:hAnsi="Times New Roman" w:cs="宋体"/>
          <w:bCs/>
          <w:sz w:val="24"/>
          <w:szCs w:val="24"/>
          <w:highlight w:val="none"/>
        </w:rPr>
        <w:t>年</w:t>
      </w:r>
      <w:r>
        <w:rPr>
          <w:rFonts w:hint="eastAsia" w:ascii="Times New Roman" w:hAnsi="Times New Roman"/>
          <w:sz w:val="24"/>
          <w:szCs w:val="24"/>
          <w:highlight w:val="none"/>
          <w:lang w:val="en-US" w:eastAsia="zh-CN"/>
        </w:rPr>
        <w:t>5月18</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17</w:t>
      </w:r>
      <w:r>
        <w:rPr>
          <w:rFonts w:hint="eastAsia" w:ascii="Times New Roman" w:hAnsi="Times New Roman"/>
          <w:sz w:val="24"/>
          <w:szCs w:val="24"/>
          <w:highlight w:val="none"/>
        </w:rPr>
        <w:t>时</w:t>
      </w:r>
      <w:r>
        <w:rPr>
          <w:rFonts w:hint="eastAsia" w:ascii="Times New Roman" w:hAnsi="Times New Roman"/>
          <w:sz w:val="24"/>
          <w:szCs w:val="24"/>
          <w:highlight w:val="none"/>
          <w:lang w:val="en-US" w:eastAsia="zh-CN"/>
        </w:rPr>
        <w:t>0</w:t>
      </w:r>
      <w:r>
        <w:rPr>
          <w:rFonts w:hint="eastAsia" w:ascii="Times New Roman" w:hAnsi="Times New Roman"/>
          <w:sz w:val="24"/>
          <w:szCs w:val="24"/>
          <w:highlight w:val="none"/>
        </w:rPr>
        <w:t>0分</w:t>
      </w:r>
      <w:r>
        <w:rPr>
          <w:rFonts w:hint="eastAsia" w:ascii="Times New Roman" w:hAnsi="Times New Roman" w:cs="宋体"/>
          <w:bCs/>
          <w:sz w:val="24"/>
          <w:szCs w:val="24"/>
        </w:rPr>
        <w:t>。</w:t>
      </w:r>
    </w:p>
    <w:p w14:paraId="152DA7D7">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ascii="Times New Roman" w:hAnsi="Times New Roman" w:cs="宋体"/>
          <w:bCs/>
          <w:sz w:val="24"/>
          <w:szCs w:val="24"/>
        </w:rPr>
        <w:t>2</w:t>
      </w:r>
      <w:r>
        <w:rPr>
          <w:rFonts w:hint="eastAsia" w:ascii="Times New Roman" w:hAnsi="Times New Roman" w:cs="宋体"/>
          <w:bCs/>
          <w:sz w:val="24"/>
          <w:szCs w:val="24"/>
        </w:rPr>
        <w:t>、</w:t>
      </w:r>
      <w:r>
        <w:rPr>
          <w:rFonts w:ascii="Times New Roman" w:hAnsi="Times New Roman" w:cs="宋体"/>
          <w:bCs/>
          <w:sz w:val="24"/>
          <w:szCs w:val="24"/>
        </w:rPr>
        <w:t>获取方式：凡有意参加</w:t>
      </w:r>
      <w:r>
        <w:rPr>
          <w:rFonts w:hint="eastAsia" w:ascii="Times New Roman" w:hAnsi="Times New Roman" w:cs="宋体"/>
          <w:bCs/>
          <w:sz w:val="24"/>
          <w:szCs w:val="24"/>
        </w:rPr>
        <w:t>投标活动</w:t>
      </w:r>
      <w:r>
        <w:rPr>
          <w:rFonts w:ascii="Times New Roman" w:hAnsi="Times New Roman" w:cs="宋体"/>
          <w:bCs/>
          <w:sz w:val="24"/>
          <w:szCs w:val="24"/>
        </w:rPr>
        <w:t>者，请于公告发布至</w:t>
      </w:r>
      <w:r>
        <w:rPr>
          <w:rFonts w:hint="eastAsia" w:ascii="Times New Roman" w:hAnsi="Times New Roman" w:cs="宋体"/>
          <w:bCs/>
          <w:sz w:val="24"/>
          <w:szCs w:val="24"/>
          <w:lang w:eastAsia="zh-CN"/>
        </w:rPr>
        <w:t>比选活动</w:t>
      </w:r>
      <w:r>
        <w:rPr>
          <w:rFonts w:hint="eastAsia" w:ascii="Times New Roman" w:hAnsi="Times New Roman" w:cs="宋体"/>
          <w:bCs/>
          <w:sz w:val="24"/>
          <w:szCs w:val="24"/>
        </w:rPr>
        <w:t>开始</w:t>
      </w:r>
      <w:r>
        <w:rPr>
          <w:rFonts w:ascii="Times New Roman" w:hAnsi="Times New Roman" w:cs="宋体"/>
          <w:bCs/>
          <w:sz w:val="24"/>
          <w:szCs w:val="24"/>
        </w:rPr>
        <w:t>前于</w:t>
      </w:r>
      <w:r>
        <w:rPr>
          <w:rFonts w:hint="eastAsia" w:ascii="Times New Roman" w:hAnsi="Times New Roman" w:cs="宋体"/>
          <w:bCs/>
          <w:sz w:val="24"/>
          <w:szCs w:val="24"/>
        </w:rPr>
        <w:t>“南通市第三人民医院官网”直接下载</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w:t>
      </w:r>
    </w:p>
    <w:p w14:paraId="73803C9C">
      <w:pPr>
        <w:kinsoku w:val="0"/>
        <w:overflowPunct w:val="0"/>
        <w:autoSpaceDE w:val="0"/>
        <w:autoSpaceDN w:val="0"/>
        <w:spacing w:line="360" w:lineRule="auto"/>
        <w:ind w:firstLine="482" w:firstLineChars="200"/>
        <w:textAlignment w:val="baseline"/>
        <w:rPr>
          <w:rFonts w:hint="eastAsia" w:ascii="Times New Roman" w:hAnsi="Times New Roman" w:cs="宋体"/>
          <w:b/>
          <w:bCs/>
          <w:sz w:val="24"/>
          <w:szCs w:val="24"/>
        </w:rPr>
      </w:pPr>
      <w:r>
        <w:rPr>
          <w:rFonts w:hint="eastAsia" w:ascii="Times New Roman" w:hAnsi="Times New Roman" w:cs="宋体"/>
          <w:b/>
          <w:bCs/>
          <w:sz w:val="24"/>
          <w:szCs w:val="24"/>
          <w:lang w:val="en-US" w:eastAsia="zh-CN"/>
        </w:rPr>
        <w:t>3</w:t>
      </w:r>
      <w:r>
        <w:rPr>
          <w:rFonts w:hint="eastAsia" w:ascii="Times New Roman" w:hAnsi="Times New Roman" w:cs="宋体"/>
          <w:b/>
          <w:bCs/>
          <w:sz w:val="24"/>
          <w:szCs w:val="24"/>
        </w:rPr>
        <w:t>、响应报名：凡有意参加本项目</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的供应商，</w:t>
      </w:r>
      <w:r>
        <w:rPr>
          <w:rFonts w:hint="eastAsia" w:ascii="Times New Roman" w:hAnsi="Times New Roman" w:cs="宋体"/>
          <w:b/>
          <w:bCs/>
          <w:sz w:val="24"/>
          <w:szCs w:val="24"/>
          <w:highlight w:val="none"/>
        </w:rPr>
        <w:t>请于</w:t>
      </w:r>
      <w:r>
        <w:rPr>
          <w:rFonts w:hint="eastAsia" w:ascii="Times New Roman" w:hAnsi="Times New Roman" w:cs="宋体"/>
          <w:b/>
          <w:bCs/>
          <w:sz w:val="24"/>
          <w:szCs w:val="24"/>
          <w:highlight w:val="none"/>
          <w:lang w:eastAsia="zh-CN"/>
        </w:rPr>
        <w:t>2026年5月</w:t>
      </w:r>
      <w:r>
        <w:rPr>
          <w:rFonts w:hint="eastAsia" w:ascii="Times New Roman" w:hAnsi="Times New Roman" w:cs="宋体"/>
          <w:b/>
          <w:bCs/>
          <w:sz w:val="24"/>
          <w:szCs w:val="24"/>
          <w:highlight w:val="none"/>
          <w:lang w:val="en-US" w:eastAsia="zh-CN"/>
        </w:rPr>
        <w:t>18</w:t>
      </w:r>
      <w:r>
        <w:rPr>
          <w:rFonts w:hint="eastAsia" w:ascii="Times New Roman" w:hAnsi="Times New Roman"/>
          <w:b/>
          <w:bCs/>
          <w:sz w:val="24"/>
          <w:szCs w:val="24"/>
          <w:highlight w:val="none"/>
        </w:rPr>
        <w:t>日</w:t>
      </w:r>
      <w:r>
        <w:rPr>
          <w:rFonts w:hint="eastAsia" w:ascii="Times New Roman" w:hAnsi="Times New Roman"/>
          <w:b/>
          <w:bCs/>
          <w:sz w:val="24"/>
          <w:szCs w:val="24"/>
          <w:highlight w:val="none"/>
          <w:lang w:val="en-US" w:eastAsia="zh-CN"/>
        </w:rPr>
        <w:t>17</w:t>
      </w:r>
      <w:r>
        <w:rPr>
          <w:rFonts w:hint="eastAsia" w:ascii="Times New Roman" w:hAnsi="Times New Roman"/>
          <w:b/>
          <w:bCs/>
          <w:sz w:val="24"/>
          <w:szCs w:val="24"/>
          <w:highlight w:val="none"/>
        </w:rPr>
        <w:t>时</w:t>
      </w:r>
      <w:r>
        <w:rPr>
          <w:rFonts w:hint="eastAsia" w:ascii="Times New Roman" w:hAnsi="Times New Roman"/>
          <w:b/>
          <w:bCs/>
          <w:sz w:val="24"/>
          <w:szCs w:val="24"/>
          <w:highlight w:val="none"/>
          <w:lang w:val="en-US" w:eastAsia="zh-CN"/>
        </w:rPr>
        <w:t>00</w:t>
      </w:r>
      <w:r>
        <w:rPr>
          <w:rFonts w:hint="eastAsia" w:ascii="Times New Roman" w:hAnsi="Times New Roman"/>
          <w:b/>
          <w:bCs/>
          <w:sz w:val="24"/>
          <w:szCs w:val="24"/>
          <w:highlight w:val="none"/>
        </w:rPr>
        <w:t>分</w:t>
      </w:r>
      <w:r>
        <w:rPr>
          <w:rFonts w:hint="eastAsia" w:ascii="Times New Roman" w:hAnsi="Times New Roman" w:cs="宋体"/>
          <w:b/>
          <w:bCs/>
          <w:sz w:val="24"/>
          <w:szCs w:val="24"/>
          <w:highlight w:val="none"/>
        </w:rPr>
        <w:t>前</w:t>
      </w:r>
      <w:r>
        <w:rPr>
          <w:rFonts w:hint="eastAsia" w:ascii="Times New Roman" w:hAnsi="Times New Roman" w:cs="宋体"/>
          <w:b/>
          <w:bCs/>
          <w:sz w:val="24"/>
          <w:szCs w:val="24"/>
        </w:rPr>
        <w:t>将报名函（</w:t>
      </w:r>
      <w:r>
        <w:rPr>
          <w:rFonts w:hint="eastAsia" w:ascii="Times New Roman" w:hAnsi="Times New Roman" w:cs="宋体"/>
          <w:b/>
          <w:bCs/>
          <w:sz w:val="24"/>
          <w:szCs w:val="24"/>
          <w:lang w:eastAsia="zh-CN"/>
        </w:rPr>
        <w:t>格式见附件</w:t>
      </w:r>
      <w:r>
        <w:rPr>
          <w:rFonts w:hint="eastAsia" w:ascii="Times New Roman" w:hAnsi="Times New Roman" w:cs="宋体"/>
          <w:b/>
          <w:bCs/>
          <w:sz w:val="24"/>
          <w:szCs w:val="24"/>
        </w:rPr>
        <w:t>）盖章的扫描件发送至邮箱</w:t>
      </w:r>
      <w:r>
        <w:rPr>
          <w:rFonts w:hint="eastAsia" w:ascii="Times New Roman" w:hAnsi="Times New Roman" w:cs="宋体"/>
          <w:b/>
          <w:bCs/>
          <w:sz w:val="24"/>
          <w:szCs w:val="24"/>
          <w:lang w:val="en-US" w:eastAsia="zh-CN"/>
        </w:rPr>
        <w:t>2462748269</w:t>
      </w:r>
      <w:r>
        <w:rPr>
          <w:rFonts w:hint="eastAsia" w:ascii="Times New Roman" w:hAnsi="Times New Roman" w:cs="宋体"/>
          <w:b/>
          <w:bCs/>
          <w:sz w:val="24"/>
          <w:szCs w:val="24"/>
        </w:rPr>
        <w:t>@qq.com。未按规定时间要求报名的供应商不得参与本项目</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w:t>
      </w:r>
    </w:p>
    <w:p w14:paraId="54BA158A">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四、响应文件提交</w:t>
      </w:r>
    </w:p>
    <w:p w14:paraId="1FEC4C9E">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1、响应文件提交截止时间：</w:t>
      </w:r>
      <w:r>
        <w:rPr>
          <w:rFonts w:hint="eastAsia" w:ascii="Times New Roman" w:hAnsi="Times New Roman" w:cs="宋体"/>
          <w:bCs/>
          <w:sz w:val="24"/>
          <w:szCs w:val="24"/>
          <w:lang w:eastAsia="zh-CN"/>
        </w:rPr>
        <w:t>2026年5月</w:t>
      </w:r>
      <w:r>
        <w:rPr>
          <w:rFonts w:hint="eastAsia" w:ascii="Times New Roman" w:hAnsi="Times New Roman" w:cs="宋体"/>
          <w:bCs/>
          <w:sz w:val="24"/>
          <w:szCs w:val="24"/>
          <w:lang w:val="en-US" w:eastAsia="zh-CN"/>
        </w:rPr>
        <w:t>19</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9</w:t>
      </w:r>
      <w:r>
        <w:rPr>
          <w:rFonts w:hint="eastAsia" w:ascii="Times New Roman" w:hAnsi="Times New Roman"/>
          <w:sz w:val="24"/>
          <w:szCs w:val="24"/>
          <w:highlight w:val="none"/>
        </w:rPr>
        <w:t>时</w:t>
      </w:r>
      <w:r>
        <w:rPr>
          <w:rFonts w:hint="eastAsia" w:ascii="Times New Roman" w:hAnsi="Times New Roman"/>
          <w:sz w:val="24"/>
          <w:szCs w:val="24"/>
          <w:highlight w:val="none"/>
          <w:lang w:val="en-US" w:eastAsia="zh-CN"/>
        </w:rPr>
        <w:t>0</w:t>
      </w:r>
      <w:r>
        <w:rPr>
          <w:rFonts w:hint="eastAsia" w:ascii="Times New Roman" w:hAnsi="Times New Roman"/>
          <w:sz w:val="24"/>
          <w:szCs w:val="24"/>
          <w:highlight w:val="none"/>
        </w:rPr>
        <w:t>0分</w:t>
      </w:r>
      <w:r>
        <w:rPr>
          <w:rFonts w:hint="eastAsia" w:ascii="Times New Roman" w:hAnsi="Times New Roman" w:cs="宋体"/>
          <w:bCs/>
          <w:sz w:val="24"/>
          <w:szCs w:val="24"/>
        </w:rPr>
        <w:t>（北京时间）。逾时，采购人将拒绝接受响应文件纸质文档。</w:t>
      </w:r>
    </w:p>
    <w:p w14:paraId="6A6D67B5">
      <w:pPr>
        <w:kinsoku w:val="0"/>
        <w:overflowPunct w:val="0"/>
        <w:autoSpaceDE w:val="0"/>
        <w:autoSpaceDN w:val="0"/>
        <w:spacing w:line="360" w:lineRule="auto"/>
        <w:ind w:firstLine="482" w:firstLineChars="200"/>
        <w:textAlignment w:val="baseline"/>
        <w:rPr>
          <w:rFonts w:ascii="Times New Roman" w:hAnsi="Times New Roman" w:cs="宋体"/>
          <w:bCs/>
          <w:sz w:val="24"/>
          <w:szCs w:val="24"/>
          <w:highlight w:val="none"/>
        </w:rPr>
      </w:pPr>
      <w:r>
        <w:rPr>
          <w:rFonts w:hint="eastAsia" w:ascii="Times New Roman" w:hAnsi="Times New Roman" w:cs="宋体"/>
          <w:b/>
          <w:bCs/>
          <w:sz w:val="24"/>
          <w:szCs w:val="24"/>
        </w:rPr>
        <w:t>2、响应文件递交地址：</w:t>
      </w:r>
      <w:r>
        <w:rPr>
          <w:rFonts w:hint="eastAsia" w:ascii="Times New Roman" w:hAnsi="Times New Roman" w:cs="宋体"/>
          <w:bCs/>
          <w:sz w:val="24"/>
          <w:szCs w:val="24"/>
        </w:rPr>
        <w:t>南通市第三人民医</w:t>
      </w:r>
      <w:r>
        <w:rPr>
          <w:rFonts w:hint="eastAsia" w:ascii="Times New Roman" w:hAnsi="Times New Roman" w:cs="宋体"/>
          <w:bCs/>
          <w:sz w:val="24"/>
          <w:szCs w:val="24"/>
          <w:highlight w:val="none"/>
        </w:rPr>
        <w:t>院</w:t>
      </w:r>
      <w:r>
        <w:rPr>
          <w:rFonts w:hint="eastAsia" w:ascii="Times New Roman" w:hAnsi="Times New Roman" w:cs="宋体"/>
          <w:bCs/>
          <w:sz w:val="24"/>
          <w:szCs w:val="24"/>
          <w:highlight w:val="none"/>
          <w:lang w:val="en-US" w:eastAsia="zh-CN"/>
        </w:rPr>
        <w:t>1</w:t>
      </w:r>
      <w:r>
        <w:rPr>
          <w:rFonts w:hint="eastAsia" w:ascii="Times New Roman" w:hAnsi="Times New Roman" w:cs="宋体"/>
          <w:bCs/>
          <w:sz w:val="24"/>
          <w:szCs w:val="24"/>
          <w:highlight w:val="none"/>
        </w:rPr>
        <w:t>号楼</w:t>
      </w:r>
      <w:r>
        <w:rPr>
          <w:rFonts w:hint="eastAsia" w:ascii="Times New Roman" w:hAnsi="Times New Roman" w:cs="宋体"/>
          <w:bCs/>
          <w:sz w:val="24"/>
          <w:szCs w:val="24"/>
          <w:highlight w:val="none"/>
          <w:lang w:val="en-US" w:eastAsia="zh-CN"/>
        </w:rPr>
        <w:t>3</w:t>
      </w:r>
      <w:r>
        <w:rPr>
          <w:rFonts w:hint="eastAsia" w:ascii="Times New Roman" w:hAnsi="Times New Roman" w:cs="宋体"/>
          <w:bCs/>
          <w:sz w:val="24"/>
          <w:szCs w:val="24"/>
          <w:highlight w:val="none"/>
        </w:rPr>
        <w:t>楼会议室，如有变动另行通知。</w:t>
      </w:r>
    </w:p>
    <w:p w14:paraId="0B63EEE6">
      <w:pPr>
        <w:kinsoku w:val="0"/>
        <w:overflowPunct w:val="0"/>
        <w:autoSpaceDE w:val="0"/>
        <w:autoSpaceDN w:val="0"/>
        <w:spacing w:line="360" w:lineRule="auto"/>
        <w:ind w:firstLine="482" w:firstLineChars="200"/>
        <w:textAlignment w:val="baseline"/>
        <w:rPr>
          <w:rFonts w:ascii="Times New Roman" w:hAnsi="Times New Roman" w:cs="宋体"/>
          <w:b/>
          <w:bCs/>
          <w:sz w:val="24"/>
          <w:szCs w:val="24"/>
          <w:highlight w:val="none"/>
        </w:rPr>
      </w:pPr>
      <w:r>
        <w:rPr>
          <w:rFonts w:hint="eastAsia" w:ascii="Times New Roman" w:hAnsi="Times New Roman" w:cs="宋体"/>
          <w:b/>
          <w:bCs/>
          <w:sz w:val="24"/>
          <w:szCs w:val="24"/>
          <w:highlight w:val="none"/>
        </w:rPr>
        <w:t>五、开启</w:t>
      </w:r>
    </w:p>
    <w:p w14:paraId="7E609B0B">
      <w:pPr>
        <w:kinsoku w:val="0"/>
        <w:overflowPunct w:val="0"/>
        <w:autoSpaceDE w:val="0"/>
        <w:autoSpaceDN w:val="0"/>
        <w:spacing w:line="360" w:lineRule="auto"/>
        <w:ind w:firstLine="482" w:firstLineChars="200"/>
        <w:textAlignment w:val="baseline"/>
        <w:rPr>
          <w:rFonts w:ascii="Times New Roman" w:hAnsi="Times New Roman" w:cs="宋体"/>
          <w:bCs/>
          <w:sz w:val="24"/>
          <w:szCs w:val="24"/>
          <w:highlight w:val="none"/>
        </w:rPr>
      </w:pPr>
      <w:r>
        <w:rPr>
          <w:rFonts w:hint="eastAsia" w:ascii="Times New Roman" w:hAnsi="Times New Roman" w:cs="宋体"/>
          <w:b/>
          <w:bCs/>
          <w:sz w:val="24"/>
          <w:szCs w:val="24"/>
          <w:highlight w:val="none"/>
        </w:rPr>
        <w:t>1、时间：</w:t>
      </w:r>
      <w:r>
        <w:rPr>
          <w:rFonts w:hint="eastAsia" w:ascii="Times New Roman" w:hAnsi="Times New Roman" w:cs="宋体"/>
          <w:bCs/>
          <w:sz w:val="24"/>
          <w:szCs w:val="24"/>
          <w:highlight w:val="none"/>
          <w:lang w:eastAsia="zh-CN"/>
        </w:rPr>
        <w:t>2026年5月</w:t>
      </w:r>
      <w:r>
        <w:rPr>
          <w:rFonts w:hint="eastAsia" w:ascii="Times New Roman" w:hAnsi="Times New Roman" w:cs="宋体"/>
          <w:bCs/>
          <w:sz w:val="24"/>
          <w:szCs w:val="24"/>
          <w:highlight w:val="none"/>
          <w:lang w:val="en-US" w:eastAsia="zh-CN"/>
        </w:rPr>
        <w:t>19</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9</w:t>
      </w:r>
      <w:r>
        <w:rPr>
          <w:rFonts w:hint="eastAsia" w:ascii="Times New Roman" w:hAnsi="Times New Roman"/>
          <w:sz w:val="24"/>
          <w:szCs w:val="24"/>
          <w:highlight w:val="none"/>
        </w:rPr>
        <w:t>时</w:t>
      </w:r>
      <w:r>
        <w:rPr>
          <w:rFonts w:hint="eastAsia" w:ascii="Times New Roman" w:hAnsi="Times New Roman"/>
          <w:sz w:val="24"/>
          <w:szCs w:val="24"/>
          <w:highlight w:val="none"/>
          <w:lang w:val="en-US" w:eastAsia="zh-CN"/>
        </w:rPr>
        <w:t>0</w:t>
      </w:r>
      <w:r>
        <w:rPr>
          <w:rFonts w:hint="eastAsia" w:ascii="Times New Roman" w:hAnsi="Times New Roman"/>
          <w:sz w:val="24"/>
          <w:szCs w:val="24"/>
          <w:highlight w:val="none"/>
        </w:rPr>
        <w:t>0分</w:t>
      </w:r>
      <w:r>
        <w:rPr>
          <w:rFonts w:hint="eastAsia" w:ascii="Times New Roman" w:hAnsi="Times New Roman" w:cs="宋体"/>
          <w:bCs/>
          <w:sz w:val="24"/>
          <w:szCs w:val="24"/>
          <w:highlight w:val="none"/>
        </w:rPr>
        <w:t>（北京时间）。</w:t>
      </w:r>
    </w:p>
    <w:p w14:paraId="49768B8D">
      <w:pPr>
        <w:kinsoku w:val="0"/>
        <w:overflowPunct w:val="0"/>
        <w:autoSpaceDE w:val="0"/>
        <w:autoSpaceDN w:val="0"/>
        <w:spacing w:line="360" w:lineRule="auto"/>
        <w:ind w:firstLine="482" w:firstLineChars="200"/>
        <w:textAlignment w:val="baseline"/>
        <w:rPr>
          <w:rFonts w:ascii="Times New Roman" w:hAnsi="Times New Roman" w:cs="宋体"/>
          <w:bCs/>
          <w:sz w:val="24"/>
          <w:szCs w:val="24"/>
          <w:highlight w:val="none"/>
        </w:rPr>
      </w:pPr>
      <w:r>
        <w:rPr>
          <w:rFonts w:hint="eastAsia" w:ascii="Times New Roman" w:hAnsi="Times New Roman" w:cs="宋体"/>
          <w:b/>
          <w:bCs/>
          <w:sz w:val="24"/>
          <w:szCs w:val="24"/>
          <w:highlight w:val="none"/>
        </w:rPr>
        <w:t>2、地址</w:t>
      </w:r>
      <w:r>
        <w:rPr>
          <w:rFonts w:hint="eastAsia" w:ascii="Times New Roman" w:hAnsi="Times New Roman" w:cs="宋体"/>
          <w:bCs/>
          <w:sz w:val="24"/>
          <w:szCs w:val="24"/>
          <w:highlight w:val="none"/>
        </w:rPr>
        <w:t>：南通市第三人民医院</w:t>
      </w:r>
      <w:r>
        <w:rPr>
          <w:rFonts w:hint="eastAsia" w:ascii="Times New Roman" w:hAnsi="Times New Roman" w:cs="宋体"/>
          <w:bCs/>
          <w:sz w:val="24"/>
          <w:szCs w:val="24"/>
          <w:highlight w:val="none"/>
          <w:lang w:val="en-US" w:eastAsia="zh-CN"/>
        </w:rPr>
        <w:t>1</w:t>
      </w:r>
      <w:r>
        <w:rPr>
          <w:rFonts w:hint="eastAsia" w:ascii="Times New Roman" w:hAnsi="Times New Roman" w:cs="宋体"/>
          <w:bCs/>
          <w:sz w:val="24"/>
          <w:szCs w:val="24"/>
          <w:highlight w:val="none"/>
        </w:rPr>
        <w:t>号楼</w:t>
      </w:r>
      <w:r>
        <w:rPr>
          <w:rFonts w:hint="eastAsia" w:ascii="Times New Roman" w:hAnsi="Times New Roman" w:cs="宋体"/>
          <w:bCs/>
          <w:sz w:val="24"/>
          <w:szCs w:val="24"/>
          <w:highlight w:val="none"/>
          <w:lang w:val="en-US" w:eastAsia="zh-CN"/>
        </w:rPr>
        <w:t>3</w:t>
      </w:r>
      <w:r>
        <w:rPr>
          <w:rFonts w:hint="eastAsia" w:ascii="Times New Roman" w:hAnsi="Times New Roman" w:cs="宋体"/>
          <w:bCs/>
          <w:sz w:val="24"/>
          <w:szCs w:val="24"/>
          <w:highlight w:val="none"/>
        </w:rPr>
        <w:t>楼会议室。</w:t>
      </w:r>
    </w:p>
    <w:p w14:paraId="6F081290">
      <w:pPr>
        <w:kinsoku w:val="0"/>
        <w:overflowPunct w:val="0"/>
        <w:autoSpaceDE w:val="0"/>
        <w:autoSpaceDN w:val="0"/>
        <w:spacing w:line="360" w:lineRule="auto"/>
        <w:ind w:firstLine="482" w:firstLineChars="200"/>
        <w:rPr>
          <w:rFonts w:ascii="Times New Roman" w:hAnsi="Times New Roman" w:cs="宋体"/>
          <w:b/>
          <w:sz w:val="24"/>
          <w:szCs w:val="24"/>
        </w:rPr>
      </w:pPr>
      <w:r>
        <w:rPr>
          <w:rFonts w:hint="eastAsia" w:ascii="Times New Roman" w:hAnsi="Times New Roman" w:cs="宋体"/>
          <w:b/>
          <w:sz w:val="24"/>
          <w:szCs w:val="24"/>
        </w:rPr>
        <w:t>六、公告期限</w:t>
      </w:r>
    </w:p>
    <w:p w14:paraId="72F4FA9D">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自本公告发布之日起3个工作日。</w:t>
      </w:r>
    </w:p>
    <w:p w14:paraId="78174496">
      <w:pPr>
        <w:kinsoku w:val="0"/>
        <w:overflowPunct w:val="0"/>
        <w:autoSpaceDE w:val="0"/>
        <w:autoSpaceDN w:val="0"/>
        <w:spacing w:line="360" w:lineRule="auto"/>
        <w:ind w:firstLine="482" w:firstLineChars="200"/>
        <w:rPr>
          <w:rFonts w:ascii="Times New Roman" w:hAnsi="Times New Roman" w:cs="宋体"/>
          <w:b/>
          <w:sz w:val="24"/>
          <w:szCs w:val="24"/>
        </w:rPr>
      </w:pPr>
      <w:bookmarkStart w:id="1" w:name="_Toc35393804"/>
      <w:bookmarkStart w:id="2" w:name="_Toc35393635"/>
      <w:r>
        <w:rPr>
          <w:rFonts w:hint="eastAsia" w:ascii="Times New Roman" w:hAnsi="Times New Roman" w:cs="宋体"/>
          <w:b/>
          <w:sz w:val="24"/>
          <w:szCs w:val="24"/>
        </w:rPr>
        <w:t>七、其他补充事宜</w:t>
      </w:r>
      <w:bookmarkEnd w:id="1"/>
      <w:bookmarkEnd w:id="2"/>
      <w:r>
        <w:rPr>
          <w:rFonts w:hint="eastAsia" w:ascii="Times New Roman" w:hAnsi="Times New Roman" w:cs="宋体"/>
          <w:b/>
          <w:sz w:val="24"/>
          <w:szCs w:val="24"/>
        </w:rPr>
        <w:t>：</w:t>
      </w:r>
    </w:p>
    <w:p w14:paraId="3EF955A7">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1、本项目不收取投标保证金。</w:t>
      </w:r>
    </w:p>
    <w:p w14:paraId="2BFAD5B9">
      <w:pPr>
        <w:kinsoku w:val="0"/>
        <w:overflowPunct w:val="0"/>
        <w:autoSpaceDE w:val="0"/>
        <w:autoSpaceDN w:val="0"/>
        <w:spacing w:line="360" w:lineRule="auto"/>
        <w:ind w:firstLine="480" w:firstLineChars="200"/>
        <w:textAlignment w:val="baseline"/>
        <w:rPr>
          <w:rFonts w:hint="eastAsia" w:ascii="Times New Roman" w:hAnsi="Times New Roman" w:eastAsia="宋体" w:cs="宋体"/>
          <w:bCs/>
          <w:sz w:val="24"/>
          <w:szCs w:val="24"/>
          <w:highlight w:val="none"/>
        </w:rPr>
      </w:pPr>
      <w:bookmarkStart w:id="3" w:name="_Toc28359018"/>
      <w:bookmarkStart w:id="4" w:name="_Toc35393636"/>
      <w:bookmarkStart w:id="5" w:name="_Toc28359095"/>
      <w:bookmarkStart w:id="6" w:name="_Toc35393805"/>
      <w:r>
        <w:rPr>
          <w:rFonts w:hint="eastAsia" w:ascii="Times New Roman" w:hAnsi="Times New Roman" w:cs="宋体"/>
          <w:sz w:val="24"/>
          <w:szCs w:val="24"/>
        </w:rPr>
        <w:t>2、</w:t>
      </w:r>
      <w:r>
        <w:rPr>
          <w:rFonts w:hint="eastAsia" w:ascii="Times New Roman" w:hAnsi="Times New Roman"/>
          <w:sz w:val="24"/>
          <w:szCs w:val="24"/>
        </w:rPr>
        <w:t>供应商应依照规定提交各类声明函、承诺函，不再同时提供原件备查或提供有关部门出具的相关证明文</w:t>
      </w:r>
      <w:r>
        <w:rPr>
          <w:rFonts w:hint="eastAsia" w:ascii="Times New Roman" w:hAnsi="Times New Roman" w:eastAsia="宋体" w:cs="宋体"/>
          <w:bCs/>
          <w:sz w:val="24"/>
          <w:szCs w:val="24"/>
        </w:rPr>
        <w:t>件。但</w:t>
      </w:r>
      <w:r>
        <w:rPr>
          <w:rFonts w:hint="eastAsia" w:ascii="Times New Roman" w:hAnsi="Times New Roman" w:eastAsia="宋体" w:cs="宋体"/>
          <w:bCs/>
          <w:sz w:val="24"/>
          <w:szCs w:val="24"/>
          <w:lang w:eastAsia="zh-CN"/>
        </w:rPr>
        <w:t>中标人</w:t>
      </w:r>
      <w:r>
        <w:rPr>
          <w:rFonts w:hint="eastAsia" w:ascii="Times New Roman" w:hAnsi="Times New Roman" w:eastAsia="宋体" w:cs="宋体"/>
          <w:bCs/>
          <w:sz w:val="24"/>
          <w:szCs w:val="24"/>
        </w:rPr>
        <w:t>，应做好提交声明函、承诺函相应原件的核查准备；核查后发现虚假或违背承诺的，依照相关法律法规规定处理</w:t>
      </w:r>
      <w:r>
        <w:rPr>
          <w:rFonts w:hint="eastAsia" w:ascii="Times New Roman" w:hAnsi="Times New Roman" w:eastAsia="宋体" w:cs="宋体"/>
          <w:bCs/>
          <w:sz w:val="24"/>
          <w:szCs w:val="24"/>
          <w:highlight w:val="none"/>
        </w:rPr>
        <w:t>。</w:t>
      </w:r>
    </w:p>
    <w:p w14:paraId="532F20E1">
      <w:pPr>
        <w:kinsoku w:val="0"/>
        <w:overflowPunct w:val="0"/>
        <w:autoSpaceDE w:val="0"/>
        <w:autoSpaceDN w:val="0"/>
        <w:spacing w:line="360" w:lineRule="auto"/>
        <w:ind w:firstLine="480" w:firstLineChars="200"/>
        <w:textAlignment w:val="baseline"/>
        <w:rPr>
          <w:rFonts w:hint="eastAsia" w:ascii="Times New Roman" w:hAnsi="Times New Roman" w:eastAsia="宋体" w:cs="宋体"/>
          <w:bCs/>
          <w:sz w:val="24"/>
          <w:szCs w:val="24"/>
          <w:highlight w:val="none"/>
        </w:rPr>
      </w:pPr>
      <w:r>
        <w:rPr>
          <w:rFonts w:hint="eastAsia" w:ascii="Times New Roman" w:hAnsi="Times New Roman" w:eastAsia="宋体" w:cs="宋体"/>
          <w:bCs/>
          <w:sz w:val="24"/>
          <w:szCs w:val="24"/>
          <w:highlight w:val="none"/>
          <w:lang w:val="en-US" w:eastAsia="zh-CN"/>
        </w:rPr>
        <w:t>3、</w:t>
      </w:r>
      <w:r>
        <w:rPr>
          <w:rFonts w:hint="eastAsia" w:ascii="Times New Roman" w:hAnsi="Times New Roman" w:eastAsia="宋体" w:cs="宋体"/>
          <w:bCs/>
          <w:sz w:val="24"/>
          <w:szCs w:val="24"/>
          <w:highlight w:val="none"/>
        </w:rPr>
        <w:t>单位负责人为同一人或者存在直接控股、管理关系的不同投标人，不得同时参加本项目投标。</w:t>
      </w:r>
    </w:p>
    <w:p w14:paraId="39C6A2DE">
      <w:pPr>
        <w:kinsoku w:val="0"/>
        <w:overflowPunct w:val="0"/>
        <w:autoSpaceDE w:val="0"/>
        <w:autoSpaceDN w:val="0"/>
        <w:spacing w:line="360" w:lineRule="auto"/>
        <w:ind w:firstLine="480" w:firstLineChars="200"/>
        <w:textAlignment w:val="baseline"/>
        <w:rPr>
          <w:rFonts w:hint="eastAsia" w:ascii="Times New Roman" w:hAnsi="Times New Roman" w:eastAsia="宋体" w:cs="宋体"/>
          <w:bCs/>
          <w:sz w:val="24"/>
          <w:szCs w:val="24"/>
          <w:highlight w:val="none"/>
        </w:rPr>
      </w:pPr>
      <w:r>
        <w:rPr>
          <w:rFonts w:hint="eastAsia" w:ascii="Times New Roman" w:hAnsi="Times New Roman" w:eastAsia="宋体" w:cs="宋体"/>
          <w:bCs/>
          <w:sz w:val="24"/>
          <w:szCs w:val="24"/>
          <w:highlight w:val="none"/>
          <w:lang w:val="en-US" w:eastAsia="zh-CN"/>
        </w:rPr>
        <w:t>4、</w:t>
      </w:r>
      <w:r>
        <w:rPr>
          <w:rFonts w:hint="eastAsia" w:ascii="Times New Roman" w:hAnsi="Times New Roman" w:eastAsia="宋体" w:cs="宋体"/>
          <w:bCs/>
          <w:sz w:val="24"/>
          <w:szCs w:val="24"/>
          <w:highlight w:val="none"/>
          <w:lang w:eastAsia="zh-CN"/>
        </w:rPr>
        <w:t>供应商</w:t>
      </w:r>
      <w:r>
        <w:rPr>
          <w:rFonts w:hint="eastAsia" w:ascii="Times New Roman" w:hAnsi="Times New Roman" w:eastAsia="宋体" w:cs="宋体"/>
          <w:bCs/>
          <w:sz w:val="24"/>
          <w:szCs w:val="24"/>
          <w:highlight w:val="none"/>
        </w:rPr>
        <w:t>中标后不得将项目转包或违法分包。</w:t>
      </w:r>
    </w:p>
    <w:p w14:paraId="13D63C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宋体"/>
          <w:bCs/>
          <w:sz w:val="24"/>
          <w:szCs w:val="24"/>
          <w:highlight w:val="none"/>
          <w:lang w:val="en-US" w:eastAsia="zh-CN"/>
        </w:rPr>
      </w:pPr>
      <w:r>
        <w:rPr>
          <w:rFonts w:hint="eastAsia" w:ascii="Times New Roman" w:hAnsi="Times New Roman" w:cs="宋体"/>
          <w:bCs/>
          <w:sz w:val="24"/>
          <w:szCs w:val="24"/>
          <w:highlight w:val="none"/>
          <w:lang w:val="en-US" w:eastAsia="zh-CN"/>
        </w:rPr>
        <w:t>5、勘察现场联系方式：</w:t>
      </w:r>
      <w:r>
        <w:rPr>
          <w:rFonts w:hint="eastAsia" w:ascii="宋体" w:hAnsi="宋体" w:eastAsia="宋体" w:cs="宋体"/>
          <w:sz w:val="24"/>
          <w:szCs w:val="24"/>
          <w:lang w:eastAsia="zh-CN"/>
        </w:rPr>
        <w:t>总务科</w:t>
      </w:r>
      <w:r>
        <w:rPr>
          <w:rFonts w:hint="eastAsia" w:ascii="宋体" w:hAnsi="宋体" w:eastAsia="宋体" w:cs="宋体"/>
          <w:sz w:val="24"/>
          <w:szCs w:val="24"/>
          <w:lang w:val="en-US" w:eastAsia="zh-CN"/>
        </w:rPr>
        <w:t>何老师，</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5190940370</w:t>
      </w:r>
    </w:p>
    <w:p w14:paraId="592BC752">
      <w:pPr>
        <w:kinsoku w:val="0"/>
        <w:overflowPunct w:val="0"/>
        <w:autoSpaceDE w:val="0"/>
        <w:autoSpaceDN w:val="0"/>
        <w:spacing w:line="360" w:lineRule="auto"/>
        <w:ind w:firstLine="482" w:firstLineChars="200"/>
        <w:rPr>
          <w:rFonts w:ascii="Times New Roman" w:hAnsi="Times New Roman" w:cs="宋体"/>
          <w:b/>
          <w:sz w:val="24"/>
          <w:szCs w:val="24"/>
          <w:highlight w:val="none"/>
        </w:rPr>
      </w:pPr>
      <w:r>
        <w:rPr>
          <w:rFonts w:hint="eastAsia" w:ascii="Times New Roman" w:hAnsi="Times New Roman" w:cs="宋体"/>
          <w:b/>
          <w:sz w:val="24"/>
          <w:szCs w:val="24"/>
          <w:highlight w:val="none"/>
        </w:rPr>
        <w:t>八、</w:t>
      </w:r>
      <w:r>
        <w:rPr>
          <w:rFonts w:hint="eastAsia" w:ascii="Times New Roman" w:hAnsi="Times New Roman" w:cs="宋体"/>
          <w:b/>
          <w:kern w:val="0"/>
          <w:sz w:val="24"/>
          <w:szCs w:val="24"/>
          <w:highlight w:val="none"/>
        </w:rPr>
        <w:t>凡对本次采购提出询问</w:t>
      </w:r>
      <w:r>
        <w:rPr>
          <w:rFonts w:hint="eastAsia" w:ascii="Times New Roman" w:hAnsi="Times New Roman" w:cs="宋体"/>
          <w:b/>
          <w:sz w:val="24"/>
          <w:szCs w:val="24"/>
          <w:highlight w:val="none"/>
        </w:rPr>
        <w:t>，请按以下方式联系</w:t>
      </w:r>
      <w:bookmarkEnd w:id="3"/>
      <w:bookmarkEnd w:id="4"/>
      <w:bookmarkEnd w:id="5"/>
      <w:bookmarkEnd w:id="6"/>
    </w:p>
    <w:p w14:paraId="77024C09">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bookmarkStart w:id="7" w:name="_Toc28359019"/>
      <w:bookmarkStart w:id="8" w:name="_Toc28359096"/>
      <w:bookmarkStart w:id="9" w:name="_Toc35393806"/>
      <w:bookmarkStart w:id="10" w:name="_Toc35393637"/>
      <w:r>
        <w:rPr>
          <w:rFonts w:hint="eastAsia" w:ascii="Times New Roman" w:hAnsi="Times New Roman" w:cs="宋体"/>
          <w:bCs/>
          <w:sz w:val="24"/>
          <w:szCs w:val="24"/>
        </w:rPr>
        <w:t>采购人信息</w:t>
      </w:r>
      <w:bookmarkEnd w:id="7"/>
      <w:bookmarkEnd w:id="8"/>
      <w:bookmarkEnd w:id="9"/>
      <w:bookmarkEnd w:id="10"/>
    </w:p>
    <w:p w14:paraId="3372BE73">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名称：南通市第三人民医院</w:t>
      </w:r>
    </w:p>
    <w:p w14:paraId="6D683EB9">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地址：江苏省南通市青年中路60号</w:t>
      </w:r>
    </w:p>
    <w:p w14:paraId="5154DA02">
      <w:pPr>
        <w:kinsoku w:val="0"/>
        <w:overflowPunct w:val="0"/>
        <w:autoSpaceDE w:val="0"/>
        <w:autoSpaceDN w:val="0"/>
        <w:spacing w:line="360" w:lineRule="auto"/>
        <w:ind w:firstLine="480" w:firstLineChars="200"/>
        <w:textAlignment w:val="baseline"/>
        <w:rPr>
          <w:rFonts w:hint="eastAsia" w:ascii="Times New Roman" w:hAnsi="Times New Roman" w:eastAsia="宋体" w:cs="宋体"/>
          <w:bCs/>
          <w:sz w:val="24"/>
          <w:szCs w:val="24"/>
          <w:lang w:eastAsia="zh-CN"/>
        </w:rPr>
      </w:pPr>
      <w:r>
        <w:rPr>
          <w:rFonts w:hint="eastAsia" w:ascii="Times New Roman" w:hAnsi="Times New Roman" w:cs="宋体"/>
          <w:bCs/>
          <w:sz w:val="24"/>
          <w:szCs w:val="24"/>
        </w:rPr>
        <w:t>联系人：</w:t>
      </w:r>
      <w:r>
        <w:rPr>
          <w:rFonts w:hint="eastAsia" w:ascii="Times New Roman" w:hAnsi="Times New Roman" w:cs="宋体"/>
          <w:bCs/>
          <w:sz w:val="24"/>
          <w:szCs w:val="24"/>
          <w:lang w:eastAsia="zh-CN"/>
        </w:rPr>
        <w:t>苏先生</w:t>
      </w:r>
    </w:p>
    <w:p w14:paraId="0B6C1594">
      <w:pPr>
        <w:kinsoku w:val="0"/>
        <w:overflowPunct w:val="0"/>
        <w:autoSpaceDE w:val="0"/>
        <w:autoSpaceDN w:val="0"/>
        <w:spacing w:line="360" w:lineRule="auto"/>
        <w:ind w:firstLine="480" w:firstLineChars="200"/>
        <w:textAlignment w:val="baseline"/>
        <w:rPr>
          <w:rFonts w:hint="default" w:ascii="Times New Roman" w:hAnsi="Times New Roman" w:eastAsia="宋体"/>
          <w:w w:val="80"/>
          <w:sz w:val="48"/>
          <w:szCs w:val="44"/>
          <w:lang w:val="en-US" w:eastAsia="zh-CN"/>
        </w:rPr>
      </w:pPr>
      <w:r>
        <w:rPr>
          <w:rFonts w:hint="eastAsia" w:ascii="Times New Roman" w:hAnsi="Times New Roman" w:cs="宋体"/>
          <w:bCs/>
          <w:sz w:val="24"/>
          <w:szCs w:val="24"/>
        </w:rPr>
        <w:t>联系方式：</w:t>
      </w:r>
      <w:r>
        <w:rPr>
          <w:rFonts w:hint="eastAsia" w:ascii="Times New Roman" w:hAnsi="Times New Roman" w:cs="宋体"/>
          <w:bCs/>
          <w:sz w:val="24"/>
          <w:szCs w:val="24"/>
          <w:lang w:val="en-US" w:eastAsia="zh-CN"/>
        </w:rPr>
        <w:t>17312060166</w:t>
      </w:r>
    </w:p>
    <w:p w14:paraId="702B7E99">
      <w:pPr>
        <w:rPr>
          <w:rFonts w:hint="eastAsia" w:ascii="Times New Roman" w:hAnsi="Times New Roman" w:eastAsia="宋体"/>
          <w:w w:val="80"/>
          <w:sz w:val="48"/>
          <w:szCs w:val="44"/>
        </w:rPr>
      </w:pPr>
      <w:r>
        <w:rPr>
          <w:rFonts w:hint="eastAsia" w:ascii="Times New Roman" w:hAnsi="Times New Roman" w:eastAsia="宋体"/>
          <w:w w:val="80"/>
          <w:sz w:val="48"/>
          <w:szCs w:val="44"/>
        </w:rPr>
        <w:br w:type="page"/>
      </w:r>
    </w:p>
    <w:p w14:paraId="3BDB523D">
      <w:pPr>
        <w:pStyle w:val="4"/>
        <w:keepNext w:val="0"/>
        <w:keepLines w:val="0"/>
        <w:kinsoku w:val="0"/>
        <w:overflowPunct w:val="0"/>
        <w:autoSpaceDE w:val="0"/>
        <w:autoSpaceDN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第二章 供应商须知</w:t>
      </w:r>
    </w:p>
    <w:p w14:paraId="1AE184F3">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一、说明</w:t>
      </w:r>
    </w:p>
    <w:p w14:paraId="7B8EFF26">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1、本</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仅适用于采购人组织的</w:t>
      </w:r>
      <w:r>
        <w:rPr>
          <w:rFonts w:hint="eastAsia" w:ascii="Times New Roman" w:hAnsi="Times New Roman" w:cs="宋体"/>
          <w:bCs/>
          <w:sz w:val="24"/>
          <w:szCs w:val="24"/>
          <w:lang w:eastAsia="zh-CN"/>
        </w:rPr>
        <w:t>招标</w:t>
      </w:r>
      <w:r>
        <w:rPr>
          <w:rFonts w:hint="eastAsia" w:ascii="Times New Roman" w:hAnsi="Times New Roman" w:cs="宋体"/>
          <w:bCs/>
          <w:sz w:val="24"/>
          <w:szCs w:val="24"/>
        </w:rPr>
        <w:t>采购活动。</w:t>
      </w:r>
    </w:p>
    <w:p w14:paraId="4B149A35">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2、</w:t>
      </w:r>
      <w:r>
        <w:rPr>
          <w:rFonts w:hint="eastAsia" w:ascii="Times New Roman" w:hAnsi="Times New Roman" w:cs="宋体"/>
          <w:bCs/>
          <w:sz w:val="24"/>
          <w:szCs w:val="24"/>
          <w:lang w:eastAsia="zh-CN"/>
        </w:rPr>
        <w:t>比选活动</w:t>
      </w:r>
      <w:r>
        <w:rPr>
          <w:rFonts w:hint="eastAsia" w:ascii="Times New Roman" w:hAnsi="Times New Roman" w:cs="宋体"/>
          <w:bCs/>
          <w:sz w:val="24"/>
          <w:szCs w:val="24"/>
        </w:rPr>
        <w:t>及因本次招标产生的合同受中国法律制约和保护。</w:t>
      </w:r>
    </w:p>
    <w:p w14:paraId="3191CE74">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3、</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的解释权属于采购人。</w:t>
      </w:r>
    </w:p>
    <w:p w14:paraId="20C6D1EE">
      <w:pPr>
        <w:kinsoku w:val="0"/>
        <w:overflowPunct w:val="0"/>
        <w:autoSpaceDE w:val="0"/>
        <w:autoSpaceDN w:val="0"/>
        <w:spacing w:line="360" w:lineRule="auto"/>
        <w:ind w:firstLine="480" w:firstLineChars="200"/>
        <w:textAlignment w:val="baseline"/>
        <w:rPr>
          <w:rFonts w:hint="eastAsia" w:ascii="Times New Roman" w:hAnsi="Times New Roman" w:cs="宋体"/>
          <w:sz w:val="24"/>
          <w:szCs w:val="24"/>
        </w:rPr>
      </w:pPr>
      <w:r>
        <w:rPr>
          <w:rFonts w:hint="eastAsia" w:ascii="Times New Roman" w:hAnsi="Times New Roman" w:cs="宋体"/>
          <w:sz w:val="24"/>
          <w:szCs w:val="24"/>
        </w:rPr>
        <w:t>4、供应商应认真审阅</w:t>
      </w:r>
      <w:r>
        <w:rPr>
          <w:rFonts w:hint="eastAsia" w:ascii="Times New Roman" w:hAnsi="Times New Roman" w:cs="宋体"/>
          <w:sz w:val="24"/>
          <w:szCs w:val="24"/>
          <w:lang w:eastAsia="zh-CN"/>
        </w:rPr>
        <w:t>比选文件</w:t>
      </w:r>
      <w:r>
        <w:rPr>
          <w:rFonts w:hint="eastAsia" w:ascii="Times New Roman" w:hAnsi="Times New Roman" w:cs="宋体"/>
          <w:sz w:val="24"/>
          <w:szCs w:val="24"/>
        </w:rPr>
        <w:t>中所有的事项、格式、条款和规范要求等，如果供应商没有按照</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要求提交响应文件，或者响应文件没有对</w:t>
      </w:r>
      <w:r>
        <w:rPr>
          <w:rFonts w:hint="eastAsia" w:ascii="Times New Roman" w:hAnsi="Times New Roman" w:cs="宋体"/>
          <w:sz w:val="24"/>
          <w:szCs w:val="24"/>
          <w:lang w:eastAsia="zh-CN"/>
        </w:rPr>
        <w:t>比选文件</w:t>
      </w:r>
      <w:r>
        <w:rPr>
          <w:rFonts w:hint="eastAsia" w:ascii="Times New Roman" w:hAnsi="Times New Roman" w:cs="宋体"/>
          <w:sz w:val="24"/>
          <w:szCs w:val="24"/>
        </w:rPr>
        <w:t>做出实质性响应，将被拒绝参与项目的招标。</w:t>
      </w:r>
    </w:p>
    <w:p w14:paraId="4F6E9C6E">
      <w:pPr>
        <w:kinsoku w:val="0"/>
        <w:overflowPunct w:val="0"/>
        <w:autoSpaceDE w:val="0"/>
        <w:autoSpaceDN w:val="0"/>
        <w:spacing w:line="360" w:lineRule="auto"/>
        <w:ind w:firstLine="482" w:firstLineChars="200"/>
        <w:textAlignment w:val="baseline"/>
        <w:rPr>
          <w:rFonts w:ascii="Times New Roman" w:hAnsi="Times New Roman" w:cs="宋体"/>
          <w:b/>
          <w:sz w:val="24"/>
          <w:szCs w:val="24"/>
        </w:rPr>
      </w:pPr>
      <w:r>
        <w:rPr>
          <w:rFonts w:hint="eastAsia" w:ascii="Times New Roman" w:hAnsi="Times New Roman" w:cs="宋体"/>
          <w:b/>
          <w:sz w:val="24"/>
          <w:szCs w:val="24"/>
        </w:rPr>
        <w:t>二、</w:t>
      </w:r>
      <w:r>
        <w:rPr>
          <w:rFonts w:hint="eastAsia" w:ascii="Times New Roman" w:hAnsi="Times New Roman" w:cs="宋体"/>
          <w:b/>
          <w:sz w:val="24"/>
          <w:szCs w:val="24"/>
          <w:lang w:eastAsia="zh-CN"/>
        </w:rPr>
        <w:t>比选文件</w:t>
      </w:r>
      <w:r>
        <w:rPr>
          <w:rFonts w:hint="eastAsia" w:ascii="Times New Roman" w:hAnsi="Times New Roman" w:cs="宋体"/>
          <w:b/>
          <w:sz w:val="24"/>
          <w:szCs w:val="24"/>
        </w:rPr>
        <w:t>的澄清、修改、答疑</w:t>
      </w:r>
    </w:p>
    <w:p w14:paraId="357DB503">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1、采购人有权对发出的</w:t>
      </w:r>
      <w:r>
        <w:rPr>
          <w:rFonts w:hint="eastAsia" w:ascii="Times New Roman" w:hAnsi="Times New Roman" w:cs="宋体"/>
          <w:sz w:val="24"/>
          <w:szCs w:val="24"/>
          <w:lang w:eastAsia="zh-CN"/>
        </w:rPr>
        <w:t>比选文件</w:t>
      </w:r>
      <w:r>
        <w:rPr>
          <w:rFonts w:hint="eastAsia" w:ascii="Times New Roman" w:hAnsi="Times New Roman" w:cs="宋体"/>
          <w:sz w:val="24"/>
          <w:szCs w:val="24"/>
        </w:rPr>
        <w:t>进行必要的澄清、修改或补充。</w:t>
      </w:r>
    </w:p>
    <w:p w14:paraId="37423DC1">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比选文件</w:t>
      </w:r>
      <w:r>
        <w:rPr>
          <w:rFonts w:hint="eastAsia" w:ascii="Times New Roman" w:hAnsi="Times New Roman" w:cs="宋体"/>
          <w:sz w:val="24"/>
          <w:szCs w:val="24"/>
        </w:rPr>
        <w:t>的澄清、修改、补充等内容均以书面明确的形式发布，并以南通市第三人民医院官网发布的信息为准。</w:t>
      </w:r>
    </w:p>
    <w:p w14:paraId="5FC40A4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3、采购人对</w:t>
      </w:r>
      <w:r>
        <w:rPr>
          <w:rFonts w:hint="eastAsia" w:ascii="Times New Roman" w:hAnsi="Times New Roman" w:cs="宋体"/>
          <w:sz w:val="24"/>
          <w:szCs w:val="24"/>
          <w:lang w:eastAsia="zh-CN"/>
        </w:rPr>
        <w:t>比选文件</w:t>
      </w:r>
      <w:r>
        <w:rPr>
          <w:rFonts w:hint="eastAsia" w:ascii="Times New Roman" w:hAnsi="Times New Roman" w:cs="宋体"/>
          <w:sz w:val="24"/>
          <w:szCs w:val="24"/>
        </w:rPr>
        <w:t>的澄清、修改将构成</w:t>
      </w:r>
      <w:r>
        <w:rPr>
          <w:rFonts w:hint="eastAsia" w:ascii="Times New Roman" w:hAnsi="Times New Roman" w:cs="宋体"/>
          <w:sz w:val="24"/>
          <w:szCs w:val="24"/>
          <w:lang w:eastAsia="zh-CN"/>
        </w:rPr>
        <w:t>比选文件</w:t>
      </w:r>
      <w:r>
        <w:rPr>
          <w:rFonts w:hint="eastAsia" w:ascii="Times New Roman" w:hAnsi="Times New Roman" w:cs="宋体"/>
          <w:sz w:val="24"/>
          <w:szCs w:val="24"/>
        </w:rPr>
        <w:t>的一部分，对响应招标的供应商具有约束力。</w:t>
      </w:r>
    </w:p>
    <w:p w14:paraId="081676DB">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4、提交首次响应文件截止之日前，采购人可以对已发出的</w:t>
      </w:r>
      <w:r>
        <w:rPr>
          <w:rFonts w:hint="eastAsia" w:ascii="Times New Roman" w:hAnsi="Times New Roman" w:cs="宋体"/>
          <w:sz w:val="24"/>
          <w:szCs w:val="24"/>
          <w:lang w:eastAsia="zh-CN"/>
        </w:rPr>
        <w:t>比选文件</w:t>
      </w:r>
      <w:r>
        <w:rPr>
          <w:rFonts w:hint="eastAsia" w:ascii="Times New Roman" w:hAnsi="Times New Roman" w:cs="宋体"/>
          <w:sz w:val="24"/>
          <w:szCs w:val="24"/>
        </w:rPr>
        <w:t>进行必要的澄清或修改，澄清或者修改的内容作为</w:t>
      </w:r>
      <w:r>
        <w:rPr>
          <w:rFonts w:hint="eastAsia" w:ascii="Times New Roman" w:hAnsi="Times New Roman" w:cs="宋体"/>
          <w:sz w:val="24"/>
          <w:szCs w:val="24"/>
          <w:lang w:eastAsia="zh-CN"/>
        </w:rPr>
        <w:t>比选文件</w:t>
      </w:r>
      <w:r>
        <w:rPr>
          <w:rFonts w:hint="eastAsia" w:ascii="Times New Roman" w:hAnsi="Times New Roman" w:cs="宋体"/>
          <w:sz w:val="24"/>
          <w:szCs w:val="24"/>
        </w:rPr>
        <w:t>的组成部分。澄清或者修改的内容可能影响到响应文件编制的，采购人在提交首次响应文件截止时间至少5日前，以书面形式通知所有获取</w:t>
      </w:r>
      <w:r>
        <w:rPr>
          <w:rFonts w:hint="eastAsia" w:ascii="Times New Roman" w:hAnsi="Times New Roman" w:cs="宋体"/>
          <w:sz w:val="24"/>
          <w:szCs w:val="24"/>
          <w:lang w:eastAsia="zh-CN"/>
        </w:rPr>
        <w:t>比选文件</w:t>
      </w:r>
      <w:r>
        <w:rPr>
          <w:rFonts w:hint="eastAsia" w:ascii="Times New Roman" w:hAnsi="Times New Roman" w:cs="宋体"/>
          <w:sz w:val="24"/>
          <w:szCs w:val="24"/>
        </w:rPr>
        <w:t>的供应商；不足5日的，采购人顺延提交首次响应文件截止时间。</w:t>
      </w:r>
    </w:p>
    <w:p w14:paraId="64CEF67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5、除非采购人以书面的形式对</w:t>
      </w:r>
      <w:r>
        <w:rPr>
          <w:rFonts w:hint="eastAsia" w:ascii="Times New Roman" w:hAnsi="Times New Roman" w:cs="宋体"/>
          <w:sz w:val="24"/>
          <w:szCs w:val="24"/>
          <w:lang w:eastAsia="zh-CN"/>
        </w:rPr>
        <w:t>比选文件</w:t>
      </w:r>
      <w:r>
        <w:rPr>
          <w:rFonts w:hint="eastAsia" w:ascii="Times New Roman" w:hAnsi="Times New Roman" w:cs="宋体"/>
          <w:sz w:val="24"/>
          <w:szCs w:val="24"/>
        </w:rPr>
        <w:t>作出澄清、修改及补充，供应商对涉及</w:t>
      </w:r>
      <w:r>
        <w:rPr>
          <w:rFonts w:hint="eastAsia" w:ascii="Times New Roman" w:hAnsi="Times New Roman" w:cs="宋体"/>
          <w:sz w:val="24"/>
          <w:szCs w:val="24"/>
          <w:lang w:eastAsia="zh-CN"/>
        </w:rPr>
        <w:t>比选文件</w:t>
      </w:r>
      <w:r>
        <w:rPr>
          <w:rFonts w:hint="eastAsia" w:ascii="Times New Roman" w:hAnsi="Times New Roman" w:cs="宋体"/>
          <w:sz w:val="24"/>
          <w:szCs w:val="24"/>
        </w:rPr>
        <w:t>的任何推论、理解和结论所造成的结果，均由供应商自负。</w:t>
      </w:r>
    </w:p>
    <w:p w14:paraId="2BC660A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6、采购单位视情组织答疑会。如有产生答疑且对</w:t>
      </w:r>
      <w:r>
        <w:rPr>
          <w:rFonts w:hint="eastAsia" w:ascii="Times New Roman" w:hAnsi="Times New Roman" w:cs="宋体"/>
          <w:sz w:val="24"/>
          <w:szCs w:val="24"/>
          <w:lang w:eastAsia="zh-CN"/>
        </w:rPr>
        <w:t>比选文件</w:t>
      </w:r>
      <w:r>
        <w:rPr>
          <w:rFonts w:hint="eastAsia" w:ascii="Times New Roman" w:hAnsi="Times New Roman" w:cs="宋体"/>
          <w:sz w:val="24"/>
          <w:szCs w:val="24"/>
        </w:rPr>
        <w:t>内容有修改，将按照本须知有关规定，以补充通知（公告）的方式发出。</w:t>
      </w:r>
    </w:p>
    <w:p w14:paraId="128765DF">
      <w:pPr>
        <w:kinsoku w:val="0"/>
        <w:overflowPunct w:val="0"/>
        <w:autoSpaceDE w:val="0"/>
        <w:autoSpaceDN w:val="0"/>
        <w:spacing w:line="360" w:lineRule="auto"/>
        <w:ind w:firstLine="482" w:firstLineChars="200"/>
        <w:textAlignment w:val="baseline"/>
        <w:rPr>
          <w:rFonts w:ascii="Times New Roman" w:hAnsi="Times New Roman" w:cs="宋体"/>
          <w:b/>
          <w:sz w:val="24"/>
          <w:szCs w:val="24"/>
        </w:rPr>
      </w:pPr>
      <w:r>
        <w:rPr>
          <w:rFonts w:hint="eastAsia" w:ascii="Times New Roman" w:hAnsi="Times New Roman" w:cs="宋体"/>
          <w:b/>
          <w:sz w:val="24"/>
          <w:szCs w:val="24"/>
        </w:rPr>
        <w:t>三、响应文件的编制及装订</w:t>
      </w:r>
    </w:p>
    <w:p w14:paraId="6C95A623">
      <w:pPr>
        <w:spacing w:line="360" w:lineRule="auto"/>
        <w:ind w:firstLine="484" w:firstLineChars="202"/>
        <w:textAlignment w:val="baseline"/>
        <w:rPr>
          <w:rFonts w:ascii="Times New Roman" w:hAnsi="Times New Roman" w:cs="宋体"/>
          <w:sz w:val="24"/>
          <w:szCs w:val="24"/>
        </w:rPr>
      </w:pPr>
      <w:r>
        <w:rPr>
          <w:rFonts w:hint="eastAsia" w:ascii="Times New Roman" w:hAnsi="Times New Roman" w:cs="宋体"/>
          <w:sz w:val="24"/>
          <w:szCs w:val="24"/>
        </w:rPr>
        <w:t>供应商按</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要求编写响应文件，并装订成册。响应文件不得行间插字、涂改、增删，如修改错漏处，须经响应文件签署人签字并加盖公章。</w:t>
      </w:r>
    </w:p>
    <w:p w14:paraId="5A794C8B">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四、响应文件的份数和签署</w:t>
      </w:r>
    </w:p>
    <w:p w14:paraId="2BDB1110">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1、响应文件由：</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资格审查文件、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报价响应文件共3部分组成（以下由文件序号代称）。</w:t>
      </w:r>
    </w:p>
    <w:p w14:paraId="57B1A68D">
      <w:pPr>
        <w:kinsoku w:val="0"/>
        <w:overflowPunct w:val="0"/>
        <w:autoSpaceDE w:val="0"/>
        <w:autoSpaceDN w:val="0"/>
        <w:spacing w:line="360" w:lineRule="auto"/>
        <w:ind w:firstLine="480" w:firstLineChars="200"/>
        <w:textAlignment w:val="baseline"/>
        <w:rPr>
          <w:rFonts w:ascii="Times New Roman" w:hAnsi="Times New Roman" w:cs="宋体"/>
          <w:b/>
          <w:sz w:val="24"/>
          <w:szCs w:val="24"/>
          <w:u w:val="single"/>
        </w:rPr>
      </w:pPr>
      <w:r>
        <w:rPr>
          <w:rFonts w:hint="eastAsia" w:ascii="Times New Roman" w:hAnsi="Times New Roman" w:cs="宋体"/>
          <w:sz w:val="24"/>
          <w:szCs w:val="24"/>
        </w:rPr>
        <w:t>2、</w:t>
      </w:r>
      <w:r>
        <w:rPr>
          <w:rFonts w:hint="eastAsia" w:ascii="Times New Roman" w:hAnsi="Times New Roman" w:cs="宋体"/>
          <w:b/>
          <w:sz w:val="24"/>
          <w:szCs w:val="24"/>
        </w:rPr>
        <w:t>响应文件均为一式叁份，其中“正本”壹份和“副本”贰份。</w:t>
      </w:r>
    </w:p>
    <w:p w14:paraId="7DC0B1C0">
      <w:pPr>
        <w:kinsoku w:val="0"/>
        <w:overflowPunct w:val="0"/>
        <w:autoSpaceDE w:val="0"/>
        <w:autoSpaceDN w:val="0"/>
        <w:spacing w:line="360" w:lineRule="auto"/>
        <w:ind w:firstLine="470" w:firstLineChars="196"/>
        <w:textAlignment w:val="baseline"/>
        <w:rPr>
          <w:rFonts w:ascii="Times New Roman" w:hAnsi="Times New Roman" w:cs="宋体"/>
          <w:sz w:val="24"/>
          <w:szCs w:val="24"/>
        </w:rPr>
      </w:pPr>
      <w:r>
        <w:rPr>
          <w:rFonts w:hint="eastAsia" w:ascii="Times New Roman" w:hAnsi="Times New Roman" w:cs="宋体"/>
          <w:sz w:val="24"/>
          <w:szCs w:val="24"/>
        </w:rPr>
        <w:t>3、在每份响应文件上要明确标注项目名称、对应的响应文件名称、供应商的全称、日期、“正本”、“副本”字样。“正本”和“副本”若有差异，概以“正本”为准。</w:t>
      </w:r>
    </w:p>
    <w:p w14:paraId="5BF2B082">
      <w:pPr>
        <w:spacing w:line="360" w:lineRule="auto"/>
        <w:ind w:firstLine="470" w:firstLineChars="196"/>
        <w:textAlignment w:val="baseline"/>
        <w:rPr>
          <w:rFonts w:ascii="Times New Roman" w:hAnsi="Times New Roman" w:cs="宋体"/>
          <w:sz w:val="24"/>
          <w:szCs w:val="24"/>
        </w:rPr>
      </w:pPr>
      <w:r>
        <w:rPr>
          <w:rFonts w:hint="eastAsia" w:ascii="Times New Roman" w:hAnsi="Times New Roman" w:cs="宋体"/>
          <w:sz w:val="24"/>
          <w:szCs w:val="24"/>
        </w:rPr>
        <w:t>4、响应文件中的所有“正本”，其正文内容须按</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要求由供应商法定代表人或被授权人签字（或盖章）并加盖单位公章。“副本”可复印，但须加盖单位公章。</w:t>
      </w:r>
    </w:p>
    <w:p w14:paraId="4BAE930B">
      <w:pPr>
        <w:kinsoku w:val="0"/>
        <w:overflowPunct w:val="0"/>
        <w:autoSpaceDE w:val="0"/>
        <w:autoSpaceDN w:val="0"/>
        <w:spacing w:line="360" w:lineRule="auto"/>
        <w:ind w:firstLine="472" w:firstLineChars="196"/>
        <w:textAlignment w:val="baseline"/>
        <w:rPr>
          <w:rFonts w:ascii="Times New Roman" w:hAnsi="Times New Roman" w:cs="宋体"/>
          <w:b/>
          <w:bCs/>
          <w:sz w:val="24"/>
          <w:szCs w:val="24"/>
        </w:rPr>
      </w:pPr>
      <w:r>
        <w:rPr>
          <w:rFonts w:hint="eastAsia" w:ascii="Times New Roman" w:hAnsi="Times New Roman" w:cs="宋体"/>
          <w:b/>
          <w:bCs/>
          <w:sz w:val="24"/>
          <w:szCs w:val="24"/>
        </w:rPr>
        <w:t>五、响应文件的密封及标记</w:t>
      </w:r>
    </w:p>
    <w:p w14:paraId="45DA9D75">
      <w:pPr>
        <w:kinsoku w:val="0"/>
        <w:overflowPunct w:val="0"/>
        <w:autoSpaceDE w:val="0"/>
        <w:autoSpaceDN w:val="0"/>
        <w:spacing w:line="360" w:lineRule="auto"/>
        <w:ind w:firstLine="480" w:firstLineChars="200"/>
        <w:textAlignment w:val="baseline"/>
        <w:rPr>
          <w:rFonts w:ascii="Times New Roman" w:hAnsi="Times New Roman" w:cs="宋体"/>
          <w:sz w:val="24"/>
          <w:szCs w:val="24"/>
          <w:u w:val="single"/>
        </w:rPr>
      </w:pPr>
      <w:r>
        <w:rPr>
          <w:rFonts w:hint="eastAsia" w:ascii="Times New Roman" w:hAnsi="Times New Roman" w:cs="宋体"/>
          <w:sz w:val="24"/>
          <w:szCs w:val="24"/>
        </w:rPr>
        <w:t>1、供应商须将本项目响应文件：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b/>
          <w:sz w:val="24"/>
          <w:szCs w:val="24"/>
        </w:rPr>
        <w:t>单独密封</w:t>
      </w:r>
      <w:r>
        <w:rPr>
          <w:rFonts w:hint="eastAsia" w:ascii="Times New Roman" w:hAnsi="Times New Roman" w:cs="宋体"/>
          <w:sz w:val="24"/>
          <w:szCs w:val="24"/>
        </w:rPr>
        <w:t>。响应文件正副本可统一密封或分别密封，如正本和副本分别密封的，应在封袋上标明正、副本字样。</w:t>
      </w:r>
    </w:p>
    <w:p w14:paraId="00221732">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2、密封后，应在每一密封的响应文件上明确标注</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名称、响应文件各自对应的名称、供应商的全称及日期，并加盖供应商公章。</w:t>
      </w:r>
    </w:p>
    <w:p w14:paraId="7EC29429">
      <w:pPr>
        <w:spacing w:line="360" w:lineRule="auto"/>
        <w:ind w:firstLine="482" w:firstLineChars="200"/>
        <w:textAlignment w:val="baseline"/>
        <w:rPr>
          <w:rFonts w:ascii="Times New Roman" w:hAnsi="Times New Roman" w:cs="宋体"/>
          <w:sz w:val="24"/>
          <w:szCs w:val="24"/>
        </w:rPr>
      </w:pPr>
      <w:r>
        <w:rPr>
          <w:rFonts w:hint="eastAsia" w:ascii="Times New Roman" w:hAnsi="Times New Roman" w:cs="宋体"/>
          <w:b/>
          <w:sz w:val="24"/>
          <w:szCs w:val="24"/>
        </w:rPr>
        <w:t>【特别提醒】</w:t>
      </w:r>
      <w:r>
        <w:rPr>
          <w:rFonts w:hint="eastAsia" w:ascii="Times New Roman" w:hAnsi="Times New Roman" w:cs="宋体"/>
          <w:sz w:val="24"/>
          <w:szCs w:val="24"/>
        </w:rPr>
        <w:t>响应文件中的</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的“正本”或“副本”中，均不得含有报价响应文件中报价表（报价单）内的任何项目价格，否则作无效响应处理。</w:t>
      </w:r>
    </w:p>
    <w:p w14:paraId="1D41C364">
      <w:pPr>
        <w:kinsoku w:val="0"/>
        <w:overflowPunct w:val="0"/>
        <w:autoSpaceDE w:val="0"/>
        <w:autoSpaceDN w:val="0"/>
        <w:spacing w:line="360" w:lineRule="auto"/>
        <w:ind w:firstLine="496" w:firstLineChars="206"/>
        <w:textAlignment w:val="baseline"/>
        <w:rPr>
          <w:rFonts w:ascii="Times New Roman" w:hAnsi="Times New Roman" w:cs="宋体"/>
          <w:b/>
          <w:bCs/>
          <w:sz w:val="24"/>
          <w:szCs w:val="24"/>
        </w:rPr>
      </w:pPr>
      <w:r>
        <w:rPr>
          <w:rFonts w:hint="eastAsia" w:ascii="Times New Roman" w:hAnsi="Times New Roman" w:cs="宋体"/>
          <w:b/>
          <w:bCs/>
          <w:sz w:val="24"/>
          <w:szCs w:val="24"/>
        </w:rPr>
        <w:t>六、投标报价</w:t>
      </w:r>
    </w:p>
    <w:p w14:paraId="75119A83">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rPr>
        <w:t>供应商应对所要采购的全部内容进行报价，一个项目只允许一个报价，只报其中部分内容的或出现选择性报价，将被视为无效报价</w:t>
      </w:r>
      <w:r>
        <w:rPr>
          <w:rFonts w:hint="eastAsia" w:ascii="Times New Roman" w:hAnsi="Times New Roman" w:cs="宋体"/>
          <w:sz w:val="24"/>
          <w:szCs w:val="24"/>
        </w:rPr>
        <w:t>。</w:t>
      </w:r>
    </w:p>
    <w:p w14:paraId="000070A1">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比选报价</w:t>
      </w:r>
      <w:r>
        <w:rPr>
          <w:rFonts w:hint="eastAsia" w:ascii="Times New Roman" w:hAnsi="Times New Roman" w:cs="宋体"/>
          <w:sz w:val="24"/>
          <w:szCs w:val="24"/>
        </w:rPr>
        <w:t>均以人民币为报价的币种。</w:t>
      </w:r>
    </w:p>
    <w:p w14:paraId="2FCDD03F">
      <w:pPr>
        <w:kinsoku w:val="0"/>
        <w:overflowPunct w:val="0"/>
        <w:autoSpaceDE w:val="0"/>
        <w:autoSpaceDN w:val="0"/>
        <w:spacing w:line="360" w:lineRule="auto"/>
        <w:ind w:firstLine="494" w:firstLineChars="206"/>
        <w:textAlignment w:val="baseline"/>
        <w:rPr>
          <w:rFonts w:hint="eastAsia"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报价</w:t>
      </w:r>
      <w:r>
        <w:rPr>
          <w:rFonts w:hint="eastAsia" w:ascii="Times New Roman" w:hAnsi="Times New Roman" w:cs="宋体"/>
          <w:sz w:val="24"/>
          <w:szCs w:val="24"/>
        </w:rPr>
        <w:t>表必须加盖单位公章且必须经法定代表人或被授权人签字或盖章。报价表中的大写金额与小写金额、总价金额与按单价汇总金额，若有差异，将执行《政府采购货物和服务招标投标管理办法》第59条的规定。</w:t>
      </w:r>
    </w:p>
    <w:p w14:paraId="22EA1D85">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4、本项目报价为固定报价，供应商应充分考虑服务实施期间各类市场价格和政策性价格调整因素，确定价格风险计入报价中，今后不作调整。</w:t>
      </w:r>
      <w:r>
        <w:rPr>
          <w:rFonts w:hint="eastAsia" w:ascii="Times New Roman" w:hAnsi="Times New Roman"/>
          <w:sz w:val="24"/>
          <w:szCs w:val="24"/>
        </w:rPr>
        <w:t>响应报价应包括完成本项目所需的一切费用，包括但不限于各种税费、人工、保险、劳保、管理、维护、检验检测费、利润、税金、政策性文件规定及合同包含的所有风险、责任等各项应有费用。</w:t>
      </w:r>
      <w:r>
        <w:rPr>
          <w:rFonts w:hint="eastAsia" w:ascii="Times New Roman" w:cs="宋体"/>
          <w:sz w:val="24"/>
          <w:szCs w:val="24"/>
        </w:rPr>
        <w:t>即完成本采购项目服务的所有费用及包含响应</w:t>
      </w:r>
      <w:r>
        <w:rPr>
          <w:rFonts w:hint="eastAsia" w:ascii="Times New Roman" w:cs="宋体"/>
          <w:sz w:val="24"/>
          <w:szCs w:val="24"/>
          <w:lang w:eastAsia="zh-CN"/>
        </w:rPr>
        <w:t>比选文件</w:t>
      </w:r>
      <w:r>
        <w:rPr>
          <w:rFonts w:hint="eastAsia" w:ascii="Times New Roman" w:cs="宋体"/>
          <w:sz w:val="24"/>
          <w:szCs w:val="24"/>
        </w:rPr>
        <w:t>采购要求的所有费用。</w:t>
      </w:r>
      <w:r>
        <w:rPr>
          <w:rFonts w:hint="eastAsia" w:ascii="Times New Roman" w:hAnsi="Times New Roman"/>
          <w:sz w:val="24"/>
          <w:szCs w:val="24"/>
        </w:rPr>
        <w:t>同时，报价也应包含合同履行过程中可能发生的一切风险。</w:t>
      </w:r>
    </w:p>
    <w:p w14:paraId="1BC35553">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5、供应商应详细阅读</w:t>
      </w:r>
      <w:r>
        <w:rPr>
          <w:rFonts w:hint="eastAsia" w:ascii="Times New Roman" w:hAnsi="Times New Roman" w:cs="宋体"/>
          <w:sz w:val="24"/>
          <w:szCs w:val="24"/>
          <w:lang w:eastAsia="zh-CN"/>
        </w:rPr>
        <w:t>比选文件</w:t>
      </w:r>
      <w:r>
        <w:rPr>
          <w:rFonts w:hint="eastAsia" w:ascii="Times New Roman" w:hAnsi="Times New Roman" w:cs="宋体"/>
          <w:sz w:val="24"/>
          <w:szCs w:val="24"/>
        </w:rPr>
        <w:t>的全部内容，根据采购项目需求，准确制定相关工作方案等，必须对本采购项目全部进行报价，如有漏项，视同对本项目的优惠。不按</w:t>
      </w:r>
      <w:r>
        <w:rPr>
          <w:rFonts w:hint="eastAsia" w:ascii="Times New Roman" w:hAnsi="Times New Roman" w:cs="宋体"/>
          <w:sz w:val="24"/>
          <w:szCs w:val="24"/>
          <w:lang w:eastAsia="zh-CN"/>
        </w:rPr>
        <w:t>比选文件</w:t>
      </w:r>
      <w:r>
        <w:rPr>
          <w:rFonts w:hint="eastAsia" w:ascii="Times New Roman" w:hAnsi="Times New Roman" w:cs="宋体"/>
          <w:sz w:val="24"/>
          <w:szCs w:val="24"/>
        </w:rPr>
        <w:t>的要求提供响应文件，导致报价无效，作无效响应处理。</w:t>
      </w:r>
    </w:p>
    <w:p w14:paraId="793BC607">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6、招标的最终报价为成交价。同时，供应商的最终成交价在合同实施期间不因市场变化因素而变动。</w:t>
      </w:r>
    </w:p>
    <w:p w14:paraId="629439FB">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7、</w:t>
      </w:r>
      <w:r>
        <w:rPr>
          <w:rFonts w:hint="eastAsia" w:ascii="Times New Roman" w:hAnsi="Times New Roman" w:cs="宋体"/>
          <w:sz w:val="24"/>
        </w:rPr>
        <w:t>最终报价将作为</w:t>
      </w:r>
      <w:r>
        <w:rPr>
          <w:rFonts w:hint="eastAsia" w:ascii="Times New Roman" w:hAnsi="Times New Roman" w:cs="宋体"/>
          <w:sz w:val="24"/>
          <w:lang w:eastAsia="zh-CN"/>
        </w:rPr>
        <w:t>比选小组</w:t>
      </w:r>
      <w:r>
        <w:rPr>
          <w:rFonts w:hint="eastAsia" w:ascii="Times New Roman" w:hAnsi="Times New Roman" w:cs="宋体"/>
          <w:sz w:val="24"/>
        </w:rPr>
        <w:t>评定</w:t>
      </w:r>
      <w:r>
        <w:rPr>
          <w:rFonts w:hint="eastAsia" w:ascii="Times New Roman" w:hAnsi="Times New Roman" w:cs="宋体"/>
          <w:sz w:val="24"/>
          <w:lang w:eastAsia="zh-CN"/>
        </w:rPr>
        <w:t>中标人</w:t>
      </w:r>
      <w:r>
        <w:rPr>
          <w:rFonts w:hint="eastAsia" w:ascii="Times New Roman" w:hAnsi="Times New Roman" w:cs="宋体"/>
          <w:sz w:val="24"/>
        </w:rPr>
        <w:t>的依据</w:t>
      </w:r>
      <w:r>
        <w:rPr>
          <w:rFonts w:hint="eastAsia" w:ascii="Times New Roman" w:hAnsi="Times New Roman" w:cs="宋体"/>
          <w:sz w:val="24"/>
          <w:szCs w:val="24"/>
        </w:rPr>
        <w:t>。</w:t>
      </w:r>
    </w:p>
    <w:p w14:paraId="24F1BAEC">
      <w:pPr>
        <w:kinsoku w:val="0"/>
        <w:overflowPunct w:val="0"/>
        <w:autoSpaceDE w:val="0"/>
        <w:autoSpaceDN w:val="0"/>
        <w:spacing w:line="360" w:lineRule="auto"/>
        <w:ind w:firstLine="496" w:firstLineChars="206"/>
        <w:textAlignment w:val="baseline"/>
        <w:rPr>
          <w:rFonts w:ascii="Times New Roman" w:hAnsi="Times New Roman" w:cs="宋体"/>
          <w:b/>
          <w:bCs/>
          <w:sz w:val="24"/>
          <w:szCs w:val="24"/>
        </w:rPr>
      </w:pPr>
      <w:r>
        <w:rPr>
          <w:rFonts w:hint="eastAsia" w:ascii="Times New Roman" w:hAnsi="Times New Roman" w:cs="宋体"/>
          <w:b/>
          <w:bCs/>
          <w:sz w:val="24"/>
          <w:szCs w:val="24"/>
        </w:rPr>
        <w:t>七、联合体参与招标</w:t>
      </w:r>
    </w:p>
    <w:p w14:paraId="7184421D">
      <w:pPr>
        <w:kinsoku w:val="0"/>
        <w:overflowPunct w:val="0"/>
        <w:autoSpaceDE w:val="0"/>
        <w:autoSpaceDN w:val="0"/>
        <w:spacing w:line="360" w:lineRule="auto"/>
        <w:ind w:firstLine="484" w:firstLineChars="202"/>
        <w:textAlignment w:val="baseline"/>
        <w:rPr>
          <w:rFonts w:ascii="Times New Roman" w:hAnsi="Times New Roman" w:cs="宋体"/>
          <w:sz w:val="24"/>
          <w:szCs w:val="24"/>
        </w:rPr>
      </w:pPr>
      <w:r>
        <w:rPr>
          <w:rFonts w:hint="eastAsia" w:ascii="Times New Roman" w:hAnsi="Times New Roman" w:cs="宋体"/>
          <w:sz w:val="24"/>
          <w:szCs w:val="24"/>
        </w:rPr>
        <w:t>不接受任何形式的联合体参与本项目的</w:t>
      </w:r>
      <w:r>
        <w:rPr>
          <w:rFonts w:hint="eastAsia" w:ascii="Times New Roman" w:hAnsi="Times New Roman" w:cs="宋体"/>
          <w:sz w:val="24"/>
          <w:szCs w:val="24"/>
          <w:lang w:eastAsia="zh-CN"/>
        </w:rPr>
        <w:t>招标</w:t>
      </w:r>
      <w:r>
        <w:rPr>
          <w:rFonts w:hint="eastAsia" w:ascii="Times New Roman" w:hAnsi="Times New Roman" w:cs="宋体"/>
          <w:sz w:val="24"/>
          <w:szCs w:val="24"/>
        </w:rPr>
        <w:t>。</w:t>
      </w:r>
    </w:p>
    <w:p w14:paraId="125C7570">
      <w:pPr>
        <w:kinsoku w:val="0"/>
        <w:overflowPunct w:val="0"/>
        <w:autoSpaceDE w:val="0"/>
        <w:autoSpaceDN w:val="0"/>
        <w:spacing w:line="360" w:lineRule="auto"/>
        <w:ind w:firstLine="496" w:firstLineChars="206"/>
        <w:textAlignment w:val="baseline"/>
        <w:rPr>
          <w:rFonts w:hint="eastAsia" w:ascii="Times New Roman" w:hAnsi="Times New Roman"/>
          <w:b/>
          <w:sz w:val="24"/>
          <w:szCs w:val="24"/>
        </w:rPr>
      </w:pPr>
      <w:r>
        <w:rPr>
          <w:rFonts w:hint="eastAsia" w:ascii="Times New Roman" w:hAnsi="Times New Roman" w:cs="宋体"/>
          <w:b/>
          <w:sz w:val="24"/>
          <w:szCs w:val="24"/>
          <w:lang w:eastAsia="zh-CN"/>
        </w:rPr>
        <w:t>八</w:t>
      </w:r>
      <w:r>
        <w:rPr>
          <w:rFonts w:hint="eastAsia" w:ascii="Times New Roman" w:hAnsi="Times New Roman" w:cs="宋体"/>
          <w:b/>
          <w:sz w:val="24"/>
          <w:szCs w:val="24"/>
        </w:rPr>
        <w:t>、</w:t>
      </w:r>
      <w:r>
        <w:rPr>
          <w:rFonts w:hint="eastAsia" w:ascii="Times New Roman" w:hAnsi="Times New Roman"/>
          <w:b/>
          <w:sz w:val="24"/>
          <w:szCs w:val="24"/>
        </w:rPr>
        <w:t>变更为其他方式采购的情形处理</w:t>
      </w:r>
    </w:p>
    <w:p w14:paraId="05FCA660">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在本次采购任务未取消的情形下，按照</w:t>
      </w:r>
      <w:r>
        <w:rPr>
          <w:rFonts w:hint="eastAsia" w:ascii="Times New Roman" w:hAnsi="Times New Roman"/>
          <w:sz w:val="24"/>
          <w:szCs w:val="24"/>
          <w:lang w:eastAsia="zh-CN"/>
        </w:rPr>
        <w:t>比选文件</w:t>
      </w:r>
      <w:r>
        <w:rPr>
          <w:rFonts w:hint="eastAsia" w:ascii="Times New Roman" w:hAnsi="Times New Roman"/>
          <w:sz w:val="24"/>
          <w:szCs w:val="24"/>
        </w:rPr>
        <w:t>没有不合理条款、采购程序符合规定，当提交响应文件或采购过程中符合要求的供应商只有两家时，则继续按照本</w:t>
      </w:r>
      <w:r>
        <w:rPr>
          <w:rFonts w:hint="eastAsia" w:ascii="Times New Roman" w:hAnsi="Times New Roman"/>
          <w:sz w:val="24"/>
          <w:szCs w:val="24"/>
          <w:lang w:eastAsia="zh-CN"/>
        </w:rPr>
        <w:t>比选文件</w:t>
      </w:r>
      <w:r>
        <w:rPr>
          <w:rFonts w:hint="eastAsia" w:ascii="Times New Roman" w:hAnsi="Times New Roman"/>
          <w:sz w:val="24"/>
          <w:szCs w:val="24"/>
        </w:rPr>
        <w:t>评审确定</w:t>
      </w:r>
      <w:r>
        <w:rPr>
          <w:rFonts w:hint="eastAsia" w:ascii="Times New Roman" w:hAnsi="Times New Roman"/>
          <w:sz w:val="24"/>
          <w:szCs w:val="24"/>
          <w:lang w:eastAsia="zh-CN"/>
        </w:rPr>
        <w:t>中标人</w:t>
      </w:r>
      <w:r>
        <w:rPr>
          <w:rFonts w:hint="eastAsia" w:ascii="Times New Roman" w:hAnsi="Times New Roman"/>
          <w:sz w:val="24"/>
          <w:szCs w:val="24"/>
        </w:rPr>
        <w:t>；当提交响应文件或采购过程中符合要求的供应商只有一家时，在经有关部门同意后变更为“单一来源”采购方式确定</w:t>
      </w:r>
      <w:r>
        <w:rPr>
          <w:rFonts w:hint="eastAsia" w:ascii="Times New Roman" w:hAnsi="Times New Roman"/>
          <w:sz w:val="24"/>
          <w:szCs w:val="24"/>
          <w:lang w:eastAsia="zh-CN"/>
        </w:rPr>
        <w:t>中标人</w:t>
      </w:r>
      <w:r>
        <w:rPr>
          <w:rFonts w:hint="eastAsia" w:ascii="Times New Roman" w:hAnsi="Times New Roman"/>
          <w:sz w:val="24"/>
          <w:szCs w:val="24"/>
        </w:rPr>
        <w:t>；或者采购人重新组织采购。</w:t>
      </w:r>
    </w:p>
    <w:p w14:paraId="2865C3CD">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注：在招标或谈判过程中，供应商提交的澄清文件和最终报价文件，由供应商法定代表人或被授权人签署后生效，供应商受其约束。</w:t>
      </w:r>
    </w:p>
    <w:p w14:paraId="0BEE12CF">
      <w:pPr>
        <w:pStyle w:val="2"/>
        <w:ind w:left="0" w:leftChars="0" w:firstLine="0" w:firstLineChars="0"/>
      </w:pPr>
    </w:p>
    <w:p w14:paraId="3F66F4E3">
      <w:pPr>
        <w:rPr>
          <w:rFonts w:hint="eastAsia" w:ascii="Times New Roman" w:hAnsi="Times New Roman" w:eastAsia="宋体" w:cs="宋体"/>
          <w:w w:val="80"/>
          <w:sz w:val="48"/>
          <w:szCs w:val="44"/>
        </w:rPr>
      </w:pPr>
      <w:r>
        <w:rPr>
          <w:rFonts w:hint="eastAsia" w:ascii="Times New Roman" w:hAnsi="Times New Roman" w:eastAsia="宋体" w:cs="宋体"/>
          <w:w w:val="80"/>
          <w:sz w:val="48"/>
          <w:szCs w:val="44"/>
        </w:rPr>
        <w:br w:type="page"/>
      </w:r>
    </w:p>
    <w:p w14:paraId="76BA3C5E">
      <w:pPr>
        <w:pStyle w:val="4"/>
        <w:keepNext w:val="0"/>
        <w:keepLines w:val="0"/>
        <w:kinsoku w:val="0"/>
        <w:overflowPunct w:val="0"/>
        <w:autoSpaceDE w:val="0"/>
        <w:autoSpaceDN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第三章 项目需求</w:t>
      </w:r>
    </w:p>
    <w:p w14:paraId="46E6154A">
      <w:pPr>
        <w:keepNext w:val="0"/>
        <w:keepLines w:val="0"/>
        <w:pageBreakBefore w:val="0"/>
        <w:kinsoku/>
        <w:wordWrap/>
        <w:overflowPunct/>
        <w:topLinePunct w:val="0"/>
        <w:autoSpaceDE/>
        <w:autoSpaceDN/>
        <w:bidi w:val="0"/>
        <w:adjustRightInd/>
        <w:snapToGrid/>
        <w:spacing w:line="4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一、项目概述</w:t>
      </w:r>
    </w:p>
    <w:p w14:paraId="1E5997CB">
      <w:pPr>
        <w:keepNext w:val="0"/>
        <w:keepLines w:val="0"/>
        <w:pageBreakBefore w:val="0"/>
        <w:kinsoku/>
        <w:wordWrap/>
        <w:overflowPunct/>
        <w:topLinePunct w:val="0"/>
        <w:autoSpaceDE/>
        <w:autoSpaceDN/>
        <w:bidi w:val="0"/>
        <w:adjustRightInd/>
        <w:snapToGrid/>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本次采购为实验室专用空气净化与通风设备，用于满足包埋工位、细胞工位等不同实验场景下的污气导吸与排放需求。要求设备具备良好的空气动力学性能、耐腐蚀性及低噪音运行特性。</w:t>
      </w:r>
    </w:p>
    <w:p w14:paraId="72CABB37">
      <w:pPr>
        <w:keepNext w:val="0"/>
        <w:keepLines w:val="0"/>
        <w:pageBreakBefore w:val="0"/>
        <w:kinsoku/>
        <w:wordWrap/>
        <w:overflowPunct/>
        <w:topLinePunct w:val="0"/>
        <w:autoSpaceDE/>
        <w:autoSpaceDN/>
        <w:bidi w:val="0"/>
        <w:adjustRightInd/>
        <w:snapToGrid/>
        <w:spacing w:line="4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二、采购内容及技术要求</w:t>
      </w:r>
    </w:p>
    <w:tbl>
      <w:tblPr>
        <w:tblStyle w:val="13"/>
        <w:tblW w:w="9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1950"/>
        <w:gridCol w:w="5130"/>
        <w:gridCol w:w="750"/>
        <w:gridCol w:w="995"/>
      </w:tblGrid>
      <w:tr w14:paraId="457D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651857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56D6AE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CBE1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8162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2EC6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498D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439F0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8825" w:type="dxa"/>
            <w:gridSpan w:val="4"/>
            <w:tcBorders>
              <w:top w:val="single" w:color="000000" w:sz="4" w:space="0"/>
              <w:left w:val="single" w:color="000000" w:sz="4" w:space="0"/>
              <w:bottom w:val="single" w:color="000000" w:sz="4" w:space="0"/>
              <w:right w:val="single" w:color="000000" w:sz="4" w:space="0"/>
            </w:tcBorders>
            <w:noWrap w:val="0"/>
            <w:vAlign w:val="center"/>
          </w:tcPr>
          <w:p w14:paraId="50CF3217">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CN" w:bidi="ar"/>
              </w:rPr>
              <w:t>设备部分</w:t>
            </w:r>
          </w:p>
        </w:tc>
      </w:tr>
      <w:tr w14:paraId="704F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543D01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A7657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台式定向污气导吸装置(右式)</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504053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空气动力学专用设施，铝合金材质，表面阳极氧化，整体一次成模，表面耐候处理。设计风量：300-600m³/h。截面尺寸：250*160mm，风向右。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76A5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3C526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 </w:t>
            </w:r>
          </w:p>
        </w:tc>
      </w:tr>
      <w:tr w14:paraId="30AB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62FD5C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7BAAC0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台式定向污气导吸装置(左式)</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671F22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空气动力学专用设施，铝合金材质，表面阳极氧化，整体一次成模，表面耐候处理。设计风量：300-600m³/h。截面尺寸：250*160mm，风向左。</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982C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F8CB0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 </w:t>
            </w:r>
          </w:p>
        </w:tc>
      </w:tr>
      <w:tr w14:paraId="60EB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217CA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FB6AD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台式通风柜</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034B62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全钢结构，1500*900*1350mm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1、柜体：全钢结构。采用厚度为1.0mm以上优质冷轧钢板；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3、视窗：采用厚5mm强化玻璃。带PVC滑槽，无噪音，无级变速平衡砝码设计，视窗高度可停在任意位置；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4、照明：台面照度达到400LUX，灯具及镇流器与通风柜内的气流无接触；</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0683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03552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 </w:t>
            </w:r>
          </w:p>
        </w:tc>
      </w:tr>
      <w:tr w14:paraId="203A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0867664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二</w:t>
            </w:r>
          </w:p>
        </w:tc>
        <w:tc>
          <w:tcPr>
            <w:tcW w:w="8825" w:type="dxa"/>
            <w:gridSpan w:val="4"/>
            <w:tcBorders>
              <w:top w:val="single" w:color="000000" w:sz="4" w:space="0"/>
              <w:left w:val="single" w:color="000000" w:sz="4" w:space="0"/>
              <w:bottom w:val="single" w:color="000000" w:sz="4" w:space="0"/>
              <w:right w:val="single" w:color="000000" w:sz="4" w:space="0"/>
            </w:tcBorders>
            <w:noWrap/>
            <w:vAlign w:val="center"/>
          </w:tcPr>
          <w:p w14:paraId="26A96A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配套通风系统改造</w:t>
            </w:r>
          </w:p>
        </w:tc>
      </w:tr>
      <w:tr w14:paraId="5872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0CDB65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63CEE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定向污气导吸装置配套排风机</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042AFD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处理风量：1000m3/h，静压：350pa，功率kw：0.55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D96C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331F5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14:paraId="1FE3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3207D8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836F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通风柜配套排</w:t>
            </w:r>
            <w:r>
              <w:rPr>
                <w:rFonts w:hint="eastAsia" w:ascii="宋体" w:hAnsi="宋体" w:eastAsia="宋体" w:cs="宋体"/>
                <w:i w:val="0"/>
                <w:iCs w:val="0"/>
                <w:color w:val="000000"/>
                <w:kern w:val="0"/>
                <w:sz w:val="24"/>
                <w:szCs w:val="24"/>
                <w:u w:val="none"/>
                <w:lang w:val="en-US" w:eastAsia="zh-CN" w:bidi="ar"/>
              </w:rPr>
              <w:t>风机</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6B1476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处理风量：1500m3/h，静压：400pa，功率kw：0.55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4D08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43083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14:paraId="58B6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486E1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571369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镀锌钢板风管</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23DA4C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Style w:val="19"/>
                <w:rFonts w:hint="eastAsia" w:ascii="宋体" w:hAnsi="宋体" w:eastAsia="宋体" w:cs="宋体"/>
                <w:sz w:val="24"/>
                <w:szCs w:val="24"/>
                <w:lang w:val="en-US" w:eastAsia="zh-CN" w:bidi="ar"/>
              </w:rPr>
              <w:t>镀锌钢板风管，共板法兰制作安装，厚度0.5mm-</w:t>
            </w:r>
            <w:r>
              <w:rPr>
                <w:rStyle w:val="19"/>
                <w:rFonts w:hint="eastAsia" w:ascii="宋体" w:hAnsi="宋体" w:eastAsia="宋体" w:cs="宋体"/>
                <w:i w:val="0"/>
                <w:iCs w:val="0"/>
                <w:color w:val="000000"/>
                <w:sz w:val="24"/>
                <w:szCs w:val="24"/>
                <w:lang w:val="en-US" w:eastAsia="zh-CN" w:bidi="ar"/>
              </w:rPr>
              <w:t>1.2mm，含</w:t>
            </w:r>
            <w:r>
              <w:rPr>
                <w:rStyle w:val="19"/>
                <w:rFonts w:hint="eastAsia" w:ascii="宋体" w:hAnsi="宋体" w:eastAsia="宋体" w:cs="宋体"/>
                <w:sz w:val="24"/>
                <w:szCs w:val="24"/>
                <w:lang w:val="en-US" w:eastAsia="zh-CN" w:bidi="ar"/>
              </w:rPr>
              <w:t>安装配件、支架</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0A4C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FED59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 </w:t>
            </w:r>
          </w:p>
        </w:tc>
      </w:tr>
      <w:tr w14:paraId="29EA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07A197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C151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橡塑保温棉</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60E0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B1级橡塑保温棉，厚度30mm，专用保温胶水粘接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B78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3CA8F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 </w:t>
            </w:r>
          </w:p>
        </w:tc>
      </w:tr>
      <w:tr w14:paraId="33C4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017A8F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21F92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手动调节风阀</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BBFCD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镀锌钢板材质，250*200mm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4AC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DA260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14:paraId="0BB1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6C1FE2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9EF9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手动调节风阀</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05C3C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镀锌钢板材质，320*250mm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8291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28A99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14:paraId="6323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7A3D43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88F0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03AE0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镀锌钢板材质，250*200mm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F97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DA20D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14:paraId="72C0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00E112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34F09C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5AE45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镀锌钢板材质，320*250mm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B2D9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A5EED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14:paraId="00F3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28177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0A238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消声器</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6F218B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镀锌钢板材质，250*200mm，L=1.0m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4A15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F3668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14:paraId="2686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0A2852C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57A91F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消声器</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7A984E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镀锌钢板材质，320*250mm，L=1.0m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ADC9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D3B01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14:paraId="604B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26E70D2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9051A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单层防雨百叶</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AE61B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铝合金材质，附不锈钢防虫网，可拆卸清洗，400*400mm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2DFE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588A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14:paraId="6D98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ign w:val="center"/>
          </w:tcPr>
          <w:p w14:paraId="3A7E4C7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86A6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B9192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1、拆除、恢复、外墙开孔、切割、封堵等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2、系统调试</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B82E9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201F6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14:paraId="2DFE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noWrap/>
            <w:vAlign w:val="center"/>
          </w:tcPr>
          <w:p w14:paraId="4D01ACF2">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9C2A7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4EA1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AA2CD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1C686D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53EFD3D7">
      <w:pPr>
        <w:keepNext w:val="0"/>
        <w:keepLines w:val="0"/>
        <w:pageBreakBefore w:val="0"/>
        <w:kinsoku/>
        <w:wordWrap/>
        <w:overflowPunct/>
        <w:topLinePunct w:val="0"/>
        <w:autoSpaceDE/>
        <w:autoSpaceDN/>
        <w:bidi w:val="0"/>
        <w:adjustRightInd/>
        <w:snapToGrid/>
        <w:spacing w:line="480" w:lineRule="exact"/>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具体参数要求</w:t>
      </w:r>
    </w:p>
    <w:p w14:paraId="50ABDBBE">
      <w:pPr>
        <w:pageBreakBefore w:val="0"/>
        <w:kinsoku/>
        <w:wordWrap/>
        <w:overflowPunct/>
        <w:topLinePunct w:val="0"/>
        <w:autoSpaceDN/>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sz w:val="24"/>
          <w:szCs w:val="24"/>
          <w:lang w:val="en-US" w:eastAsia="zh-CN"/>
        </w:rPr>
        <w:t>箱式风机</w:t>
      </w:r>
    </w:p>
    <w:p w14:paraId="7F75758A">
      <w:pPr>
        <w:pageBreakBefore w:val="0"/>
        <w:kinsoku/>
        <w:wordWrap/>
        <w:overflowPunct/>
        <w:topLinePunct w:val="0"/>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风机的效率不应低于现行国家标准《通风机能效限定值及能效等级》GB</w:t>
      </w:r>
      <w:r>
        <w:rPr>
          <w:rFonts w:hint="eastAsia" w:ascii="宋体" w:hAnsi="宋体" w:cs="宋体"/>
          <w:sz w:val="24"/>
          <w:szCs w:val="24"/>
          <w:lang w:val="en-US" w:eastAsia="zh-CN"/>
        </w:rPr>
        <w:t>/</w:t>
      </w:r>
      <w:r>
        <w:rPr>
          <w:rFonts w:hint="eastAsia" w:ascii="宋体" w:hAnsi="宋体" w:eastAsia="宋体" w:cs="宋体"/>
          <w:sz w:val="24"/>
          <w:szCs w:val="24"/>
        </w:rPr>
        <w:t>19761-2020规定的通风机能效等级的1级。</w:t>
      </w:r>
    </w:p>
    <w:p w14:paraId="1DDD0DF8">
      <w:pPr>
        <w:pageBreakBefore w:val="0"/>
        <w:kinsoku/>
        <w:wordWrap/>
        <w:overflowPunct/>
        <w:topLinePunct w:val="0"/>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（工业通风机用标准化风道性能实验）GB/T1236-2017需提供国家认可的检测机构出具检测报告复印件</w:t>
      </w:r>
    </w:p>
    <w:p w14:paraId="445FB0D5">
      <w:pPr>
        <w:pageBreakBefore w:val="0"/>
        <w:kinsoku/>
        <w:wordWrap/>
        <w:overflowPunct/>
        <w:topLinePunct w:val="0"/>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通风机震动检测及其限制JB/T8689-2014需提供国家认可的检测机构出具检测报告复印件。</w:t>
      </w:r>
    </w:p>
    <w:p w14:paraId="46627975">
      <w:pPr>
        <w:pageBreakBefore w:val="0"/>
        <w:kinsoku/>
        <w:wordWrap/>
        <w:overflowPunct/>
        <w:topLinePunct w:val="0"/>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风机需符合GB/T2888-2008《通风机和罗茨鼓风机噪声测量方法）（需提供国家认可的检测机构出具检测报告复印件</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D6919E3">
      <w:pPr>
        <w:pageBreakBefore w:val="0"/>
        <w:kinsoku/>
        <w:wordWrap/>
        <w:overflowPunct/>
        <w:topLinePunct w:val="0"/>
        <w:autoSpaceDN/>
        <w:bidi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JB/T10563-2006（一般用途离心通风机技术条件）需提供国家认可的检测机构出具检测报告复印件。</w:t>
      </w:r>
    </w:p>
    <w:p w14:paraId="4AD7822B">
      <w:pPr>
        <w:pageBreakBefore w:val="0"/>
        <w:kinsoku/>
        <w:wordWrap/>
        <w:overflowPunct/>
        <w:topLinePunct w:val="0"/>
        <w:autoSpaceDN/>
        <w:bidi w:val="0"/>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台式定向污气导吸装置</w:t>
      </w:r>
    </w:p>
    <w:p w14:paraId="1894B32F">
      <w:pPr>
        <w:pageBreakBefore w:val="0"/>
        <w:kinsoku/>
        <w:wordWrap/>
        <w:overflowPunct/>
        <w:topLinePunct w:val="0"/>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空气动力学专用设施，要求整体结构一次成模无接缝，表面做耐候处理。设计风量：300-600m³/h；风阻&lt;60Pa，水平安装。</w:t>
      </w:r>
    </w:p>
    <w:p w14:paraId="67684546">
      <w:pPr>
        <w:pageBreakBefore w:val="0"/>
        <w:kinsoku/>
        <w:wordWrap/>
        <w:overflowPunct/>
        <w:topLinePunct w:val="0"/>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产品具有良好的空气动力学性能，整体结构一次成模无接缝，设计风量：300-600m³/h,风阻&lt;50Pa；依据通风空调风口JG/T 14-2010和空气分布器性能试验方法JG/T 20-1999,做5种不同风量下的静压损失和全压损失的数据测量，满足在各个风量下的静压损失和全压损失&lt;50Pa，</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需提供具备CMA或CNAS认证的第三方检测机构出具的检测报告复印件并加投标人盖公章。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产品具有优异的防腐蚀的性能，表面进行阳极氧化处理，并做相应的耐候处理；</w:t>
      </w:r>
      <w:r>
        <w:rPr>
          <w:rFonts w:hint="eastAsia" w:ascii="宋体" w:hAnsi="宋体" w:cs="宋体"/>
          <w:color w:val="auto"/>
          <w:sz w:val="24"/>
          <w:szCs w:val="24"/>
          <w:highlight w:val="none"/>
          <w:lang w:val="en-US" w:eastAsia="zh-CN"/>
        </w:rPr>
        <w:t>▲需提供</w:t>
      </w:r>
      <w:r>
        <w:rPr>
          <w:rFonts w:hint="eastAsia" w:ascii="宋体" w:hAnsi="宋体" w:eastAsia="宋体" w:cs="宋体"/>
          <w:color w:val="auto"/>
          <w:sz w:val="24"/>
          <w:szCs w:val="24"/>
          <w:highlight w:val="none"/>
        </w:rPr>
        <w:t>具备CMA或CNAS认证的第三方检测机构出具的根据GB/T 10125-2021检测的报告，包含不小于72h盐雾试验，检测结果外观无变化，检测报告复印件加盖投标人公章。</w:t>
      </w:r>
    </w:p>
    <w:p w14:paraId="55DB6E7D">
      <w:pPr>
        <w:pageBreakBefore w:val="0"/>
        <w:kinsoku/>
        <w:wordWrap/>
        <w:overflowPunct/>
        <w:topLinePunct w:val="0"/>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台式通风柜</w:t>
      </w:r>
    </w:p>
    <w:p w14:paraId="64AF43FE">
      <w:pPr>
        <w:pageBreakBefore w:val="0"/>
        <w:kinsoku/>
        <w:wordWrap/>
        <w:overflowPunct/>
        <w:topLinePunct w:val="0"/>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设备规格：详见设备清单（允许误差±5%)，符合医院场地实际需求：</w:t>
      </w:r>
    </w:p>
    <w:p w14:paraId="144CB075">
      <w:pPr>
        <w:pStyle w:val="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rPr>
        <w:t>主体结构：主体采用裸板1.2厚优质冷轧钢板制作，加上烤漆后厚度1.4mm前框立柱面板能任意拆卸组合</w:t>
      </w:r>
      <w:r>
        <w:rPr>
          <w:rFonts w:hint="eastAsia"/>
          <w:lang w:eastAsia="zh-CN"/>
        </w:rPr>
        <w:t>；</w:t>
      </w:r>
      <w:r>
        <w:rPr>
          <w:rFonts w:hint="eastAsia" w:ascii="宋体" w:hAnsi="宋体" w:eastAsia="宋体" w:cs="宋体"/>
          <w:color w:val="auto"/>
          <w:sz w:val="24"/>
          <w:szCs w:val="24"/>
          <w:highlight w:val="none"/>
          <w:lang w:val="en-US" w:eastAsia="zh-CN"/>
        </w:rPr>
        <w:t xml:space="preserve">移门：升降轨道、窗框、拉手采用全铝合金材质，环氧树脂喷涂；内衬板及导流板采用5mm厚抗倍特板。照明：采用安全玻璃面板使电气和操作区间隔离密封，避免与化学物质接触；配备日光灯，确保操作区间的照度不小于500Lux； </w:t>
      </w:r>
    </w:p>
    <w:p w14:paraId="4A72A064">
      <w:pPr>
        <w:pageBreakBefore w:val="0"/>
        <w:kinsoku/>
        <w:wordWrap/>
        <w:overflowPunct/>
        <w:topLinePunct w:val="0"/>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▲同步带：通风柜升降采用新型同步带，同步带内侧成人字齿状，使其与齿形带轮啮合，保障移 门两侧同步滑动不偏移，从而保证同步带不脱轨、不跳齿、不与通风柜的固定件有摩擦产生噪音。 移动平稳，上下滑动自如，噪音小，可停留在任意高度。新型同步带其抗拉强度达到 200KG 不断裂，其不仅可作为通风柜提拉门升降的传动部件，而且可作为通风柜提拉门升降的信号传输线。符合GB/T13487-2017一般传动用同步带及GB/T10716-2012 同步带传动汽车同步带物理性能实验方法。</w:t>
      </w:r>
    </w:p>
    <w:p w14:paraId="6EDF0260">
      <w:pPr>
        <w:pageBreakBefore w:val="0"/>
        <w:widowControl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符合EN 14175-2:2003《排风柜-第 2 部分：安全和性能要求》：将拉门设置到测试位置，断开拉门的一侧悬挂装置时，拉门停滞再最初位置附近。将自动喷水装置摆放在排风柜内部操作台面上，开启喷水装置，以40～60mL/min的流速， 以水柱状形式平缓冲击在玻璃内表面，飞溅在拉门内表面上的液体从表面滴下，流至排风柜台面上，没有溢出。在工作表面上测试点每平方米至少测量8个点，照度满足要求以及均匀度满足要求。排风柜满足 EN 13150：2001 中第 5条规定的相关安全要求 : 对于用户可接触的排风柜结构或 部件不得有毛刺、锋利的边缘或尖点和尖角 ;排风柜不应有8mm至25mm之间的孔或缝隙。在正常的状态下，排风柜体甲醛释放不大于1.5mg/L。</w:t>
      </w:r>
    </w:p>
    <w:p w14:paraId="1B96C5DA">
      <w:pPr>
        <w:pageBreakBefore w:val="0"/>
        <w:widowControl w:val="0"/>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在正常的状态下，测试排风柜重金属含量：可溶性铅不大于90mg/kg； 可溶性镉不大于78mg/kg；可溶性铬不大于60mg/kg；可溶性汞不大于60mg/kg。噪音：在排风柜运行至正常工作状态噪音≤55Db。阻力：在排风柜玻璃操作窗开启至正常操作位子时阻力≤70pa。</w:t>
      </w:r>
    </w:p>
    <w:p w14:paraId="3E41F92E">
      <w:pPr>
        <w:pageBreakBefore w:val="0"/>
        <w:widowControl w:val="0"/>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通风柜性能： 1）面风速：通风柜在工作开口高度 500mm，高度下平均面风速应≤0.3m/s</w:t>
      </w:r>
      <w:r>
        <w:rPr>
          <w:rFonts w:hint="eastAsia" w:ascii="宋体" w:hAnsi="宋体" w:eastAsia="宋体" w:cs="宋体"/>
          <w:color w:val="auto"/>
          <w:sz w:val="24"/>
          <w:szCs w:val="24"/>
          <w:highlight w:val="none"/>
        </w:rPr>
        <w:t>，提供由CNAS或CMA认证的检测机构出具的检测报告。</w:t>
      </w:r>
      <w:r>
        <w:rPr>
          <w:rFonts w:hint="eastAsia" w:ascii="宋体" w:hAnsi="宋体" w:eastAsia="宋体" w:cs="宋体"/>
          <w:color w:val="auto"/>
          <w:sz w:val="24"/>
          <w:szCs w:val="24"/>
          <w:highlight w:val="none"/>
          <w:lang w:val="en-US" w:eastAsia="zh-CN"/>
        </w:rPr>
        <w:t>气流可视化测试：烟雾被捕捉并很容易排尽，无可见溢出</w:t>
      </w:r>
      <w:r>
        <w:rPr>
          <w:rFonts w:hint="eastAsia" w:ascii="宋体" w:hAnsi="宋体" w:eastAsia="宋体" w:cs="宋体"/>
          <w:color w:val="auto"/>
          <w:sz w:val="24"/>
          <w:szCs w:val="24"/>
          <w:highlight w:val="none"/>
        </w:rPr>
        <w:t>，提供由CNAS或CMA认证的检测机构出具的检测报告。</w:t>
      </w:r>
      <w:r>
        <w:rPr>
          <w:rFonts w:hint="eastAsia" w:ascii="宋体" w:hAnsi="宋体" w:eastAsia="宋体" w:cs="宋体"/>
          <w:color w:val="auto"/>
          <w:sz w:val="24"/>
          <w:szCs w:val="24"/>
          <w:highlight w:val="none"/>
          <w:lang w:val="en-US" w:eastAsia="zh-CN"/>
        </w:rPr>
        <w:t>示踪气体浓度测试：示踪气体泄露浓度平均值&lt;0.01PPM</w:t>
      </w:r>
      <w:r>
        <w:rPr>
          <w:rFonts w:hint="eastAsia" w:ascii="宋体" w:hAnsi="宋体" w:eastAsia="宋体" w:cs="宋体"/>
          <w:color w:val="auto"/>
          <w:sz w:val="24"/>
          <w:szCs w:val="24"/>
          <w:highlight w:val="none"/>
        </w:rPr>
        <w:t>，提供由CNAS或CMA认证的检测机构出具的检测报告。</w:t>
      </w:r>
    </w:p>
    <w:p w14:paraId="22F1836C">
      <w:pPr>
        <w:ind w:firstLine="482" w:firstLineChars="200"/>
        <w:jc w:val="left"/>
        <w:rPr>
          <w:rFonts w:hint="eastAsia" w:ascii="宋体" w:hAnsi="宋体" w:eastAsia="宋体" w:cs="宋体"/>
          <w:b/>
          <w:bCs w:val="0"/>
          <w:kern w:val="44"/>
          <w:sz w:val="24"/>
          <w:szCs w:val="24"/>
          <w:lang w:val="en-US" w:eastAsia="zh-CN" w:bidi="ar-SA"/>
        </w:rPr>
      </w:pPr>
      <w:r>
        <w:rPr>
          <w:rFonts w:hint="eastAsia" w:ascii="宋体" w:hAnsi="宋体" w:cs="宋体"/>
          <w:b/>
          <w:bCs w:val="0"/>
          <w:kern w:val="44"/>
          <w:sz w:val="24"/>
          <w:szCs w:val="24"/>
          <w:lang w:val="en-US" w:eastAsia="zh-CN" w:bidi="ar-SA"/>
        </w:rPr>
        <w:t>四</w:t>
      </w:r>
      <w:r>
        <w:rPr>
          <w:rFonts w:hint="eastAsia" w:ascii="宋体" w:hAnsi="宋体" w:eastAsia="宋体" w:cs="宋体"/>
          <w:b/>
          <w:bCs w:val="0"/>
          <w:kern w:val="44"/>
          <w:sz w:val="24"/>
          <w:szCs w:val="24"/>
          <w:lang w:val="en-US" w:eastAsia="zh-CN" w:bidi="ar-SA"/>
        </w:rPr>
        <w:t>、主要材料品牌推荐表</w:t>
      </w:r>
    </w:p>
    <w:tbl>
      <w:tblPr>
        <w:tblStyle w:val="14"/>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759"/>
        <w:gridCol w:w="4083"/>
        <w:gridCol w:w="1390"/>
        <w:gridCol w:w="1100"/>
        <w:gridCol w:w="1100"/>
      </w:tblGrid>
      <w:tr w14:paraId="5B4F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59" w:type="dxa"/>
            <w:noWrap w:val="0"/>
            <w:vAlign w:val="center"/>
          </w:tcPr>
          <w:p w14:paraId="5F2A4368">
            <w:pPr>
              <w:snapToGrid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4083" w:type="dxa"/>
            <w:noWrap w:val="0"/>
            <w:vAlign w:val="center"/>
          </w:tcPr>
          <w:p w14:paraId="6A48CFE7">
            <w:pPr>
              <w:snapToGrid w:val="0"/>
              <w:spacing w:line="360" w:lineRule="auto"/>
              <w:ind w:firstLine="111" w:firstLineChars="46"/>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设备名称</w:t>
            </w:r>
          </w:p>
        </w:tc>
        <w:tc>
          <w:tcPr>
            <w:tcW w:w="1390" w:type="dxa"/>
            <w:noWrap w:val="0"/>
            <w:vAlign w:val="center"/>
          </w:tcPr>
          <w:p w14:paraId="267580C4">
            <w:pPr>
              <w:snapToGrid w:val="0"/>
              <w:spacing w:line="360" w:lineRule="auto"/>
              <w:ind w:firstLine="43" w:firstLineChars="1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品牌1</w:t>
            </w:r>
          </w:p>
        </w:tc>
        <w:tc>
          <w:tcPr>
            <w:tcW w:w="1100" w:type="dxa"/>
            <w:noWrap w:val="0"/>
            <w:vAlign w:val="center"/>
          </w:tcPr>
          <w:p w14:paraId="45C7EEC2">
            <w:pPr>
              <w:snapToGrid w:val="0"/>
              <w:spacing w:line="360" w:lineRule="auto"/>
              <w:ind w:firstLine="41" w:firstLineChars="17"/>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品牌2</w:t>
            </w:r>
          </w:p>
        </w:tc>
        <w:tc>
          <w:tcPr>
            <w:tcW w:w="1100" w:type="dxa"/>
            <w:noWrap w:val="0"/>
            <w:vAlign w:val="center"/>
          </w:tcPr>
          <w:p w14:paraId="0D66F78F">
            <w:pPr>
              <w:snapToGrid w:val="0"/>
              <w:spacing w:line="360" w:lineRule="auto"/>
              <w:ind w:firstLine="41" w:firstLineChars="17"/>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品牌3</w:t>
            </w:r>
          </w:p>
        </w:tc>
      </w:tr>
      <w:tr w14:paraId="3D22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59" w:type="dxa"/>
            <w:noWrap w:val="0"/>
            <w:vAlign w:val="center"/>
          </w:tcPr>
          <w:p w14:paraId="596692EC">
            <w:pPr>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083" w:type="dxa"/>
            <w:noWrap w:val="0"/>
            <w:vAlign w:val="center"/>
          </w:tcPr>
          <w:p w14:paraId="6C1A7E7D">
            <w:pPr>
              <w:snapToGrid w:val="0"/>
              <w:spacing w:line="360" w:lineRule="auto"/>
              <w:ind w:firstLine="110" w:firstLineChars="46"/>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箱式</w:t>
            </w:r>
            <w:r>
              <w:rPr>
                <w:rFonts w:hint="eastAsia" w:ascii="宋体" w:hAnsi="宋体" w:eastAsia="宋体" w:cs="宋体"/>
                <w:b w:val="0"/>
                <w:bCs w:val="0"/>
                <w:color w:val="auto"/>
                <w:sz w:val="24"/>
                <w:szCs w:val="24"/>
                <w:highlight w:val="none"/>
                <w:lang w:val="en-US" w:eastAsia="zh-CN"/>
              </w:rPr>
              <w:t>风机</w:t>
            </w:r>
          </w:p>
        </w:tc>
        <w:tc>
          <w:tcPr>
            <w:tcW w:w="1390" w:type="dxa"/>
            <w:noWrap w:val="0"/>
            <w:vAlign w:val="center"/>
          </w:tcPr>
          <w:p w14:paraId="75B12B53">
            <w:pPr>
              <w:snapToGrid w:val="0"/>
              <w:spacing w:line="360" w:lineRule="auto"/>
              <w:ind w:firstLine="43" w:firstLineChars="18"/>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亿利达</w:t>
            </w:r>
          </w:p>
        </w:tc>
        <w:tc>
          <w:tcPr>
            <w:tcW w:w="1100" w:type="dxa"/>
            <w:noWrap w:val="0"/>
            <w:vAlign w:val="center"/>
          </w:tcPr>
          <w:p w14:paraId="5315E574">
            <w:pPr>
              <w:snapToGrid w:val="0"/>
              <w:spacing w:line="360" w:lineRule="auto"/>
              <w:ind w:firstLine="40" w:firstLineChars="17"/>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沃森</w:t>
            </w:r>
          </w:p>
        </w:tc>
        <w:tc>
          <w:tcPr>
            <w:tcW w:w="1100" w:type="dxa"/>
            <w:noWrap w:val="0"/>
            <w:vAlign w:val="center"/>
          </w:tcPr>
          <w:p w14:paraId="0813EF37">
            <w:pPr>
              <w:snapToGrid w:val="0"/>
              <w:spacing w:line="360" w:lineRule="auto"/>
              <w:ind w:firstLine="40" w:firstLineChars="17"/>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应达</w:t>
            </w:r>
          </w:p>
        </w:tc>
      </w:tr>
      <w:tr w14:paraId="23BC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59" w:type="dxa"/>
            <w:noWrap w:val="0"/>
            <w:vAlign w:val="center"/>
          </w:tcPr>
          <w:p w14:paraId="2C800009">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4083" w:type="dxa"/>
            <w:noWrap w:val="0"/>
            <w:vAlign w:val="center"/>
          </w:tcPr>
          <w:p w14:paraId="6D8B9614">
            <w:pPr>
              <w:snapToGrid w:val="0"/>
              <w:spacing w:line="360" w:lineRule="auto"/>
              <w:ind w:firstLine="110" w:firstLineChars="46"/>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台式</w:t>
            </w:r>
            <w:r>
              <w:rPr>
                <w:rFonts w:hint="eastAsia" w:ascii="宋体" w:hAnsi="宋体" w:eastAsia="宋体" w:cs="宋体"/>
                <w:b w:val="0"/>
                <w:bCs w:val="0"/>
                <w:color w:val="auto"/>
                <w:sz w:val="24"/>
                <w:szCs w:val="24"/>
                <w:highlight w:val="none"/>
              </w:rPr>
              <w:t>定向污气导吸装置</w:t>
            </w:r>
          </w:p>
        </w:tc>
        <w:tc>
          <w:tcPr>
            <w:tcW w:w="1390" w:type="dxa"/>
            <w:noWrap w:val="0"/>
            <w:vAlign w:val="center"/>
          </w:tcPr>
          <w:p w14:paraId="61C59F5A">
            <w:pPr>
              <w:snapToGrid w:val="0"/>
              <w:spacing w:line="360" w:lineRule="auto"/>
              <w:ind w:firstLine="43" w:firstLineChars="18"/>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菲兰</w:t>
            </w:r>
          </w:p>
        </w:tc>
        <w:tc>
          <w:tcPr>
            <w:tcW w:w="1100" w:type="dxa"/>
            <w:noWrap w:val="0"/>
            <w:vAlign w:val="center"/>
          </w:tcPr>
          <w:p w14:paraId="6246D1C7">
            <w:pPr>
              <w:snapToGrid w:val="0"/>
              <w:spacing w:line="360" w:lineRule="auto"/>
              <w:ind w:firstLine="40" w:firstLineChars="17"/>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特锐德</w:t>
            </w:r>
          </w:p>
        </w:tc>
        <w:tc>
          <w:tcPr>
            <w:tcW w:w="1100" w:type="dxa"/>
            <w:noWrap w:val="0"/>
            <w:vAlign w:val="center"/>
          </w:tcPr>
          <w:p w14:paraId="6843CE0A">
            <w:pPr>
              <w:snapToGrid w:val="0"/>
              <w:spacing w:line="360" w:lineRule="auto"/>
              <w:ind w:firstLine="40" w:firstLineChars="17"/>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荆翼</w:t>
            </w:r>
          </w:p>
        </w:tc>
      </w:tr>
      <w:tr w14:paraId="761C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59" w:type="dxa"/>
            <w:noWrap w:val="0"/>
            <w:vAlign w:val="center"/>
          </w:tcPr>
          <w:p w14:paraId="5D65EBA9">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083" w:type="dxa"/>
            <w:noWrap w:val="0"/>
            <w:vAlign w:val="center"/>
          </w:tcPr>
          <w:p w14:paraId="46E05412">
            <w:pPr>
              <w:snapToGrid w:val="0"/>
              <w:spacing w:line="360" w:lineRule="auto"/>
              <w:ind w:firstLine="110" w:firstLineChars="46"/>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台式通风柜</w:t>
            </w:r>
          </w:p>
        </w:tc>
        <w:tc>
          <w:tcPr>
            <w:tcW w:w="1390" w:type="dxa"/>
            <w:noWrap w:val="0"/>
            <w:vAlign w:val="center"/>
          </w:tcPr>
          <w:p w14:paraId="3B160543">
            <w:pPr>
              <w:snapToGrid w:val="0"/>
              <w:spacing w:line="360" w:lineRule="auto"/>
              <w:ind w:firstLine="43" w:firstLineChars="18"/>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菲兰</w:t>
            </w:r>
          </w:p>
        </w:tc>
        <w:tc>
          <w:tcPr>
            <w:tcW w:w="1100" w:type="dxa"/>
            <w:noWrap w:val="0"/>
            <w:vAlign w:val="center"/>
          </w:tcPr>
          <w:p w14:paraId="6B628072">
            <w:pPr>
              <w:snapToGrid w:val="0"/>
              <w:spacing w:line="360" w:lineRule="auto"/>
              <w:ind w:firstLine="40" w:firstLineChars="17"/>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泰尔</w:t>
            </w:r>
          </w:p>
        </w:tc>
        <w:tc>
          <w:tcPr>
            <w:tcW w:w="1100" w:type="dxa"/>
            <w:noWrap w:val="0"/>
            <w:vAlign w:val="center"/>
          </w:tcPr>
          <w:p w14:paraId="580E3480">
            <w:pPr>
              <w:snapToGrid w:val="0"/>
              <w:spacing w:line="360" w:lineRule="auto"/>
              <w:ind w:firstLine="40" w:firstLineChars="17"/>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优派</w:t>
            </w:r>
          </w:p>
        </w:tc>
      </w:tr>
    </w:tbl>
    <w:p w14:paraId="05F45C1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、交付与安装要求</w:t>
      </w:r>
    </w:p>
    <w:p w14:paraId="43A6AD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所有设备应包含运输、安装、调试及必要的管道连接服务。</w:t>
      </w:r>
    </w:p>
    <w:p w14:paraId="2A9EB2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安装完成后需进行风量、照度、噪音等基本性能测试，确保满足技术参数要求。</w:t>
      </w:r>
    </w:p>
    <w:p w14:paraId="7F45BD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设备外观应无明显划痕、变形、锈蚀等缺陷。</w:t>
      </w:r>
    </w:p>
    <w:p w14:paraId="34B4EF1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、质保与售后服务</w:t>
      </w:r>
    </w:p>
    <w:p w14:paraId="397B9C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质保期：自验收合格之日起不少于12个月。</w:t>
      </w:r>
    </w:p>
    <w:p w14:paraId="2982561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质保期内出现非人为故障，供应商应免费维修或更换。</w:t>
      </w:r>
    </w:p>
    <w:p w14:paraId="2C7012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提供操作培训及必要的维护说明资料。</w:t>
      </w:r>
    </w:p>
    <w:p w14:paraId="1B283B74">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b/>
          <w:bCs/>
          <w:sz w:val="24"/>
          <w:szCs w:val="24"/>
          <w:lang w:val="en-US" w:eastAsia="zh-CN"/>
        </w:rPr>
      </w:pPr>
      <w:r>
        <w:rPr>
          <w:rFonts w:hint="eastAsia"/>
          <w:b/>
          <w:bCs/>
          <w:sz w:val="24"/>
          <w:szCs w:val="24"/>
          <w:lang w:val="en-US" w:eastAsia="zh-CN"/>
        </w:rPr>
        <w:t>七、付款方式</w:t>
      </w:r>
    </w:p>
    <w:p w14:paraId="2C2B6B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安装调试验收合格后，</w:t>
      </w:r>
      <w:r>
        <w:rPr>
          <w:rFonts w:hint="eastAsia" w:ascii="宋体" w:hAnsi="宋体" w:cs="宋体"/>
          <w:sz w:val="24"/>
          <w:szCs w:val="24"/>
          <w:lang w:val="en-US" w:eastAsia="zh-CN"/>
        </w:rPr>
        <w:t>中标人</w:t>
      </w:r>
      <w:r>
        <w:rPr>
          <w:rFonts w:hint="eastAsia" w:ascii="宋体" w:hAnsi="宋体" w:eastAsia="宋体" w:cs="宋体"/>
          <w:sz w:val="24"/>
          <w:szCs w:val="24"/>
          <w:lang w:val="en-US" w:eastAsia="zh-CN"/>
        </w:rPr>
        <w:t>开具正规发票，</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收到发票后60日内</w:t>
      </w:r>
      <w:r>
        <w:rPr>
          <w:rFonts w:hint="eastAsia" w:ascii="宋体" w:hAnsi="宋体" w:eastAsia="宋体" w:cs="宋体"/>
          <w:color w:val="auto"/>
          <w:sz w:val="24"/>
          <w:szCs w:val="24"/>
        </w:rPr>
        <w:t>支付</w:t>
      </w:r>
      <w:r>
        <w:rPr>
          <w:rFonts w:hint="eastAsia" w:ascii="宋体" w:hAnsi="宋体" w:eastAsia="宋体" w:cs="宋体"/>
          <w:color w:val="auto"/>
          <w:sz w:val="24"/>
          <w:szCs w:val="24"/>
          <w:lang w:eastAsia="zh-CN"/>
        </w:rPr>
        <w:t>合同总</w:t>
      </w:r>
      <w:r>
        <w:rPr>
          <w:rFonts w:hint="eastAsia" w:ascii="宋体" w:hAnsi="宋体" w:eastAsia="宋体" w:cs="宋体"/>
          <w:color w:val="auto"/>
          <w:sz w:val="24"/>
          <w:szCs w:val="24"/>
        </w:rPr>
        <w:t>价的</w:t>
      </w:r>
      <w:r>
        <w:rPr>
          <w:rFonts w:hint="eastAsia" w:ascii="宋体" w:hAnsi="宋体" w:eastAsia="宋体" w:cs="宋体"/>
          <w:color w:val="auto"/>
          <w:sz w:val="24"/>
          <w:szCs w:val="24"/>
          <w:lang w:val="en-US" w:eastAsia="zh-CN"/>
        </w:rPr>
        <w:t>80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质保期满后无息付清</w:t>
      </w:r>
      <w:r>
        <w:rPr>
          <w:rFonts w:hint="eastAsia" w:ascii="宋体" w:hAnsi="宋体" w:eastAsia="宋体" w:cs="宋体"/>
          <w:color w:val="auto"/>
          <w:sz w:val="24"/>
          <w:szCs w:val="24"/>
          <w:lang w:eastAsia="zh-CN"/>
        </w:rPr>
        <w:t>尾款</w:t>
      </w:r>
      <w:r>
        <w:rPr>
          <w:rFonts w:hint="eastAsia" w:ascii="宋体" w:hAnsi="宋体" w:eastAsia="宋体" w:cs="宋体"/>
          <w:color w:val="000000"/>
          <w:sz w:val="24"/>
          <w:szCs w:val="24"/>
        </w:rPr>
        <w:t>。</w:t>
      </w:r>
      <w:r>
        <w:rPr>
          <w:rFonts w:hint="eastAsia" w:ascii="宋体" w:hAnsi="宋体" w:eastAsia="宋体" w:cs="宋体"/>
          <w:sz w:val="24"/>
          <w:szCs w:val="24"/>
          <w:lang w:val="en-US" w:eastAsia="zh-CN"/>
        </w:rPr>
        <w:br w:type="page"/>
      </w:r>
    </w:p>
    <w:p w14:paraId="62E73659">
      <w:pPr>
        <w:kinsoku w:val="0"/>
        <w:overflowPunct w:val="0"/>
        <w:autoSpaceDE w:val="0"/>
        <w:autoSpaceDN w:val="0"/>
        <w:spacing w:line="360" w:lineRule="auto"/>
        <w:jc w:val="center"/>
        <w:rPr>
          <w:rFonts w:ascii="Times New Roman" w:hAnsi="Times New Roman" w:cs="宋体"/>
          <w:b/>
          <w:w w:val="80"/>
          <w:sz w:val="48"/>
          <w:szCs w:val="44"/>
        </w:rPr>
      </w:pPr>
      <w:r>
        <w:rPr>
          <w:rFonts w:hint="eastAsia" w:ascii="Times New Roman" w:hAnsi="Times New Roman" w:cs="宋体"/>
          <w:b/>
          <w:w w:val="80"/>
          <w:sz w:val="48"/>
          <w:szCs w:val="44"/>
        </w:rPr>
        <w:t>第四章</w:t>
      </w:r>
      <w:bookmarkStart w:id="11" w:name="_Toc38121794"/>
      <w:bookmarkStart w:id="12" w:name="_Toc37322565"/>
      <w:bookmarkStart w:id="13" w:name="_Toc43217893"/>
      <w:bookmarkStart w:id="14" w:name="_Toc182848996"/>
      <w:bookmarkStart w:id="15" w:name="_Toc85627670"/>
      <w:r>
        <w:rPr>
          <w:rFonts w:hint="eastAsia" w:ascii="Times New Roman" w:hAnsi="Times New Roman" w:cs="宋体"/>
          <w:b/>
          <w:w w:val="80"/>
          <w:sz w:val="48"/>
          <w:szCs w:val="44"/>
        </w:rPr>
        <w:t xml:space="preserve"> 评审方法和程序</w:t>
      </w:r>
      <w:bookmarkEnd w:id="11"/>
      <w:bookmarkEnd w:id="12"/>
      <w:bookmarkEnd w:id="13"/>
      <w:bookmarkEnd w:id="14"/>
      <w:bookmarkEnd w:id="15"/>
    </w:p>
    <w:p w14:paraId="2CF7E78D">
      <w:pPr>
        <w:pStyle w:val="12"/>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szCs w:val="24"/>
          <w:shd w:val="clear" w:color="auto" w:fill="FFFFFF"/>
          <w:lang w:eastAsia="zh-CN"/>
        </w:rPr>
      </w:pPr>
      <w:bookmarkStart w:id="16" w:name="_Toc363573857"/>
      <w:bookmarkEnd w:id="16"/>
      <w:r>
        <w:rPr>
          <w:rFonts w:hint="eastAsia" w:ascii="Times New Roman" w:hAnsi="Times New Roman" w:cs="宋体"/>
          <w:b/>
          <w:bCs/>
          <w:szCs w:val="24"/>
          <w:shd w:val="clear" w:color="auto" w:fill="FFFFFF"/>
        </w:rPr>
        <w:t>一、</w:t>
      </w:r>
      <w:r>
        <w:rPr>
          <w:rFonts w:hint="eastAsia" w:ascii="Times New Roman" w:hAnsi="Times New Roman" w:cs="宋体"/>
          <w:b/>
          <w:bCs/>
          <w:szCs w:val="24"/>
          <w:shd w:val="clear" w:color="auto" w:fill="FFFFFF"/>
          <w:lang w:eastAsia="zh-CN"/>
        </w:rPr>
        <w:t>采购人</w:t>
      </w:r>
      <w:r>
        <w:rPr>
          <w:rFonts w:hint="eastAsia" w:ascii="Times New Roman" w:hAnsi="Times New Roman" w:cs="宋体"/>
          <w:b/>
          <w:bCs/>
          <w:szCs w:val="24"/>
          <w:shd w:val="clear" w:color="auto" w:fill="FFFFFF"/>
        </w:rPr>
        <w:t>组织</w:t>
      </w:r>
      <w:r>
        <w:rPr>
          <w:rFonts w:hint="eastAsia" w:ascii="Times New Roman" w:hAnsi="Times New Roman" w:cs="宋体"/>
          <w:b/>
          <w:bCs/>
          <w:szCs w:val="24"/>
          <w:shd w:val="clear" w:color="auto" w:fill="FFFFFF"/>
          <w:lang w:eastAsia="zh-CN"/>
        </w:rPr>
        <w:t>比选</w:t>
      </w:r>
    </w:p>
    <w:p w14:paraId="4418A60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1、本次</w:t>
      </w:r>
      <w:r>
        <w:rPr>
          <w:rFonts w:hint="eastAsia" w:ascii="Times New Roman" w:hAnsi="Times New Roman" w:cs="宋体"/>
          <w:sz w:val="24"/>
          <w:szCs w:val="24"/>
          <w:lang w:eastAsia="zh-CN"/>
        </w:rPr>
        <w:t>比选</w:t>
      </w:r>
      <w:r>
        <w:rPr>
          <w:rFonts w:hint="eastAsia" w:ascii="Times New Roman" w:hAnsi="Times New Roman" w:cs="宋体"/>
          <w:sz w:val="24"/>
          <w:szCs w:val="24"/>
        </w:rPr>
        <w:t>依据有关法规成立</w:t>
      </w:r>
      <w:r>
        <w:rPr>
          <w:rFonts w:hint="eastAsia" w:ascii="Times New Roman" w:hAnsi="Times New Roman" w:cs="宋体"/>
          <w:sz w:val="24"/>
          <w:szCs w:val="24"/>
          <w:lang w:eastAsia="zh-CN"/>
        </w:rPr>
        <w:t>比选</w:t>
      </w:r>
      <w:r>
        <w:rPr>
          <w:rFonts w:hint="eastAsia" w:ascii="Times New Roman" w:hAnsi="Times New Roman" w:cs="宋体"/>
          <w:sz w:val="24"/>
          <w:szCs w:val="24"/>
        </w:rPr>
        <w:t>小组。</w:t>
      </w:r>
      <w:r>
        <w:rPr>
          <w:rFonts w:hint="eastAsia" w:ascii="Times New Roman" w:hAnsi="Times New Roman" w:cs="宋体"/>
          <w:sz w:val="24"/>
          <w:szCs w:val="24"/>
          <w:lang w:eastAsia="zh-CN"/>
        </w:rPr>
        <w:t>比选</w:t>
      </w:r>
      <w:r>
        <w:rPr>
          <w:rFonts w:hint="eastAsia" w:ascii="Times New Roman" w:hAnsi="Times New Roman" w:cs="宋体"/>
          <w:sz w:val="24"/>
          <w:szCs w:val="24"/>
        </w:rPr>
        <w:t>小组由采购人代表和评审专家共3人以上单数组成，其中评审专家人数不得少于</w:t>
      </w:r>
      <w:r>
        <w:rPr>
          <w:rFonts w:hint="eastAsia" w:ascii="Times New Roman" w:hAnsi="Times New Roman" w:cs="宋体"/>
          <w:sz w:val="24"/>
          <w:szCs w:val="24"/>
          <w:lang w:eastAsia="zh-CN"/>
        </w:rPr>
        <w:t>比选</w:t>
      </w:r>
      <w:r>
        <w:rPr>
          <w:rFonts w:hint="eastAsia" w:ascii="Times New Roman" w:hAnsi="Times New Roman" w:cs="宋体"/>
          <w:sz w:val="24"/>
          <w:szCs w:val="24"/>
        </w:rPr>
        <w:t>小组成员总数的三分之二。</w:t>
      </w:r>
    </w:p>
    <w:p w14:paraId="0D5ABDC8">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的职责：</w:t>
      </w:r>
    </w:p>
    <w:p w14:paraId="6D5F33A9">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成员应当按照客观、公正、审慎的原则，根据</w:t>
      </w:r>
      <w:r>
        <w:rPr>
          <w:rFonts w:hint="eastAsia" w:ascii="Times New Roman" w:hAnsi="Times New Roman" w:cs="宋体"/>
          <w:sz w:val="24"/>
          <w:szCs w:val="24"/>
          <w:lang w:eastAsia="zh-CN"/>
        </w:rPr>
        <w:t>比选文件</w:t>
      </w:r>
      <w:r>
        <w:rPr>
          <w:rFonts w:hint="eastAsia" w:ascii="Times New Roman" w:hAnsi="Times New Roman" w:cs="宋体"/>
          <w:sz w:val="24"/>
          <w:szCs w:val="24"/>
        </w:rPr>
        <w:t>规定的评审程序、评审方法和评审标准进行独立评审。</w:t>
      </w:r>
    </w:p>
    <w:p w14:paraId="6E70C20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成员应当遵守评审工作纪律，不得泄露评审情况和评审中获悉的商业秘密，对个人的评审意见承担法律责任；</w:t>
      </w:r>
    </w:p>
    <w:p w14:paraId="1EB0040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成员在评审过程中发现供应商有行贿、提供虚假材料或者串通等违法行为的，应当及时向财政部门报告。</w:t>
      </w:r>
    </w:p>
    <w:p w14:paraId="5E7C410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成员在评审过程中受到非法干涉的，应当及时向财政、监察等部门举报。</w:t>
      </w:r>
    </w:p>
    <w:p w14:paraId="7FF139C6">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（5）配合采购单位答复供应商提出的质疑；配合财政部门的投诉处理和监督检查工作。</w:t>
      </w:r>
    </w:p>
    <w:p w14:paraId="7536E50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3、评审有关记录由</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成员签名，存档备查。</w:t>
      </w:r>
    </w:p>
    <w:p w14:paraId="09CFCBEA">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4、供应商的法定代表人或被授权人须持身份证准时参加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会。</w:t>
      </w:r>
    </w:p>
    <w:p w14:paraId="66F319C5">
      <w:pPr>
        <w:pStyle w:val="12"/>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评定结果的方法</w:t>
      </w:r>
    </w:p>
    <w:p w14:paraId="5A1D5CF3">
      <w:pPr>
        <w:wordWrap w:val="0"/>
        <w:topLinePunct/>
        <w:spacing w:line="360" w:lineRule="auto"/>
        <w:ind w:firstLine="484" w:firstLineChars="202"/>
        <w:rPr>
          <w:sz w:val="24"/>
        </w:rPr>
      </w:pPr>
      <w:r>
        <w:rPr>
          <w:sz w:val="24"/>
        </w:rPr>
        <w:t>1、本项目采用</w:t>
      </w:r>
      <w:r>
        <w:rPr>
          <w:sz w:val="24"/>
          <w:u w:val="single"/>
        </w:rPr>
        <w:t xml:space="preserve">  </w:t>
      </w:r>
      <w:r>
        <w:rPr>
          <w:b/>
          <w:sz w:val="24"/>
          <w:u w:val="single"/>
        </w:rPr>
        <w:t>综合评分法</w:t>
      </w:r>
      <w:r>
        <w:rPr>
          <w:sz w:val="24"/>
          <w:u w:val="single"/>
        </w:rPr>
        <w:t xml:space="preserve"> </w:t>
      </w:r>
      <w:r>
        <w:rPr>
          <w:sz w:val="24"/>
        </w:rPr>
        <w:t xml:space="preserve"> ，即指投标文件满足本项目</w:t>
      </w:r>
      <w:r>
        <w:rPr>
          <w:rFonts w:hint="eastAsia"/>
          <w:sz w:val="24"/>
          <w:lang w:eastAsia="zh-CN"/>
        </w:rPr>
        <w:t>比选</w:t>
      </w:r>
      <w:r>
        <w:rPr>
          <w:sz w:val="24"/>
        </w:rPr>
        <w:t>文件全部实质性要求，且按照评审因素的量化指标，经评审后得分最高的投标人推荐为中标人的评标方法。</w:t>
      </w:r>
    </w:p>
    <w:p w14:paraId="4447B2EA">
      <w:pPr>
        <w:wordWrap w:val="0"/>
        <w:topLinePunct/>
        <w:spacing w:line="360" w:lineRule="auto"/>
        <w:ind w:firstLine="484" w:firstLineChars="202"/>
        <w:rPr>
          <w:sz w:val="24"/>
        </w:rPr>
      </w:pPr>
      <w:r>
        <w:rPr>
          <w:sz w:val="24"/>
        </w:rPr>
        <w:t>2、评标委员会成员：对符合资格的投标人的投标文件进行符合性审查，以确定其是否满足</w:t>
      </w:r>
      <w:r>
        <w:rPr>
          <w:rFonts w:hint="eastAsia"/>
          <w:sz w:val="24"/>
          <w:lang w:eastAsia="zh-CN"/>
        </w:rPr>
        <w:t>比选文件</w:t>
      </w:r>
      <w:r>
        <w:rPr>
          <w:sz w:val="24"/>
        </w:rPr>
        <w:t>的实质性要求；按照</w:t>
      </w:r>
      <w:r>
        <w:rPr>
          <w:rFonts w:hint="eastAsia"/>
          <w:sz w:val="24"/>
          <w:lang w:eastAsia="zh-CN"/>
        </w:rPr>
        <w:t>比选文件</w:t>
      </w:r>
      <w:r>
        <w:rPr>
          <w:sz w:val="24"/>
        </w:rPr>
        <w:t>中规定的评标方法和标准，对符合性审查合格的投标文件进行商务和技术评估，综合比较与评价。</w:t>
      </w:r>
    </w:p>
    <w:p w14:paraId="5B1DF6A1">
      <w:pPr>
        <w:wordWrap w:val="0"/>
        <w:topLinePunct/>
        <w:spacing w:line="360" w:lineRule="auto"/>
        <w:ind w:firstLine="484" w:firstLineChars="202"/>
        <w:rPr>
          <w:sz w:val="24"/>
        </w:rPr>
      </w:pPr>
      <w:r>
        <w:rPr>
          <w:sz w:val="24"/>
        </w:rPr>
        <w:t>3、对投标文件的评审判定，只依据投标文件内容本身，不依靠开标后任何外来证明文件。</w:t>
      </w:r>
    </w:p>
    <w:p w14:paraId="77CCF46F">
      <w:pPr>
        <w:wordWrap w:val="0"/>
        <w:topLinePunct/>
        <w:spacing w:line="360" w:lineRule="auto"/>
        <w:ind w:firstLine="484" w:firstLineChars="202"/>
        <w:rPr>
          <w:sz w:val="24"/>
        </w:rPr>
      </w:pPr>
      <w:r>
        <w:rPr>
          <w:sz w:val="24"/>
        </w:rPr>
        <w:t>4、本次项目技术标和价格标评审总分值为100分。评审因素比重如下：</w:t>
      </w:r>
    </w:p>
    <w:p w14:paraId="08B9AAD7">
      <w:pPr>
        <w:wordWrap w:val="0"/>
        <w:topLinePunct/>
        <w:spacing w:line="360" w:lineRule="auto"/>
        <w:ind w:firstLine="484" w:firstLineChars="202"/>
        <w:rPr>
          <w:sz w:val="24"/>
        </w:rPr>
      </w:pPr>
      <w:r>
        <w:rPr>
          <w:sz w:val="24"/>
        </w:rPr>
        <w:t>（1）“</w:t>
      </w:r>
      <w:r>
        <w:rPr>
          <w:b/>
          <w:sz w:val="24"/>
        </w:rPr>
        <w:t>商务技术标分值</w:t>
      </w:r>
      <w:r>
        <w:rPr>
          <w:sz w:val="24"/>
        </w:rPr>
        <w:t>”占总分值的比重为</w:t>
      </w:r>
      <w:r>
        <w:rPr>
          <w:sz w:val="24"/>
          <w:u w:val="single"/>
        </w:rPr>
        <w:t xml:space="preserve">  </w:t>
      </w:r>
      <w:r>
        <w:rPr>
          <w:rFonts w:hint="eastAsia"/>
          <w:b/>
          <w:sz w:val="24"/>
          <w:u w:val="single"/>
          <w:lang w:val="en-US" w:eastAsia="zh-CN"/>
        </w:rPr>
        <w:t>7</w:t>
      </w:r>
      <w:r>
        <w:rPr>
          <w:rFonts w:hint="eastAsia"/>
          <w:b/>
          <w:sz w:val="24"/>
          <w:u w:val="single"/>
        </w:rPr>
        <w:t>0</w:t>
      </w:r>
      <w:r>
        <w:rPr>
          <w:b/>
          <w:sz w:val="24"/>
          <w:u w:val="single"/>
        </w:rPr>
        <w:t>%</w:t>
      </w:r>
      <w:r>
        <w:rPr>
          <w:sz w:val="24"/>
          <w:u w:val="single"/>
        </w:rPr>
        <w:t xml:space="preserve">（权重）  </w:t>
      </w:r>
      <w:r>
        <w:rPr>
          <w:sz w:val="24"/>
        </w:rPr>
        <w:t>（取小数点后二位）；</w:t>
      </w:r>
    </w:p>
    <w:p w14:paraId="1E2F6571">
      <w:pPr>
        <w:wordWrap w:val="0"/>
        <w:topLinePunct/>
        <w:spacing w:line="360" w:lineRule="auto"/>
        <w:ind w:firstLine="484" w:firstLineChars="202"/>
        <w:rPr>
          <w:sz w:val="24"/>
        </w:rPr>
      </w:pPr>
      <w:r>
        <w:rPr>
          <w:sz w:val="24"/>
        </w:rPr>
        <w:t>（2）“</w:t>
      </w:r>
      <w:r>
        <w:rPr>
          <w:b/>
          <w:sz w:val="24"/>
        </w:rPr>
        <w:t>价格标分值</w:t>
      </w:r>
      <w:r>
        <w:rPr>
          <w:sz w:val="24"/>
        </w:rPr>
        <w:t>”占总分值的比重为</w:t>
      </w:r>
      <w:r>
        <w:rPr>
          <w:sz w:val="24"/>
          <w:u w:val="single"/>
        </w:rPr>
        <w:t xml:space="preserve">  </w:t>
      </w:r>
      <w:r>
        <w:rPr>
          <w:rFonts w:hint="eastAsia"/>
          <w:b/>
          <w:sz w:val="24"/>
          <w:u w:val="single"/>
          <w:lang w:val="en-US" w:eastAsia="zh-CN"/>
        </w:rPr>
        <w:t>3</w:t>
      </w:r>
      <w:r>
        <w:rPr>
          <w:rFonts w:hint="eastAsia"/>
          <w:b/>
          <w:sz w:val="24"/>
          <w:u w:val="single"/>
        </w:rPr>
        <w:t>0</w:t>
      </w:r>
      <w:r>
        <w:rPr>
          <w:b/>
          <w:sz w:val="24"/>
          <w:u w:val="single"/>
        </w:rPr>
        <w:t>%</w:t>
      </w:r>
      <w:r>
        <w:rPr>
          <w:sz w:val="24"/>
          <w:u w:val="single"/>
        </w:rPr>
        <w:t xml:space="preserve">（权重）  </w:t>
      </w:r>
      <w:r>
        <w:rPr>
          <w:sz w:val="24"/>
        </w:rPr>
        <w:t>（取小数点后二位）；</w:t>
      </w:r>
    </w:p>
    <w:p w14:paraId="4AF8C5D4">
      <w:pPr>
        <w:wordWrap w:val="0"/>
        <w:topLinePunct/>
        <w:spacing w:line="360" w:lineRule="auto"/>
        <w:ind w:firstLine="484" w:firstLineChars="202"/>
        <w:rPr>
          <w:sz w:val="24"/>
        </w:rPr>
      </w:pPr>
      <w:r>
        <w:rPr>
          <w:sz w:val="24"/>
        </w:rPr>
        <w:t>5、评标委员会评委独立对每个进入打分程序的有效投标人的投标文件技术部分以打分的形式进行评审和评价（计算结果均四舍五入保留两位小数）。</w:t>
      </w:r>
    </w:p>
    <w:p w14:paraId="711A6116">
      <w:pPr>
        <w:wordWrap w:val="0"/>
        <w:topLinePunct/>
        <w:spacing w:line="360" w:lineRule="auto"/>
        <w:ind w:firstLine="484" w:firstLineChars="202"/>
        <w:rPr>
          <w:sz w:val="24"/>
        </w:rPr>
      </w:pPr>
      <w:r>
        <w:rPr>
          <w:sz w:val="24"/>
        </w:rPr>
        <w:t>6、评审后的综合得分相同的，按投标报价</w:t>
      </w:r>
      <w:r>
        <w:rPr>
          <w:rFonts w:hint="eastAsia"/>
          <w:sz w:val="24"/>
        </w:rPr>
        <w:t>得分</w:t>
      </w:r>
      <w:r>
        <w:rPr>
          <w:sz w:val="24"/>
        </w:rPr>
        <w:t>由高到低顺序排列。</w:t>
      </w:r>
    </w:p>
    <w:p w14:paraId="3FC1F906">
      <w:pPr>
        <w:wordWrap w:val="0"/>
        <w:topLinePunct/>
        <w:spacing w:line="360" w:lineRule="auto"/>
        <w:ind w:firstLine="484" w:firstLineChars="202"/>
        <w:rPr>
          <w:rFonts w:hint="eastAsia" w:ascii="宋体" w:hAnsi="宋体" w:eastAsia="宋体"/>
          <w:b/>
          <w:bCs w:val="0"/>
          <w:sz w:val="24"/>
          <w:lang w:val="en-US" w:eastAsia="zh-CN"/>
        </w:rPr>
      </w:pPr>
      <w:r>
        <w:rPr>
          <w:sz w:val="24"/>
        </w:rPr>
        <w:t>7、评标结果按投标文件满足</w:t>
      </w:r>
      <w:r>
        <w:rPr>
          <w:rFonts w:hint="eastAsia"/>
          <w:sz w:val="24"/>
          <w:lang w:eastAsia="zh-CN"/>
        </w:rPr>
        <w:t>比选文件</w:t>
      </w:r>
      <w:r>
        <w:rPr>
          <w:sz w:val="24"/>
        </w:rPr>
        <w:t>全部实质性要求，且按照评审因素的量化指标评审综合得分最高确定为中标人。</w:t>
      </w:r>
    </w:p>
    <w:p w14:paraId="446BF131">
      <w:pPr>
        <w:wordWrap w:val="0"/>
        <w:topLinePunct/>
        <w:spacing w:line="360" w:lineRule="auto"/>
        <w:ind w:firstLine="482" w:firstLineChars="200"/>
        <w:rPr>
          <w:rFonts w:hint="eastAsia"/>
          <w:b/>
          <w:sz w:val="24"/>
        </w:rPr>
      </w:pPr>
      <w:r>
        <w:rPr>
          <w:rFonts w:hint="eastAsia"/>
          <w:b/>
          <w:kern w:val="1"/>
          <w:sz w:val="24"/>
          <w:lang w:val="zh-CN"/>
        </w:rPr>
        <w:t>三、</w:t>
      </w:r>
      <w:r>
        <w:rPr>
          <w:b/>
          <w:kern w:val="1"/>
          <w:sz w:val="24"/>
          <w:lang w:val="zh-CN"/>
        </w:rPr>
        <w:t>综合评分评审标准</w:t>
      </w:r>
    </w:p>
    <w:p w14:paraId="036936F3">
      <w:pPr>
        <w:wordWrap w:val="0"/>
        <w:topLinePunct/>
        <w:spacing w:line="360" w:lineRule="auto"/>
        <w:ind w:firstLine="482" w:firstLineChars="200"/>
        <w:rPr>
          <w:b/>
          <w:sz w:val="24"/>
        </w:rPr>
      </w:pPr>
      <w:r>
        <w:rPr>
          <w:rFonts w:hint="eastAsia"/>
          <w:b/>
          <w:sz w:val="24"/>
        </w:rPr>
        <w:t>1、</w:t>
      </w:r>
      <w:r>
        <w:rPr>
          <w:b/>
          <w:sz w:val="24"/>
        </w:rPr>
        <w:t>商务技术标响应评审：（</w:t>
      </w:r>
      <w:r>
        <w:rPr>
          <w:rFonts w:hint="eastAsia"/>
          <w:b/>
          <w:sz w:val="24"/>
          <w:lang w:val="en-US" w:eastAsia="zh-CN"/>
        </w:rPr>
        <w:t>7</w:t>
      </w:r>
      <w:r>
        <w:rPr>
          <w:rFonts w:hint="eastAsia"/>
          <w:b/>
          <w:sz w:val="24"/>
        </w:rPr>
        <w:t>0</w:t>
      </w:r>
      <w:r>
        <w:rPr>
          <w:b/>
          <w:sz w:val="24"/>
        </w:rPr>
        <w:t>分）</w:t>
      </w:r>
    </w:p>
    <w:tbl>
      <w:tblPr>
        <w:tblStyle w:val="13"/>
        <w:tblW w:w="9962" w:type="dxa"/>
        <w:jc w:val="center"/>
        <w:tblLayout w:type="fixed"/>
        <w:tblCellMar>
          <w:top w:w="0" w:type="dxa"/>
          <w:left w:w="108" w:type="dxa"/>
          <w:bottom w:w="0" w:type="dxa"/>
          <w:right w:w="108" w:type="dxa"/>
        </w:tblCellMar>
      </w:tblPr>
      <w:tblGrid>
        <w:gridCol w:w="521"/>
        <w:gridCol w:w="1500"/>
        <w:gridCol w:w="615"/>
        <w:gridCol w:w="7215"/>
      </w:tblGrid>
      <w:tr w14:paraId="28082278">
        <w:tblPrEx>
          <w:tblCellMar>
            <w:top w:w="0" w:type="dxa"/>
            <w:left w:w="108" w:type="dxa"/>
            <w:bottom w:w="0" w:type="dxa"/>
            <w:right w:w="108" w:type="dxa"/>
          </w:tblCellMar>
        </w:tblPrEx>
        <w:trPr>
          <w:trHeight w:val="90" w:hRule="atLeast"/>
          <w:tblHeader/>
          <w:jc w:val="center"/>
        </w:trPr>
        <w:tc>
          <w:tcPr>
            <w:tcW w:w="521" w:type="dxa"/>
            <w:tcBorders>
              <w:top w:val="single" w:color="auto" w:sz="4" w:space="0"/>
              <w:left w:val="single" w:color="auto" w:sz="4" w:space="0"/>
              <w:bottom w:val="single" w:color="auto" w:sz="4" w:space="0"/>
              <w:right w:val="single" w:color="auto" w:sz="4" w:space="0"/>
            </w:tcBorders>
            <w:noWrap/>
            <w:vAlign w:val="center"/>
          </w:tcPr>
          <w:p w14:paraId="130E657E">
            <w:pPr>
              <w:widowControl/>
              <w:wordWrap w:val="0"/>
              <w:topLinePunct/>
              <w:jc w:val="center"/>
              <w:rPr>
                <w:b/>
                <w:kern w:val="0"/>
                <w:sz w:val="24"/>
              </w:rPr>
            </w:pPr>
            <w:r>
              <w:rPr>
                <w:b/>
                <w:kern w:val="0"/>
                <w:sz w:val="24"/>
              </w:rPr>
              <w:t>序号</w:t>
            </w:r>
          </w:p>
        </w:tc>
        <w:tc>
          <w:tcPr>
            <w:tcW w:w="1500" w:type="dxa"/>
            <w:tcBorders>
              <w:top w:val="single" w:color="auto" w:sz="4" w:space="0"/>
              <w:left w:val="nil"/>
              <w:bottom w:val="single" w:color="auto" w:sz="4" w:space="0"/>
              <w:right w:val="single" w:color="auto" w:sz="4" w:space="0"/>
            </w:tcBorders>
            <w:noWrap w:val="0"/>
            <w:vAlign w:val="center"/>
          </w:tcPr>
          <w:p w14:paraId="1B691CFD">
            <w:pPr>
              <w:widowControl/>
              <w:wordWrap w:val="0"/>
              <w:topLinePunct/>
              <w:jc w:val="center"/>
              <w:rPr>
                <w:b/>
                <w:kern w:val="0"/>
                <w:sz w:val="24"/>
              </w:rPr>
            </w:pPr>
            <w:r>
              <w:rPr>
                <w:b/>
                <w:kern w:val="0"/>
                <w:sz w:val="24"/>
              </w:rPr>
              <w:t>评分点名称</w:t>
            </w:r>
          </w:p>
        </w:tc>
        <w:tc>
          <w:tcPr>
            <w:tcW w:w="615" w:type="dxa"/>
            <w:tcBorders>
              <w:top w:val="single" w:color="auto" w:sz="4" w:space="0"/>
              <w:left w:val="nil"/>
              <w:bottom w:val="single" w:color="auto" w:sz="4" w:space="0"/>
              <w:right w:val="single" w:color="auto" w:sz="4" w:space="0"/>
            </w:tcBorders>
            <w:noWrap/>
            <w:vAlign w:val="center"/>
          </w:tcPr>
          <w:p w14:paraId="39E2A365">
            <w:pPr>
              <w:widowControl/>
              <w:wordWrap w:val="0"/>
              <w:topLinePunct/>
              <w:jc w:val="center"/>
              <w:rPr>
                <w:b/>
                <w:kern w:val="0"/>
                <w:sz w:val="24"/>
              </w:rPr>
            </w:pPr>
            <w:r>
              <w:rPr>
                <w:b/>
                <w:kern w:val="0"/>
                <w:sz w:val="24"/>
              </w:rPr>
              <w:t>分值</w:t>
            </w:r>
          </w:p>
        </w:tc>
        <w:tc>
          <w:tcPr>
            <w:tcW w:w="7215" w:type="dxa"/>
            <w:tcBorders>
              <w:top w:val="single" w:color="auto" w:sz="4" w:space="0"/>
              <w:left w:val="nil"/>
              <w:bottom w:val="single" w:color="auto" w:sz="4" w:space="0"/>
              <w:right w:val="single" w:color="auto" w:sz="4" w:space="0"/>
            </w:tcBorders>
            <w:noWrap/>
            <w:vAlign w:val="center"/>
          </w:tcPr>
          <w:p w14:paraId="3C186F5A">
            <w:pPr>
              <w:widowControl/>
              <w:wordWrap w:val="0"/>
              <w:topLinePunct/>
              <w:jc w:val="center"/>
              <w:rPr>
                <w:b/>
                <w:kern w:val="0"/>
                <w:sz w:val="24"/>
              </w:rPr>
            </w:pPr>
            <w:r>
              <w:rPr>
                <w:b/>
                <w:kern w:val="0"/>
                <w:sz w:val="24"/>
              </w:rPr>
              <w:t>评审标准</w:t>
            </w:r>
          </w:p>
        </w:tc>
      </w:tr>
      <w:tr w14:paraId="32EAAADE">
        <w:tblPrEx>
          <w:tblCellMar>
            <w:top w:w="0" w:type="dxa"/>
            <w:left w:w="108" w:type="dxa"/>
            <w:bottom w:w="0" w:type="dxa"/>
            <w:right w:w="108" w:type="dxa"/>
          </w:tblCellMar>
        </w:tblPrEx>
        <w:trPr>
          <w:trHeight w:val="1048" w:hRule="atLeast"/>
          <w:jc w:val="center"/>
        </w:trPr>
        <w:tc>
          <w:tcPr>
            <w:tcW w:w="521" w:type="dxa"/>
            <w:tcBorders>
              <w:top w:val="nil"/>
              <w:left w:val="single" w:color="auto" w:sz="4" w:space="0"/>
              <w:bottom w:val="single" w:color="auto" w:sz="4" w:space="0"/>
              <w:right w:val="single" w:color="auto" w:sz="4" w:space="0"/>
            </w:tcBorders>
            <w:noWrap/>
            <w:vAlign w:val="center"/>
          </w:tcPr>
          <w:p w14:paraId="75247081">
            <w:pPr>
              <w:widowControl/>
              <w:wordWrap w:val="0"/>
              <w:topLinePunct/>
              <w:jc w:val="center"/>
              <w:rPr>
                <w:kern w:val="0"/>
                <w:sz w:val="24"/>
              </w:rPr>
            </w:pPr>
            <w:r>
              <w:rPr>
                <w:kern w:val="0"/>
                <w:sz w:val="24"/>
              </w:rPr>
              <w:t>1</w:t>
            </w:r>
          </w:p>
        </w:tc>
        <w:tc>
          <w:tcPr>
            <w:tcW w:w="1500" w:type="dxa"/>
            <w:tcBorders>
              <w:top w:val="nil"/>
              <w:left w:val="nil"/>
              <w:bottom w:val="single" w:color="auto" w:sz="4" w:space="0"/>
              <w:right w:val="single" w:color="auto" w:sz="4" w:space="0"/>
            </w:tcBorders>
            <w:noWrap w:val="0"/>
            <w:vAlign w:val="center"/>
          </w:tcPr>
          <w:p w14:paraId="3AA28D9A">
            <w:pPr>
              <w:spacing w:line="336" w:lineRule="auto"/>
              <w:jc w:val="center"/>
              <w:rPr>
                <w:kern w:val="0"/>
                <w:sz w:val="24"/>
              </w:rPr>
            </w:pPr>
            <w:r>
              <w:rPr>
                <w:rFonts w:hint="eastAsia" w:ascii="宋体" w:hAnsi="宋体"/>
                <w:kern w:val="0"/>
                <w:sz w:val="24"/>
                <w:szCs w:val="24"/>
              </w:rPr>
              <w:t>文件响应情况</w:t>
            </w:r>
          </w:p>
        </w:tc>
        <w:tc>
          <w:tcPr>
            <w:tcW w:w="615" w:type="dxa"/>
            <w:tcBorders>
              <w:top w:val="nil"/>
              <w:left w:val="nil"/>
              <w:bottom w:val="single" w:color="auto" w:sz="4" w:space="0"/>
              <w:right w:val="single" w:color="auto" w:sz="4" w:space="0"/>
            </w:tcBorders>
            <w:noWrap w:val="0"/>
            <w:vAlign w:val="center"/>
          </w:tcPr>
          <w:p w14:paraId="599420CA">
            <w:pPr>
              <w:spacing w:line="336" w:lineRule="auto"/>
              <w:jc w:val="center"/>
              <w:rPr>
                <w:rFonts w:hint="default" w:eastAsia="宋体"/>
                <w:kern w:val="0"/>
                <w:sz w:val="24"/>
                <w:lang w:val="en-US" w:eastAsia="zh-CN"/>
              </w:rPr>
            </w:pPr>
            <w:r>
              <w:rPr>
                <w:rFonts w:hint="eastAsia" w:ascii="宋体"/>
                <w:color w:val="000000"/>
                <w:sz w:val="24"/>
                <w:szCs w:val="24"/>
                <w:lang w:val="en-US" w:eastAsia="zh-CN"/>
              </w:rPr>
              <w:t>32</w:t>
            </w:r>
          </w:p>
        </w:tc>
        <w:tc>
          <w:tcPr>
            <w:tcW w:w="7215" w:type="dxa"/>
            <w:tcBorders>
              <w:top w:val="nil"/>
              <w:left w:val="nil"/>
              <w:bottom w:val="single" w:color="auto" w:sz="4" w:space="0"/>
              <w:right w:val="single" w:color="auto" w:sz="4" w:space="0"/>
            </w:tcBorders>
            <w:noWrap w:val="0"/>
            <w:vAlign w:val="center"/>
          </w:tcPr>
          <w:p w14:paraId="0DA1FDA9">
            <w:pPr>
              <w:spacing w:line="336" w:lineRule="auto"/>
              <w:rPr>
                <w:rFonts w:hint="eastAsia"/>
                <w:kern w:val="0"/>
                <w:sz w:val="24"/>
              </w:rPr>
            </w:pPr>
            <w:r>
              <w:rPr>
                <w:rFonts w:hint="eastAsia" w:ascii="宋体"/>
                <w:color w:val="000000"/>
                <w:sz w:val="24"/>
                <w:szCs w:val="24"/>
              </w:rPr>
              <w:t>根据供应商响应文件对</w:t>
            </w:r>
            <w:r>
              <w:rPr>
                <w:rFonts w:hint="eastAsia" w:ascii="宋体"/>
                <w:color w:val="000000"/>
                <w:sz w:val="24"/>
                <w:szCs w:val="24"/>
                <w:lang w:eastAsia="zh-CN"/>
              </w:rPr>
              <w:t>“第三章第三条具体参数要求”</w:t>
            </w:r>
            <w:r>
              <w:rPr>
                <w:rFonts w:hint="eastAsia" w:ascii="宋体"/>
                <w:color w:val="000000"/>
                <w:sz w:val="24"/>
                <w:szCs w:val="24"/>
              </w:rPr>
              <w:t>响应情况进行评审，完全符合得满分</w:t>
            </w:r>
            <w:r>
              <w:rPr>
                <w:rFonts w:hint="eastAsia" w:ascii="宋体"/>
                <w:color w:val="000000"/>
                <w:sz w:val="24"/>
                <w:szCs w:val="24"/>
                <w:lang w:val="en-US" w:eastAsia="zh-CN"/>
              </w:rPr>
              <w:t>32</w:t>
            </w:r>
            <w:r>
              <w:rPr>
                <w:rFonts w:hint="eastAsia" w:ascii="宋体"/>
                <w:color w:val="000000"/>
                <w:sz w:val="24"/>
                <w:szCs w:val="24"/>
              </w:rPr>
              <w:t>分。</w:t>
            </w:r>
            <w:r>
              <w:rPr>
                <w:rFonts w:hint="eastAsia" w:ascii="宋体" w:hAnsi="宋体" w:cs="宋体"/>
                <w:color w:val="auto"/>
                <w:sz w:val="24"/>
                <w:szCs w:val="24"/>
                <w:highlight w:val="none"/>
                <w:lang w:val="en-US" w:eastAsia="zh-CN"/>
              </w:rPr>
              <w:t>▲条款</w:t>
            </w:r>
            <w:r>
              <w:rPr>
                <w:rFonts w:hint="eastAsia" w:ascii="宋体"/>
                <w:color w:val="000000"/>
                <w:sz w:val="24"/>
                <w:szCs w:val="24"/>
              </w:rPr>
              <w:t>每有一项负偏离扣</w:t>
            </w:r>
            <w:r>
              <w:rPr>
                <w:rFonts w:hint="eastAsia" w:ascii="宋体"/>
                <w:color w:val="000000"/>
                <w:sz w:val="24"/>
                <w:szCs w:val="24"/>
                <w:lang w:val="en-US" w:eastAsia="zh-CN"/>
              </w:rPr>
              <w:t>4</w:t>
            </w:r>
            <w:r>
              <w:rPr>
                <w:rFonts w:hint="eastAsia" w:ascii="宋体"/>
                <w:color w:val="000000"/>
                <w:sz w:val="24"/>
                <w:szCs w:val="24"/>
              </w:rPr>
              <w:t>分，</w:t>
            </w:r>
            <w:r>
              <w:rPr>
                <w:rFonts w:hint="eastAsia" w:ascii="宋体"/>
                <w:color w:val="000000"/>
                <w:sz w:val="24"/>
                <w:szCs w:val="24"/>
                <w:lang w:eastAsia="zh-CN"/>
              </w:rPr>
              <w:t>普通</w:t>
            </w:r>
            <w:r>
              <w:rPr>
                <w:rFonts w:hint="eastAsia" w:ascii="宋体" w:hAnsi="宋体" w:cs="宋体"/>
                <w:color w:val="auto"/>
                <w:sz w:val="24"/>
                <w:szCs w:val="24"/>
                <w:highlight w:val="none"/>
                <w:lang w:val="en-US" w:eastAsia="zh-CN"/>
              </w:rPr>
              <w:t>条款</w:t>
            </w:r>
            <w:r>
              <w:rPr>
                <w:rFonts w:hint="eastAsia" w:ascii="宋体"/>
                <w:color w:val="000000"/>
                <w:sz w:val="24"/>
                <w:szCs w:val="24"/>
              </w:rPr>
              <w:t>每有一项负偏离扣</w:t>
            </w:r>
            <w:r>
              <w:rPr>
                <w:rFonts w:hint="eastAsia" w:ascii="宋体"/>
                <w:color w:val="000000"/>
                <w:sz w:val="24"/>
                <w:szCs w:val="24"/>
                <w:lang w:val="en-US" w:eastAsia="zh-CN"/>
              </w:rPr>
              <w:t>2</w:t>
            </w:r>
            <w:r>
              <w:rPr>
                <w:rFonts w:hint="eastAsia" w:ascii="宋体"/>
                <w:color w:val="000000"/>
                <w:sz w:val="24"/>
                <w:szCs w:val="24"/>
              </w:rPr>
              <w:t>分</w:t>
            </w:r>
            <w:r>
              <w:rPr>
                <w:rFonts w:hint="eastAsia" w:ascii="宋体"/>
                <w:color w:val="000000"/>
                <w:sz w:val="24"/>
                <w:szCs w:val="24"/>
                <w:lang w:eastAsia="zh-CN"/>
              </w:rPr>
              <w:t>，</w:t>
            </w:r>
            <w:r>
              <w:rPr>
                <w:rFonts w:hint="eastAsia" w:ascii="宋体"/>
                <w:color w:val="000000"/>
                <w:sz w:val="24"/>
                <w:szCs w:val="24"/>
              </w:rPr>
              <w:t>扣完为止。（评分标准中如有其他单列出的，涉及招标文件所列明的商务技术要求的打分，则在对应项中评分，此项中不重复扣分）</w:t>
            </w:r>
          </w:p>
        </w:tc>
      </w:tr>
      <w:tr w14:paraId="35E7E669">
        <w:tblPrEx>
          <w:tblCellMar>
            <w:top w:w="0" w:type="dxa"/>
            <w:left w:w="108" w:type="dxa"/>
            <w:bottom w:w="0" w:type="dxa"/>
            <w:right w:w="108" w:type="dxa"/>
          </w:tblCellMar>
        </w:tblPrEx>
        <w:trPr>
          <w:trHeight w:val="625" w:hRule="atLeast"/>
          <w:jc w:val="center"/>
        </w:trPr>
        <w:tc>
          <w:tcPr>
            <w:tcW w:w="521" w:type="dxa"/>
            <w:tcBorders>
              <w:top w:val="nil"/>
              <w:left w:val="single" w:color="auto" w:sz="4" w:space="0"/>
              <w:bottom w:val="single" w:color="auto" w:sz="4" w:space="0"/>
              <w:right w:val="single" w:color="auto" w:sz="4" w:space="0"/>
            </w:tcBorders>
            <w:noWrap/>
            <w:vAlign w:val="center"/>
          </w:tcPr>
          <w:p w14:paraId="019F2BD0">
            <w:pPr>
              <w:widowControl/>
              <w:wordWrap w:val="0"/>
              <w:topLinePunct/>
              <w:jc w:val="center"/>
              <w:rPr>
                <w:kern w:val="0"/>
                <w:sz w:val="24"/>
              </w:rPr>
            </w:pPr>
            <w:r>
              <w:rPr>
                <w:kern w:val="0"/>
                <w:sz w:val="24"/>
              </w:rPr>
              <w:t>2</w:t>
            </w:r>
          </w:p>
        </w:tc>
        <w:tc>
          <w:tcPr>
            <w:tcW w:w="1500" w:type="dxa"/>
            <w:tcBorders>
              <w:top w:val="nil"/>
              <w:left w:val="nil"/>
              <w:bottom w:val="single" w:color="auto" w:sz="4" w:space="0"/>
              <w:right w:val="single" w:color="auto" w:sz="4" w:space="0"/>
            </w:tcBorders>
            <w:noWrap w:val="0"/>
            <w:vAlign w:val="center"/>
          </w:tcPr>
          <w:p w14:paraId="042E0D09">
            <w:pPr>
              <w:spacing w:line="336" w:lineRule="auto"/>
              <w:jc w:val="center"/>
              <w:rPr>
                <w:kern w:val="0"/>
                <w:sz w:val="24"/>
              </w:rPr>
            </w:pPr>
            <w:r>
              <w:rPr>
                <w:rFonts w:hint="eastAsia" w:ascii="宋体" w:hAnsi="宋体"/>
                <w:kern w:val="0"/>
                <w:sz w:val="24"/>
                <w:szCs w:val="24"/>
                <w:lang w:eastAsia="zh-CN"/>
              </w:rPr>
              <w:t>实施</w:t>
            </w:r>
            <w:r>
              <w:rPr>
                <w:rFonts w:hint="eastAsia" w:ascii="宋体" w:hAnsi="宋体"/>
                <w:kern w:val="0"/>
                <w:sz w:val="24"/>
                <w:szCs w:val="24"/>
              </w:rPr>
              <w:t>方案</w:t>
            </w:r>
          </w:p>
        </w:tc>
        <w:tc>
          <w:tcPr>
            <w:tcW w:w="615" w:type="dxa"/>
            <w:tcBorders>
              <w:top w:val="nil"/>
              <w:left w:val="nil"/>
              <w:bottom w:val="single" w:color="auto" w:sz="4" w:space="0"/>
              <w:right w:val="single" w:color="auto" w:sz="4" w:space="0"/>
            </w:tcBorders>
            <w:noWrap w:val="0"/>
            <w:vAlign w:val="center"/>
          </w:tcPr>
          <w:p w14:paraId="4C13C084">
            <w:pPr>
              <w:spacing w:line="336" w:lineRule="auto"/>
              <w:jc w:val="center"/>
              <w:rPr>
                <w:rFonts w:hint="default"/>
                <w:kern w:val="0"/>
                <w:sz w:val="24"/>
                <w:lang w:val="en-US"/>
              </w:rPr>
            </w:pPr>
            <w:r>
              <w:rPr>
                <w:rFonts w:hint="eastAsia" w:ascii="宋体" w:hAnsi="宋体"/>
                <w:color w:val="000000"/>
                <w:sz w:val="24"/>
                <w:szCs w:val="24"/>
                <w:lang w:val="en-US" w:eastAsia="zh-CN"/>
              </w:rPr>
              <w:t>18</w:t>
            </w:r>
          </w:p>
        </w:tc>
        <w:tc>
          <w:tcPr>
            <w:tcW w:w="7215" w:type="dxa"/>
            <w:tcBorders>
              <w:top w:val="nil"/>
              <w:left w:val="nil"/>
              <w:bottom w:val="single" w:color="auto" w:sz="4" w:space="0"/>
              <w:right w:val="single" w:color="auto" w:sz="4" w:space="0"/>
            </w:tcBorders>
            <w:noWrap w:val="0"/>
            <w:vAlign w:val="center"/>
          </w:tcPr>
          <w:p w14:paraId="2E41A74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本项目的施工、安装、调试、验收方案，</w:t>
            </w:r>
            <w:r>
              <w:rPr>
                <w:rFonts w:hint="eastAsia" w:ascii="宋体" w:hAnsi="宋体"/>
                <w:color w:val="000000"/>
                <w:sz w:val="24"/>
                <w:szCs w:val="24"/>
              </w:rPr>
              <w:t>优得</w:t>
            </w:r>
            <w:r>
              <w:rPr>
                <w:rFonts w:hint="eastAsia" w:ascii="宋体" w:hAnsi="宋体"/>
                <w:color w:val="000000"/>
                <w:sz w:val="24"/>
                <w:szCs w:val="24"/>
                <w:lang w:val="en-US" w:eastAsia="zh-CN"/>
              </w:rPr>
              <w:t>6</w:t>
            </w:r>
            <w:r>
              <w:rPr>
                <w:rFonts w:hint="eastAsia" w:ascii="宋体" w:hAnsi="宋体"/>
                <w:color w:val="000000"/>
                <w:sz w:val="24"/>
                <w:szCs w:val="24"/>
              </w:rPr>
              <w:t>分，良得</w:t>
            </w:r>
            <w:r>
              <w:rPr>
                <w:rFonts w:hint="eastAsia" w:ascii="宋体" w:hAnsi="宋体"/>
                <w:color w:val="000000"/>
                <w:sz w:val="24"/>
                <w:szCs w:val="24"/>
                <w:lang w:val="en-US" w:eastAsia="zh-CN"/>
              </w:rPr>
              <w:t>4</w:t>
            </w:r>
            <w:r>
              <w:rPr>
                <w:rFonts w:hint="eastAsia" w:ascii="宋体" w:hAnsi="宋体"/>
                <w:color w:val="000000"/>
                <w:sz w:val="24"/>
                <w:szCs w:val="24"/>
              </w:rPr>
              <w:t>分，合格得</w:t>
            </w:r>
            <w:r>
              <w:rPr>
                <w:rFonts w:hint="eastAsia" w:ascii="宋体" w:hAnsi="宋体"/>
                <w:color w:val="000000"/>
                <w:sz w:val="24"/>
                <w:szCs w:val="24"/>
                <w:lang w:val="en-US" w:eastAsia="zh-CN"/>
              </w:rPr>
              <w:t>2</w:t>
            </w:r>
            <w:r>
              <w:rPr>
                <w:rFonts w:hint="eastAsia" w:ascii="宋体" w:hAnsi="宋体"/>
                <w:color w:val="000000"/>
                <w:sz w:val="24"/>
                <w:szCs w:val="24"/>
              </w:rPr>
              <w:t>分</w:t>
            </w:r>
            <w:r>
              <w:rPr>
                <w:rFonts w:hint="eastAsia" w:ascii="宋体" w:hAnsi="宋体" w:eastAsia="宋体" w:cs="宋体"/>
                <w:bCs/>
                <w:color w:val="auto"/>
                <w:sz w:val="24"/>
                <w:szCs w:val="24"/>
                <w:highlight w:val="none"/>
                <w:lang w:val="en-US" w:eastAsia="zh-CN"/>
              </w:rPr>
              <w:t>，</w:t>
            </w:r>
            <w:r>
              <w:rPr>
                <w:rFonts w:hint="eastAsia" w:ascii="宋体" w:hAnsi="宋体"/>
                <w:color w:val="000000"/>
                <w:sz w:val="24"/>
                <w:szCs w:val="24"/>
              </w:rPr>
              <w:t>不合格或未提供不得分</w:t>
            </w:r>
            <w:r>
              <w:rPr>
                <w:rFonts w:hint="eastAsia" w:ascii="宋体" w:hAnsi="宋体"/>
                <w:color w:val="000000"/>
                <w:sz w:val="24"/>
                <w:szCs w:val="24"/>
                <w:lang w:eastAsia="zh-CN"/>
              </w:rPr>
              <w:t>。</w:t>
            </w:r>
          </w:p>
          <w:p w14:paraId="49F065E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工期方案或措施的合理性，</w:t>
            </w:r>
            <w:r>
              <w:rPr>
                <w:rFonts w:hint="eastAsia" w:ascii="宋体" w:hAnsi="宋体"/>
                <w:color w:val="000000"/>
                <w:sz w:val="24"/>
                <w:szCs w:val="24"/>
              </w:rPr>
              <w:t>优得</w:t>
            </w:r>
            <w:r>
              <w:rPr>
                <w:rFonts w:hint="eastAsia" w:ascii="宋体" w:hAnsi="宋体"/>
                <w:color w:val="000000"/>
                <w:sz w:val="24"/>
                <w:szCs w:val="24"/>
                <w:lang w:val="en-US" w:eastAsia="zh-CN"/>
              </w:rPr>
              <w:t>6</w:t>
            </w:r>
            <w:r>
              <w:rPr>
                <w:rFonts w:hint="eastAsia" w:ascii="宋体" w:hAnsi="宋体"/>
                <w:color w:val="000000"/>
                <w:sz w:val="24"/>
                <w:szCs w:val="24"/>
              </w:rPr>
              <w:t>分，良得</w:t>
            </w:r>
            <w:r>
              <w:rPr>
                <w:rFonts w:hint="eastAsia" w:ascii="宋体" w:hAnsi="宋体"/>
                <w:color w:val="000000"/>
                <w:sz w:val="24"/>
                <w:szCs w:val="24"/>
                <w:lang w:val="en-US" w:eastAsia="zh-CN"/>
              </w:rPr>
              <w:t>4</w:t>
            </w:r>
            <w:r>
              <w:rPr>
                <w:rFonts w:hint="eastAsia" w:ascii="宋体" w:hAnsi="宋体"/>
                <w:color w:val="000000"/>
                <w:sz w:val="24"/>
                <w:szCs w:val="24"/>
              </w:rPr>
              <w:t>分，合格得</w:t>
            </w:r>
            <w:r>
              <w:rPr>
                <w:rFonts w:hint="eastAsia" w:ascii="宋体" w:hAnsi="宋体"/>
                <w:color w:val="000000"/>
                <w:sz w:val="24"/>
                <w:szCs w:val="24"/>
                <w:lang w:val="en-US" w:eastAsia="zh-CN"/>
              </w:rPr>
              <w:t>2</w:t>
            </w:r>
            <w:r>
              <w:rPr>
                <w:rFonts w:hint="eastAsia" w:ascii="宋体" w:hAnsi="宋体"/>
                <w:color w:val="000000"/>
                <w:sz w:val="24"/>
                <w:szCs w:val="24"/>
              </w:rPr>
              <w:t>分</w:t>
            </w:r>
            <w:r>
              <w:rPr>
                <w:rFonts w:hint="eastAsia" w:ascii="宋体" w:hAnsi="宋体" w:eastAsia="宋体" w:cs="宋体"/>
                <w:bCs/>
                <w:color w:val="auto"/>
                <w:sz w:val="24"/>
                <w:szCs w:val="24"/>
                <w:highlight w:val="none"/>
                <w:lang w:val="en-US" w:eastAsia="zh-CN"/>
              </w:rPr>
              <w:t>，</w:t>
            </w:r>
            <w:r>
              <w:rPr>
                <w:rFonts w:hint="eastAsia" w:ascii="宋体" w:hAnsi="宋体"/>
                <w:color w:val="000000"/>
                <w:sz w:val="24"/>
                <w:szCs w:val="24"/>
              </w:rPr>
              <w:t>不合格或未提供不得分</w:t>
            </w:r>
            <w:r>
              <w:rPr>
                <w:rFonts w:hint="eastAsia" w:ascii="宋体" w:hAnsi="宋体"/>
                <w:color w:val="000000"/>
                <w:sz w:val="24"/>
                <w:szCs w:val="24"/>
                <w:lang w:eastAsia="zh-CN"/>
              </w:rPr>
              <w:t>。</w:t>
            </w:r>
          </w:p>
          <w:p w14:paraId="32306A3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eastAsia="宋体"/>
                <w:kern w:val="0"/>
                <w:sz w:val="24"/>
                <w:lang w:eastAsia="zh-CN"/>
              </w:rPr>
            </w:pPr>
            <w:r>
              <w:rPr>
                <w:rFonts w:hint="eastAsia" w:ascii="宋体" w:hAnsi="宋体" w:eastAsia="宋体" w:cs="宋体"/>
                <w:bCs/>
                <w:color w:val="auto"/>
                <w:sz w:val="24"/>
                <w:szCs w:val="24"/>
                <w:highlight w:val="none"/>
                <w:lang w:val="en-US" w:eastAsia="zh-CN"/>
              </w:rPr>
              <w:t>人员技术培训方案，</w:t>
            </w:r>
            <w:r>
              <w:rPr>
                <w:rFonts w:hint="eastAsia" w:ascii="宋体" w:hAnsi="宋体"/>
                <w:color w:val="000000"/>
                <w:sz w:val="24"/>
                <w:szCs w:val="24"/>
              </w:rPr>
              <w:t>优得</w:t>
            </w:r>
            <w:r>
              <w:rPr>
                <w:rFonts w:hint="eastAsia" w:ascii="宋体" w:hAnsi="宋体"/>
                <w:color w:val="000000"/>
                <w:sz w:val="24"/>
                <w:szCs w:val="24"/>
                <w:lang w:val="en-US" w:eastAsia="zh-CN"/>
              </w:rPr>
              <w:t>6</w:t>
            </w:r>
            <w:r>
              <w:rPr>
                <w:rFonts w:hint="eastAsia" w:ascii="宋体" w:hAnsi="宋体"/>
                <w:color w:val="000000"/>
                <w:sz w:val="24"/>
                <w:szCs w:val="24"/>
              </w:rPr>
              <w:t>分，良得</w:t>
            </w:r>
            <w:r>
              <w:rPr>
                <w:rFonts w:hint="eastAsia" w:ascii="宋体" w:hAnsi="宋体"/>
                <w:color w:val="000000"/>
                <w:sz w:val="24"/>
                <w:szCs w:val="24"/>
                <w:lang w:val="en-US" w:eastAsia="zh-CN"/>
              </w:rPr>
              <w:t>4</w:t>
            </w:r>
            <w:r>
              <w:rPr>
                <w:rFonts w:hint="eastAsia" w:ascii="宋体" w:hAnsi="宋体"/>
                <w:color w:val="000000"/>
                <w:sz w:val="24"/>
                <w:szCs w:val="24"/>
              </w:rPr>
              <w:t>分，合格得</w:t>
            </w:r>
            <w:r>
              <w:rPr>
                <w:rFonts w:hint="eastAsia" w:ascii="宋体" w:hAnsi="宋体"/>
                <w:color w:val="000000"/>
                <w:sz w:val="24"/>
                <w:szCs w:val="24"/>
                <w:lang w:val="en-US" w:eastAsia="zh-CN"/>
              </w:rPr>
              <w:t>2</w:t>
            </w:r>
            <w:r>
              <w:rPr>
                <w:rFonts w:hint="eastAsia" w:ascii="宋体" w:hAnsi="宋体"/>
                <w:color w:val="000000"/>
                <w:sz w:val="24"/>
                <w:szCs w:val="24"/>
              </w:rPr>
              <w:t>分</w:t>
            </w:r>
            <w:r>
              <w:rPr>
                <w:rFonts w:hint="eastAsia" w:ascii="宋体" w:hAnsi="宋体" w:eastAsia="宋体" w:cs="宋体"/>
                <w:bCs/>
                <w:color w:val="auto"/>
                <w:sz w:val="24"/>
                <w:szCs w:val="24"/>
                <w:highlight w:val="none"/>
                <w:lang w:val="en-US" w:eastAsia="zh-CN"/>
              </w:rPr>
              <w:t>，</w:t>
            </w:r>
            <w:r>
              <w:rPr>
                <w:rFonts w:hint="eastAsia" w:ascii="宋体" w:hAnsi="宋体"/>
                <w:color w:val="000000"/>
                <w:sz w:val="24"/>
                <w:szCs w:val="24"/>
              </w:rPr>
              <w:t>不合格或未提供不得分</w:t>
            </w:r>
            <w:r>
              <w:rPr>
                <w:rFonts w:hint="eastAsia" w:ascii="宋体" w:hAnsi="宋体"/>
                <w:color w:val="000000"/>
                <w:sz w:val="24"/>
                <w:szCs w:val="24"/>
                <w:lang w:eastAsia="zh-CN"/>
              </w:rPr>
              <w:t>。</w:t>
            </w:r>
          </w:p>
        </w:tc>
      </w:tr>
      <w:tr w14:paraId="0D24A419">
        <w:tblPrEx>
          <w:tblCellMar>
            <w:top w:w="0" w:type="dxa"/>
            <w:left w:w="108" w:type="dxa"/>
            <w:bottom w:w="0" w:type="dxa"/>
            <w:right w:w="108" w:type="dxa"/>
          </w:tblCellMar>
        </w:tblPrEx>
        <w:trPr>
          <w:trHeight w:val="625" w:hRule="atLeast"/>
          <w:jc w:val="center"/>
        </w:trPr>
        <w:tc>
          <w:tcPr>
            <w:tcW w:w="521" w:type="dxa"/>
            <w:tcBorders>
              <w:top w:val="nil"/>
              <w:left w:val="single" w:color="auto" w:sz="4" w:space="0"/>
              <w:bottom w:val="single" w:color="auto" w:sz="4" w:space="0"/>
              <w:right w:val="single" w:color="auto" w:sz="4" w:space="0"/>
            </w:tcBorders>
            <w:noWrap/>
            <w:vAlign w:val="center"/>
          </w:tcPr>
          <w:p w14:paraId="77B5BE27">
            <w:pPr>
              <w:widowControl/>
              <w:wordWrap w:val="0"/>
              <w:topLinePunct/>
              <w:jc w:val="center"/>
              <w:rPr>
                <w:kern w:val="0"/>
                <w:sz w:val="24"/>
              </w:rPr>
            </w:pPr>
            <w:r>
              <w:rPr>
                <w:rFonts w:hint="eastAsia"/>
                <w:kern w:val="0"/>
                <w:sz w:val="24"/>
              </w:rPr>
              <w:t>3</w:t>
            </w:r>
          </w:p>
        </w:tc>
        <w:tc>
          <w:tcPr>
            <w:tcW w:w="1500" w:type="dxa"/>
            <w:tcBorders>
              <w:top w:val="nil"/>
              <w:left w:val="nil"/>
              <w:bottom w:val="single" w:color="auto" w:sz="4" w:space="0"/>
              <w:right w:val="single" w:color="auto" w:sz="4" w:space="0"/>
            </w:tcBorders>
            <w:noWrap w:val="0"/>
            <w:vAlign w:val="center"/>
          </w:tcPr>
          <w:p w14:paraId="5196B4DC">
            <w:pPr>
              <w:snapToGrid w:val="0"/>
              <w:spacing w:line="336" w:lineRule="auto"/>
              <w:jc w:val="center"/>
              <w:rPr>
                <w:rFonts w:hint="eastAsia"/>
                <w:kern w:val="0"/>
                <w:sz w:val="24"/>
              </w:rPr>
            </w:pPr>
            <w:r>
              <w:rPr>
                <w:rFonts w:hint="eastAsia" w:ascii="宋体" w:hAnsi="宋体"/>
                <w:sz w:val="24"/>
                <w:szCs w:val="24"/>
              </w:rPr>
              <w:t>售后服务方案</w:t>
            </w:r>
          </w:p>
        </w:tc>
        <w:tc>
          <w:tcPr>
            <w:tcW w:w="615" w:type="dxa"/>
            <w:tcBorders>
              <w:top w:val="nil"/>
              <w:left w:val="nil"/>
              <w:bottom w:val="single" w:color="auto" w:sz="4" w:space="0"/>
              <w:right w:val="single" w:color="auto" w:sz="4" w:space="0"/>
            </w:tcBorders>
            <w:noWrap w:val="0"/>
            <w:vAlign w:val="center"/>
          </w:tcPr>
          <w:p w14:paraId="44532040">
            <w:pPr>
              <w:snapToGrid w:val="0"/>
              <w:spacing w:line="336" w:lineRule="auto"/>
              <w:jc w:val="center"/>
              <w:rPr>
                <w:rFonts w:hint="eastAsia"/>
                <w:kern w:val="0"/>
                <w:sz w:val="24"/>
              </w:rPr>
            </w:pPr>
            <w:r>
              <w:rPr>
                <w:rFonts w:hint="eastAsia" w:ascii="Times New Roman" w:hAnsi="Times New Roman" w:eastAsia="宋体" w:cs="宋体"/>
                <w:color w:val="000000"/>
                <w:kern w:val="2"/>
                <w:sz w:val="24"/>
                <w:szCs w:val="24"/>
                <w:lang w:val="en-US" w:eastAsia="zh-CN" w:bidi="ar-SA"/>
              </w:rPr>
              <w:t>1</w:t>
            </w:r>
            <w:r>
              <w:rPr>
                <w:rFonts w:hint="eastAsia" w:ascii="Times New Roman" w:hAnsi="Times New Roman" w:cs="宋体"/>
                <w:color w:val="000000"/>
                <w:kern w:val="2"/>
                <w:sz w:val="24"/>
                <w:szCs w:val="24"/>
                <w:lang w:val="en-US" w:eastAsia="zh-CN" w:bidi="ar-SA"/>
              </w:rPr>
              <w:t>2</w:t>
            </w:r>
          </w:p>
        </w:tc>
        <w:tc>
          <w:tcPr>
            <w:tcW w:w="7215" w:type="dxa"/>
            <w:tcBorders>
              <w:top w:val="nil"/>
              <w:left w:val="nil"/>
              <w:bottom w:val="single" w:color="auto" w:sz="4" w:space="0"/>
              <w:right w:val="single" w:color="auto" w:sz="4" w:space="0"/>
            </w:tcBorders>
            <w:noWrap w:val="0"/>
            <w:vAlign w:val="center"/>
          </w:tcPr>
          <w:p w14:paraId="0890158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供应商应提供项目售后服务方案，方案完整、全面，责任清晰，措施有效扎实、专业性强、操作性强、与用户需求贴合度。招标小组综合考虑方案的完整性、详实程度、合理性、可行性，与采购人实际需求契合程度。优得9分，良得6分，合格得3分，不合格或未提供不得分。</w:t>
            </w:r>
          </w:p>
          <w:p w14:paraId="2A1BD2FF">
            <w:pPr>
              <w:keepNext w:val="0"/>
              <w:keepLines w:val="0"/>
              <w:pageBreakBefore w:val="0"/>
              <w:widowControl w:val="0"/>
              <w:kinsoku/>
              <w:wordWrap/>
              <w:overflowPunct/>
              <w:topLinePunct w:val="0"/>
              <w:autoSpaceDE/>
              <w:autoSpaceDN/>
              <w:bidi w:val="0"/>
              <w:spacing w:line="360" w:lineRule="auto"/>
              <w:textAlignment w:val="auto"/>
              <w:rPr>
                <w:rFonts w:hint="eastAsia" w:cs="宋体"/>
                <w:sz w:val="18"/>
                <w:szCs w:val="18"/>
              </w:rPr>
            </w:pPr>
            <w:r>
              <w:rPr>
                <w:rFonts w:hint="eastAsia" w:ascii="宋体" w:hAnsi="宋体" w:eastAsia="宋体" w:cs="宋体"/>
                <w:bCs/>
                <w:color w:val="auto"/>
                <w:sz w:val="24"/>
                <w:szCs w:val="24"/>
                <w:highlight w:val="none"/>
                <w:lang w:val="en-US" w:eastAsia="zh-CN"/>
              </w:rPr>
              <w:t>2.投标人提供有效的售后服务认证证书。三星级得1分，四星级得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分，五星级及以上得满分</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分，未提供或者提供不符合要求的不得分。（</w:t>
            </w:r>
            <w:r>
              <w:rPr>
                <w:rFonts w:hint="eastAsia" w:ascii="宋体" w:hAnsi="宋体" w:eastAsia="宋体" w:cs="宋体"/>
                <w:b/>
                <w:bCs w:val="0"/>
                <w:color w:val="auto"/>
                <w:sz w:val="24"/>
                <w:szCs w:val="24"/>
                <w:highlight w:val="none"/>
                <w:lang w:val="en-US" w:eastAsia="zh-CN"/>
              </w:rPr>
              <w:t>注：提供认证证书及认证证书在全国认证认可信息公共服务平台网站查询截图，否则不予计分</w:t>
            </w:r>
            <w:r>
              <w:rPr>
                <w:rFonts w:hint="eastAsia" w:ascii="宋体" w:hAnsi="宋体" w:eastAsia="宋体" w:cs="宋体"/>
                <w:bCs/>
                <w:color w:val="auto"/>
                <w:sz w:val="24"/>
                <w:szCs w:val="24"/>
                <w:highlight w:val="none"/>
                <w:lang w:val="en-US" w:eastAsia="zh-CN"/>
              </w:rPr>
              <w:t>）</w:t>
            </w:r>
          </w:p>
        </w:tc>
      </w:tr>
      <w:tr w14:paraId="399BBE3C">
        <w:tblPrEx>
          <w:tblCellMar>
            <w:top w:w="0" w:type="dxa"/>
            <w:left w:w="108" w:type="dxa"/>
            <w:bottom w:w="0" w:type="dxa"/>
            <w:right w:w="108" w:type="dxa"/>
          </w:tblCellMar>
        </w:tblPrEx>
        <w:trPr>
          <w:trHeight w:val="372" w:hRule="atLeast"/>
          <w:jc w:val="center"/>
        </w:trPr>
        <w:tc>
          <w:tcPr>
            <w:tcW w:w="521" w:type="dxa"/>
            <w:tcBorders>
              <w:top w:val="nil"/>
              <w:left w:val="single" w:color="auto" w:sz="4" w:space="0"/>
              <w:bottom w:val="single" w:color="auto" w:sz="4" w:space="0"/>
              <w:right w:val="single" w:color="auto" w:sz="4" w:space="0"/>
            </w:tcBorders>
            <w:noWrap/>
            <w:vAlign w:val="center"/>
          </w:tcPr>
          <w:p w14:paraId="5B66B41D">
            <w:pPr>
              <w:widowControl/>
              <w:wordWrap w:val="0"/>
              <w:topLinePunct/>
              <w:jc w:val="center"/>
              <w:rPr>
                <w:kern w:val="0"/>
                <w:sz w:val="24"/>
              </w:rPr>
            </w:pPr>
            <w:r>
              <w:rPr>
                <w:kern w:val="0"/>
                <w:sz w:val="24"/>
              </w:rPr>
              <w:t>4</w:t>
            </w:r>
          </w:p>
        </w:tc>
        <w:tc>
          <w:tcPr>
            <w:tcW w:w="1500" w:type="dxa"/>
            <w:tcBorders>
              <w:top w:val="nil"/>
              <w:left w:val="nil"/>
              <w:bottom w:val="single" w:color="auto" w:sz="4" w:space="0"/>
              <w:right w:val="single" w:color="auto" w:sz="4" w:space="0"/>
            </w:tcBorders>
            <w:noWrap w:val="0"/>
            <w:vAlign w:val="center"/>
          </w:tcPr>
          <w:p w14:paraId="564479E4">
            <w:pPr>
              <w:spacing w:line="336" w:lineRule="auto"/>
              <w:jc w:val="center"/>
              <w:rPr>
                <w:kern w:val="0"/>
                <w:sz w:val="24"/>
              </w:rPr>
            </w:pPr>
            <w:r>
              <w:rPr>
                <w:rFonts w:hint="eastAsia" w:ascii="宋体" w:hAnsi="宋体"/>
                <w:sz w:val="24"/>
                <w:szCs w:val="24"/>
              </w:rPr>
              <w:t>业绩</w:t>
            </w:r>
          </w:p>
        </w:tc>
        <w:tc>
          <w:tcPr>
            <w:tcW w:w="615" w:type="dxa"/>
            <w:tcBorders>
              <w:top w:val="nil"/>
              <w:left w:val="nil"/>
              <w:bottom w:val="single" w:color="auto" w:sz="4" w:space="0"/>
              <w:right w:val="single" w:color="auto" w:sz="4" w:space="0"/>
            </w:tcBorders>
            <w:noWrap w:val="0"/>
            <w:vAlign w:val="center"/>
          </w:tcPr>
          <w:p w14:paraId="4C4B401B">
            <w:pPr>
              <w:spacing w:line="336" w:lineRule="auto"/>
              <w:jc w:val="center"/>
              <w:rPr>
                <w:rFonts w:hint="default" w:eastAsia="宋体"/>
                <w:kern w:val="0"/>
                <w:sz w:val="24"/>
                <w:lang w:val="en-US" w:eastAsia="zh-CN"/>
              </w:rPr>
            </w:pPr>
            <w:r>
              <w:rPr>
                <w:rFonts w:hint="eastAsia" w:ascii="Times New Roman" w:hAnsi="Times New Roman" w:cs="宋体"/>
                <w:color w:val="000000"/>
                <w:kern w:val="2"/>
                <w:sz w:val="24"/>
                <w:szCs w:val="24"/>
                <w:lang w:val="en-US" w:eastAsia="zh-CN" w:bidi="ar-SA"/>
              </w:rPr>
              <w:t>6</w:t>
            </w:r>
          </w:p>
        </w:tc>
        <w:tc>
          <w:tcPr>
            <w:tcW w:w="7215" w:type="dxa"/>
            <w:tcBorders>
              <w:top w:val="nil"/>
              <w:left w:val="nil"/>
              <w:bottom w:val="single" w:color="auto" w:sz="4" w:space="0"/>
              <w:right w:val="single" w:color="auto" w:sz="4" w:space="0"/>
            </w:tcBorders>
            <w:noWrap w:val="0"/>
            <w:vAlign w:val="center"/>
          </w:tcPr>
          <w:p w14:paraId="3CC22FBF">
            <w:pPr>
              <w:keepNext w:val="0"/>
              <w:keepLines w:val="0"/>
              <w:pageBreakBefore w:val="0"/>
              <w:widowControl w:val="0"/>
              <w:kinsoku/>
              <w:wordWrap/>
              <w:overflowPunct/>
              <w:topLinePunct w:val="0"/>
              <w:autoSpaceDE/>
              <w:autoSpaceDN/>
              <w:bidi w:val="0"/>
              <w:adjustRightInd w:val="0"/>
              <w:snapToGrid w:val="0"/>
              <w:spacing w:line="360" w:lineRule="auto"/>
              <w:textAlignment w:val="auto"/>
              <w:rPr>
                <w:kern w:val="0"/>
                <w:sz w:val="24"/>
              </w:rPr>
            </w:pPr>
            <w:r>
              <w:rPr>
                <w:rFonts w:hint="eastAsia" w:ascii="宋体" w:hAnsi="宋体" w:eastAsia="宋体" w:cs="宋体"/>
                <w:bCs/>
                <w:color w:val="auto"/>
                <w:sz w:val="24"/>
                <w:szCs w:val="24"/>
                <w:highlight w:val="none"/>
              </w:rPr>
              <w:t>响应供应商自202</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年1月1日至今有过类似项目供货安装成功案例（成功案例中的产品型号须与投标人所投产品型号一致），提供一个得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分，最高得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分</w:t>
            </w:r>
            <w:r>
              <w:rPr>
                <w:rFonts w:hint="eastAsia" w:ascii="宋体" w:hAnsi="宋体" w:eastAsia="宋体" w:cs="宋体"/>
                <w:bCs/>
                <w:color w:val="auto"/>
                <w:sz w:val="24"/>
                <w:szCs w:val="24"/>
                <w:highlight w:val="none"/>
              </w:rPr>
              <w:t>。（提供有效合同复印件并加盖公章</w:t>
            </w:r>
            <w:r>
              <w:rPr>
                <w:rFonts w:hint="eastAsia" w:ascii="宋体" w:hAnsi="宋体" w:eastAsia="宋体" w:cs="宋体"/>
                <w:b/>
                <w:bCs w:val="0"/>
                <w:color w:val="auto"/>
                <w:sz w:val="24"/>
                <w:szCs w:val="24"/>
                <w:highlight w:val="none"/>
              </w:rPr>
              <w:t>（须投标人签署）</w:t>
            </w:r>
            <w:r>
              <w:rPr>
                <w:rFonts w:hint="eastAsia" w:ascii="宋体" w:hAnsi="宋体" w:eastAsia="宋体" w:cs="宋体"/>
                <w:bCs/>
                <w:color w:val="auto"/>
                <w:sz w:val="24"/>
                <w:szCs w:val="24"/>
                <w:highlight w:val="none"/>
              </w:rPr>
              <w:t>，有效案例时间以合同签订时间为准，复印件应清晰可见主要内容）</w:t>
            </w:r>
          </w:p>
        </w:tc>
      </w:tr>
      <w:tr w14:paraId="7B2A7C3A">
        <w:tblPrEx>
          <w:tblCellMar>
            <w:top w:w="0" w:type="dxa"/>
            <w:left w:w="108" w:type="dxa"/>
            <w:bottom w:w="0" w:type="dxa"/>
            <w:right w:w="108" w:type="dxa"/>
          </w:tblCellMar>
        </w:tblPrEx>
        <w:trPr>
          <w:trHeight w:val="372" w:hRule="atLeast"/>
          <w:jc w:val="center"/>
        </w:trPr>
        <w:tc>
          <w:tcPr>
            <w:tcW w:w="521" w:type="dxa"/>
            <w:tcBorders>
              <w:top w:val="single" w:color="auto" w:sz="4" w:space="0"/>
              <w:left w:val="single" w:color="auto" w:sz="4" w:space="0"/>
              <w:bottom w:val="single" w:color="auto" w:sz="4" w:space="0"/>
              <w:right w:val="single" w:color="auto" w:sz="4" w:space="0"/>
            </w:tcBorders>
            <w:noWrap/>
            <w:vAlign w:val="center"/>
          </w:tcPr>
          <w:p w14:paraId="22117565">
            <w:pPr>
              <w:spacing w:line="336" w:lineRule="auto"/>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500" w:type="dxa"/>
            <w:tcBorders>
              <w:top w:val="single" w:color="auto" w:sz="4" w:space="0"/>
              <w:left w:val="nil"/>
              <w:bottom w:val="single" w:color="auto" w:sz="4" w:space="0"/>
              <w:right w:val="single" w:color="auto" w:sz="4" w:space="0"/>
            </w:tcBorders>
            <w:noWrap w:val="0"/>
            <w:vAlign w:val="center"/>
          </w:tcPr>
          <w:p w14:paraId="2B965F71">
            <w:pPr>
              <w:spacing w:line="336" w:lineRule="auto"/>
              <w:jc w:val="center"/>
              <w:rPr>
                <w:rFonts w:hint="eastAsia" w:ascii="宋体" w:hAnsi="宋体" w:eastAsia="宋体"/>
                <w:sz w:val="24"/>
                <w:szCs w:val="24"/>
                <w:lang w:eastAsia="zh-CN"/>
              </w:rPr>
            </w:pPr>
            <w:r>
              <w:rPr>
                <w:rFonts w:hint="eastAsia" w:ascii="宋体" w:hAnsi="宋体"/>
                <w:sz w:val="24"/>
                <w:szCs w:val="24"/>
                <w:lang w:eastAsia="zh-CN"/>
              </w:rPr>
              <w:t>品牌响应度</w:t>
            </w:r>
          </w:p>
        </w:tc>
        <w:tc>
          <w:tcPr>
            <w:tcW w:w="615" w:type="dxa"/>
            <w:tcBorders>
              <w:top w:val="single" w:color="auto" w:sz="4" w:space="0"/>
              <w:left w:val="nil"/>
              <w:bottom w:val="single" w:color="auto" w:sz="4" w:space="0"/>
              <w:right w:val="single" w:color="auto" w:sz="4" w:space="0"/>
            </w:tcBorders>
            <w:noWrap w:val="0"/>
            <w:vAlign w:val="center"/>
          </w:tcPr>
          <w:p w14:paraId="4E6527F2">
            <w:pPr>
              <w:spacing w:line="336" w:lineRule="auto"/>
              <w:jc w:val="center"/>
              <w:rPr>
                <w:rFonts w:hint="default" w:ascii="宋体" w:hAnsi="宋体"/>
                <w:sz w:val="24"/>
                <w:szCs w:val="24"/>
                <w:lang w:val="en-US" w:eastAsia="zh-CN"/>
              </w:rPr>
            </w:pPr>
            <w:r>
              <w:rPr>
                <w:rFonts w:hint="eastAsia" w:ascii="宋体" w:hAnsi="宋体"/>
                <w:sz w:val="24"/>
                <w:szCs w:val="24"/>
                <w:lang w:val="en-US" w:eastAsia="zh-CN"/>
              </w:rPr>
              <w:t>2</w:t>
            </w:r>
          </w:p>
        </w:tc>
        <w:tc>
          <w:tcPr>
            <w:tcW w:w="7215" w:type="dxa"/>
            <w:tcBorders>
              <w:top w:val="single" w:color="auto" w:sz="4" w:space="0"/>
              <w:left w:val="nil"/>
              <w:bottom w:val="single" w:color="auto" w:sz="4" w:space="0"/>
              <w:right w:val="single" w:color="auto" w:sz="4" w:space="0"/>
            </w:tcBorders>
            <w:noWrap w:val="0"/>
            <w:vAlign w:val="center"/>
          </w:tcPr>
          <w:p w14:paraId="01CAF168">
            <w:pPr>
              <w:spacing w:line="336" w:lineRule="auto"/>
              <w:jc w:val="both"/>
              <w:rPr>
                <w:rFonts w:hint="eastAsia" w:ascii="宋体" w:hAnsi="宋体"/>
                <w:sz w:val="24"/>
                <w:szCs w:val="24"/>
                <w:lang w:val="en-US" w:eastAsia="zh-CN"/>
              </w:rPr>
            </w:pPr>
            <w:r>
              <w:rPr>
                <w:rFonts w:hint="eastAsia" w:ascii="宋体" w:hAnsi="宋体" w:eastAsia="宋体" w:cs="宋体"/>
                <w:bCs/>
                <w:color w:val="auto"/>
                <w:sz w:val="24"/>
                <w:szCs w:val="24"/>
                <w:highlight w:val="none"/>
                <w:lang w:val="en-US" w:eastAsia="zh-CN"/>
              </w:rPr>
              <w:t>对招标文件推荐品牌的响应度，自报响应品牌在推荐范围内的，得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自报品牌不在推荐范围内，</w:t>
            </w:r>
            <w:r>
              <w:rPr>
                <w:rFonts w:hint="eastAsia" w:ascii="宋体" w:hAnsi="宋体" w:cs="宋体"/>
                <w:bCs/>
                <w:color w:val="auto"/>
                <w:sz w:val="24"/>
                <w:szCs w:val="24"/>
                <w:highlight w:val="none"/>
                <w:lang w:val="en-US" w:eastAsia="zh-CN"/>
              </w:rPr>
              <w:t>提供该品牌不低于</w:t>
            </w:r>
            <w:r>
              <w:rPr>
                <w:rFonts w:hint="eastAsia" w:ascii="宋体" w:hAnsi="宋体" w:eastAsia="宋体" w:cs="宋体"/>
                <w:bCs/>
                <w:color w:val="auto"/>
                <w:sz w:val="24"/>
                <w:szCs w:val="24"/>
                <w:highlight w:val="none"/>
                <w:lang w:val="en-US" w:eastAsia="zh-CN"/>
              </w:rPr>
              <w:t>推荐品牌档次的</w:t>
            </w:r>
            <w:r>
              <w:rPr>
                <w:rFonts w:hint="eastAsia" w:ascii="宋体" w:hAnsi="宋体" w:cs="宋体"/>
                <w:bCs/>
                <w:color w:val="auto"/>
                <w:sz w:val="24"/>
                <w:szCs w:val="24"/>
                <w:highlight w:val="none"/>
                <w:lang w:val="en-US" w:eastAsia="zh-CN"/>
              </w:rPr>
              <w:t>证明材料</w:t>
            </w:r>
            <w:r>
              <w:rPr>
                <w:rFonts w:hint="eastAsia" w:ascii="宋体" w:hAnsi="宋体" w:eastAsia="宋体" w:cs="宋体"/>
                <w:bCs/>
                <w:color w:val="auto"/>
                <w:sz w:val="24"/>
                <w:szCs w:val="24"/>
                <w:highlight w:val="none"/>
                <w:lang w:val="en-US" w:eastAsia="zh-CN"/>
              </w:rPr>
              <w:t>，得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w:t>
            </w:r>
            <w:r>
              <w:rPr>
                <w:rFonts w:hint="eastAsia" w:ascii="宋体" w:hAnsi="宋体" w:cs="宋体"/>
                <w:bCs/>
                <w:color w:val="auto"/>
                <w:sz w:val="24"/>
                <w:szCs w:val="24"/>
                <w:highlight w:val="none"/>
                <w:lang w:val="en-US" w:eastAsia="zh-CN"/>
              </w:rPr>
              <w:t>不提供</w:t>
            </w:r>
            <w:r>
              <w:rPr>
                <w:rFonts w:hint="eastAsia" w:ascii="宋体" w:hAnsi="宋体" w:eastAsia="宋体" w:cs="宋体"/>
                <w:bCs/>
                <w:color w:val="auto"/>
                <w:sz w:val="24"/>
                <w:szCs w:val="24"/>
                <w:highlight w:val="none"/>
                <w:lang w:val="en-US" w:eastAsia="zh-CN"/>
              </w:rPr>
              <w:t>不得分。</w:t>
            </w:r>
          </w:p>
        </w:tc>
      </w:tr>
    </w:tbl>
    <w:tbl>
      <w:tblPr>
        <w:tblStyle w:val="14"/>
        <w:tblpPr w:leftFromText="180" w:rightFromText="180" w:vertAnchor="text" w:tblpX="10934" w:tblpY="-3450"/>
        <w:tblOverlap w:val="never"/>
        <w:tblW w:w="3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tblGrid>
      <w:tr w14:paraId="5698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41" w:type="dxa"/>
          </w:tcPr>
          <w:p w14:paraId="1512FAAA">
            <w:pPr>
              <w:wordWrap w:val="0"/>
              <w:topLinePunct/>
              <w:spacing w:before="156" w:beforeLines="50" w:line="360" w:lineRule="auto"/>
              <w:outlineLvl w:val="1"/>
              <w:rPr>
                <w:sz w:val="24"/>
                <w:vertAlign w:val="baseline"/>
              </w:rPr>
            </w:pPr>
          </w:p>
        </w:tc>
      </w:tr>
    </w:tbl>
    <w:p w14:paraId="30E1FAFD">
      <w:pPr>
        <w:wordWrap w:val="0"/>
        <w:topLinePunct/>
        <w:spacing w:before="156" w:beforeLines="50" w:line="360" w:lineRule="auto"/>
        <w:ind w:firstLine="480" w:firstLineChars="200"/>
        <w:outlineLvl w:val="1"/>
        <w:rPr>
          <w:b/>
          <w:bCs/>
          <w:sz w:val="24"/>
        </w:rPr>
      </w:pPr>
      <w:r>
        <w:rPr>
          <w:sz w:val="24"/>
        </w:rPr>
        <w:t>注：以上打分项设得分上限，评委依据招标文件载明的方法评分，评分四舍五入精确到小数点后两位。</w:t>
      </w:r>
    </w:p>
    <w:p w14:paraId="1F7F1D44">
      <w:pPr>
        <w:wordWrap w:val="0"/>
        <w:topLinePunct/>
        <w:spacing w:before="156" w:beforeLines="50" w:line="360" w:lineRule="auto"/>
        <w:ind w:firstLine="480" w:firstLineChars="200"/>
        <w:outlineLvl w:val="1"/>
        <w:rPr>
          <w:rFonts w:ascii="Times New Roman" w:hAnsi="Times New Roman" w:eastAsia="宋体" w:cs="Times New Roman"/>
          <w:sz w:val="24"/>
        </w:rPr>
      </w:pPr>
      <w:r>
        <w:rPr>
          <w:rFonts w:ascii="Times New Roman" w:hAnsi="Times New Roman" w:eastAsia="宋体" w:cs="Times New Roman"/>
          <w:sz w:val="24"/>
        </w:rPr>
        <w:t>特别提醒：商务技术标评分中所涉及相关资料等证明材料均须提供原件的复印件加盖公章，并将原件带至开标现场备查，未携带原件或因携带原件不全所引起的后果由投标供应商自行承担。</w:t>
      </w:r>
    </w:p>
    <w:p w14:paraId="2746C1D1">
      <w:pPr>
        <w:wordWrap w:val="0"/>
        <w:topLinePunct/>
        <w:spacing w:line="360" w:lineRule="auto"/>
        <w:ind w:firstLine="482" w:firstLineChars="200"/>
        <w:rPr>
          <w:b/>
          <w:sz w:val="24"/>
        </w:rPr>
      </w:pPr>
      <w:r>
        <w:rPr>
          <w:rFonts w:hint="eastAsia"/>
          <w:b/>
          <w:sz w:val="24"/>
        </w:rPr>
        <w:t>2、</w:t>
      </w:r>
      <w:r>
        <w:rPr>
          <w:b/>
          <w:sz w:val="24"/>
        </w:rPr>
        <w:t>报价响应评分：（</w:t>
      </w:r>
      <w:r>
        <w:rPr>
          <w:rFonts w:hint="eastAsia"/>
          <w:b/>
          <w:sz w:val="24"/>
          <w:lang w:val="en-US" w:eastAsia="zh-CN"/>
        </w:rPr>
        <w:t>3</w:t>
      </w:r>
      <w:r>
        <w:rPr>
          <w:rFonts w:hint="eastAsia"/>
          <w:b/>
          <w:sz w:val="24"/>
        </w:rPr>
        <w:t>0</w:t>
      </w:r>
      <w:r>
        <w:rPr>
          <w:b/>
          <w:sz w:val="24"/>
        </w:rPr>
        <w:t>分）</w:t>
      </w:r>
    </w:p>
    <w:p w14:paraId="24792213">
      <w:pPr>
        <w:wordWrap w:val="0"/>
        <w:topLinePunct/>
        <w:spacing w:line="360" w:lineRule="auto"/>
        <w:ind w:firstLine="480" w:firstLineChars="200"/>
        <w:rPr>
          <w:sz w:val="24"/>
        </w:rPr>
      </w:pPr>
      <w:r>
        <w:rPr>
          <w:rFonts w:hint="eastAsia"/>
          <w:sz w:val="24"/>
        </w:rPr>
        <w:t>（</w:t>
      </w:r>
      <w:r>
        <w:rPr>
          <w:sz w:val="24"/>
        </w:rPr>
        <w:t>1</w:t>
      </w:r>
      <w:r>
        <w:rPr>
          <w:rFonts w:hint="eastAsia"/>
          <w:sz w:val="24"/>
        </w:rPr>
        <w:t>）</w:t>
      </w:r>
      <w:r>
        <w:rPr>
          <w:rFonts w:hint="eastAsia"/>
          <w:sz w:val="24"/>
          <w:lang w:eastAsia="zh-CN"/>
        </w:rPr>
        <w:t>本</w:t>
      </w:r>
      <w:r>
        <w:rPr>
          <w:rFonts w:hint="eastAsia" w:ascii="宋体" w:hAnsi="宋体" w:eastAsia="宋体" w:cs="宋体"/>
          <w:b/>
          <w:bCs/>
          <w:sz w:val="24"/>
          <w:szCs w:val="24"/>
        </w:rPr>
        <w:t>项目预算控制价</w:t>
      </w:r>
      <w:r>
        <w:rPr>
          <w:rFonts w:hint="eastAsia" w:ascii="宋体" w:hAnsi="宋体" w:eastAsia="宋体" w:cs="宋体"/>
          <w:sz w:val="24"/>
          <w:szCs w:val="24"/>
          <w:lang w:eastAsia="zh-CN"/>
        </w:rPr>
        <w:t>为</w:t>
      </w:r>
      <w:r>
        <w:rPr>
          <w:rFonts w:hint="eastAsia" w:ascii="宋体" w:hAnsi="宋体" w:eastAsia="宋体" w:cs="宋体"/>
          <w:sz w:val="24"/>
          <w:szCs w:val="24"/>
        </w:rPr>
        <w:t>44,500元（人民币肆万肆仟伍佰元整）</w:t>
      </w:r>
      <w:r>
        <w:rPr>
          <w:b/>
          <w:sz w:val="24"/>
        </w:rPr>
        <w:t>，</w:t>
      </w:r>
      <w:r>
        <w:rPr>
          <w:sz w:val="24"/>
        </w:rPr>
        <w:t>投标报价超过采购预算的作无效投标处理。</w:t>
      </w:r>
    </w:p>
    <w:p w14:paraId="0BEA76B0">
      <w:pPr>
        <w:wordWrap w:val="0"/>
        <w:topLinePunct/>
        <w:spacing w:line="360" w:lineRule="auto"/>
        <w:ind w:firstLine="480" w:firstLineChars="200"/>
        <w:rPr>
          <w:sz w:val="24"/>
        </w:rPr>
      </w:pPr>
      <w:r>
        <w:rPr>
          <w:rFonts w:hint="eastAsia"/>
          <w:sz w:val="24"/>
        </w:rPr>
        <w:t>（</w:t>
      </w:r>
      <w:r>
        <w:rPr>
          <w:sz w:val="24"/>
        </w:rPr>
        <w:t>2</w:t>
      </w:r>
      <w:r>
        <w:rPr>
          <w:rFonts w:hint="eastAsia"/>
          <w:sz w:val="24"/>
        </w:rPr>
        <w:t>）</w:t>
      </w:r>
      <w:r>
        <w:rPr>
          <w:sz w:val="24"/>
        </w:rPr>
        <w:t>满足招标文件要求且投标报价最低的报价为评标基准价，其得分为满分</w:t>
      </w:r>
      <w:r>
        <w:rPr>
          <w:rFonts w:hint="eastAsia"/>
          <w:sz w:val="24"/>
          <w:lang w:val="en-US" w:eastAsia="zh-CN"/>
        </w:rPr>
        <w:t>3</w:t>
      </w:r>
      <w:r>
        <w:rPr>
          <w:rFonts w:hint="eastAsia"/>
          <w:sz w:val="24"/>
        </w:rPr>
        <w:t>0</w:t>
      </w:r>
      <w:r>
        <w:rPr>
          <w:sz w:val="24"/>
        </w:rPr>
        <w:t>分。</w:t>
      </w:r>
    </w:p>
    <w:p w14:paraId="7805599C">
      <w:pPr>
        <w:wordWrap w:val="0"/>
        <w:topLinePunct/>
        <w:spacing w:line="360" w:lineRule="auto"/>
        <w:ind w:firstLine="480" w:firstLineChars="200"/>
        <w:rPr>
          <w:sz w:val="24"/>
        </w:rPr>
      </w:pPr>
      <w:r>
        <w:rPr>
          <w:rFonts w:hint="eastAsia"/>
          <w:sz w:val="24"/>
        </w:rPr>
        <w:t>（4）</w:t>
      </w:r>
      <w:r>
        <w:rPr>
          <w:sz w:val="24"/>
        </w:rPr>
        <w:t>其他投标供应商的得分按照下列公式计算：</w:t>
      </w:r>
    </w:p>
    <w:p w14:paraId="762E44A0">
      <w:pPr>
        <w:wordWrap w:val="0"/>
        <w:topLinePunct/>
        <w:spacing w:line="360" w:lineRule="auto"/>
        <w:ind w:firstLine="480" w:firstLineChars="200"/>
        <w:rPr>
          <w:b/>
          <w:bCs/>
          <w:sz w:val="24"/>
        </w:rPr>
      </w:pPr>
      <w:r>
        <w:rPr>
          <w:rFonts w:hint="eastAsia"/>
          <w:sz w:val="24"/>
        </w:rPr>
        <w:t>价格分</w:t>
      </w:r>
      <w:r>
        <w:rPr>
          <w:sz w:val="24"/>
        </w:rPr>
        <w:t xml:space="preserve"> =（评标基准价/投标报价）×</w:t>
      </w:r>
      <w:r>
        <w:rPr>
          <w:rFonts w:hint="eastAsia"/>
          <w:sz w:val="24"/>
          <w:lang w:val="en-US" w:eastAsia="zh-CN"/>
        </w:rPr>
        <w:t>3</w:t>
      </w:r>
      <w:r>
        <w:rPr>
          <w:rFonts w:hint="eastAsia"/>
          <w:sz w:val="24"/>
        </w:rPr>
        <w:t>0</w:t>
      </w:r>
      <w:r>
        <w:rPr>
          <w:sz w:val="24"/>
        </w:rPr>
        <w:t>×100%</w:t>
      </w:r>
    </w:p>
    <w:p w14:paraId="43066351">
      <w:pPr>
        <w:wordWrap w:val="0"/>
        <w:topLinePunct/>
        <w:spacing w:line="360" w:lineRule="auto"/>
        <w:ind w:firstLine="482" w:firstLineChars="200"/>
        <w:rPr>
          <w:rFonts w:hint="eastAsia"/>
          <w:b/>
          <w:sz w:val="24"/>
        </w:rPr>
      </w:pPr>
      <w:r>
        <w:rPr>
          <w:rFonts w:hint="eastAsia"/>
          <w:b/>
          <w:sz w:val="24"/>
        </w:rPr>
        <w:t>3、投标文件的澄清</w:t>
      </w:r>
    </w:p>
    <w:p w14:paraId="29D7BD51">
      <w:pPr>
        <w:wordWrap w:val="0"/>
        <w:topLinePunct/>
        <w:spacing w:line="440" w:lineRule="exact"/>
        <w:ind w:firstLine="480" w:firstLineChars="200"/>
        <w:rPr>
          <w:rFonts w:hint="eastAsia" w:cs="宋体"/>
          <w:sz w:val="24"/>
        </w:rPr>
      </w:pPr>
      <w:r>
        <w:rPr>
          <w:rFonts w:hint="eastAsia" w:hAnsi="宋体" w:cs="宋体"/>
          <w:sz w:val="24"/>
        </w:rPr>
        <w:t>在评标过程中，评标委员会认为需要，可以要求供应商对投标中的有关问题进行澄清或提供补充说明及相关资料，供应商应做出书面答复。书面答复中不得变更价格等实质性内容。</w:t>
      </w:r>
    </w:p>
    <w:p w14:paraId="76732D87">
      <w:pPr>
        <w:wordWrap w:val="0"/>
        <w:topLinePunct/>
        <w:adjustRightInd w:val="0"/>
        <w:snapToGrid w:val="0"/>
        <w:spacing w:line="440" w:lineRule="exact"/>
        <w:ind w:firstLine="480" w:firstLineChars="200"/>
        <w:rPr>
          <w:rFonts w:hint="eastAsia" w:cs="宋体"/>
          <w:sz w:val="24"/>
        </w:rPr>
      </w:pPr>
      <w:r>
        <w:rPr>
          <w:rFonts w:hint="eastAsia" w:hAnsi="宋体" w:cs="宋体"/>
          <w:sz w:val="24"/>
        </w:rPr>
        <w:t>书面答复须经供应商法定代表人或其代理人的签字或加盖印章，签字或加盖印章的书面答复将视为投标文件的组成部分。投标截止时间后，供应商对投标报价或其他实质性内容修正的函件或增加的任何优惠条件，一律不得作为评标、定标的依据。</w:t>
      </w:r>
    </w:p>
    <w:p w14:paraId="59D71F0B">
      <w:pPr>
        <w:wordWrap w:val="0"/>
        <w:topLinePunct/>
        <w:snapToGrid w:val="0"/>
        <w:spacing w:line="440" w:lineRule="exact"/>
        <w:ind w:firstLine="477" w:firstLineChars="198"/>
        <w:rPr>
          <w:rFonts w:hint="eastAsia" w:cs="宋体"/>
          <w:b/>
          <w:sz w:val="24"/>
        </w:rPr>
      </w:pPr>
      <w:r>
        <w:rPr>
          <w:rFonts w:hint="eastAsia" w:hAnsi="宋体" w:cs="宋体"/>
          <w:b/>
          <w:sz w:val="24"/>
          <w:lang w:eastAsia="zh-CN"/>
        </w:rPr>
        <w:t>四</w:t>
      </w:r>
      <w:r>
        <w:rPr>
          <w:rFonts w:hint="eastAsia" w:hAnsi="宋体" w:cs="宋体"/>
          <w:b/>
          <w:sz w:val="24"/>
        </w:rPr>
        <w:t>、其他注意事项</w:t>
      </w:r>
    </w:p>
    <w:p w14:paraId="5D930F74">
      <w:pPr>
        <w:wordWrap w:val="0"/>
        <w:topLinePunct/>
        <w:snapToGrid w:val="0"/>
        <w:spacing w:line="440" w:lineRule="exact"/>
        <w:ind w:firstLine="436" w:firstLineChars="182"/>
        <w:rPr>
          <w:rFonts w:hint="eastAsia" w:cs="宋体"/>
          <w:sz w:val="24"/>
        </w:rPr>
      </w:pPr>
      <w:r>
        <w:rPr>
          <w:rFonts w:hint="eastAsia" w:cs="宋体"/>
          <w:sz w:val="24"/>
        </w:rPr>
        <w:t>1</w:t>
      </w:r>
      <w:r>
        <w:rPr>
          <w:rFonts w:hint="eastAsia" w:hAnsi="宋体" w:cs="宋体"/>
          <w:sz w:val="24"/>
        </w:rPr>
        <w:t>、在开标、评审期间，供应商不得向评委询问情况，不得进行旨在影响评标结果的活动。</w:t>
      </w:r>
    </w:p>
    <w:p w14:paraId="77705F82">
      <w:pPr>
        <w:wordWrap w:val="0"/>
        <w:topLinePunct/>
        <w:snapToGrid w:val="0"/>
        <w:spacing w:line="440" w:lineRule="exact"/>
        <w:ind w:firstLine="436" w:firstLineChars="182"/>
        <w:rPr>
          <w:rFonts w:hint="eastAsia" w:cs="宋体"/>
          <w:sz w:val="24"/>
        </w:rPr>
      </w:pPr>
      <w:r>
        <w:rPr>
          <w:rFonts w:hint="eastAsia" w:cs="宋体"/>
          <w:sz w:val="24"/>
        </w:rPr>
        <w:t>2</w:t>
      </w:r>
      <w:r>
        <w:rPr>
          <w:rFonts w:hint="eastAsia" w:hAnsi="宋体" w:cs="宋体"/>
          <w:sz w:val="24"/>
        </w:rPr>
        <w:t>、评委会不得向供应商解释落标原因。</w:t>
      </w:r>
    </w:p>
    <w:p w14:paraId="2C5D7715">
      <w:pPr>
        <w:wordWrap w:val="0"/>
        <w:topLinePunct/>
        <w:snapToGrid w:val="0"/>
        <w:spacing w:line="440" w:lineRule="exact"/>
        <w:ind w:firstLine="436" w:firstLineChars="182"/>
        <w:rPr>
          <w:rFonts w:hint="eastAsia" w:cs="宋体"/>
          <w:sz w:val="24"/>
        </w:rPr>
      </w:pPr>
      <w:r>
        <w:rPr>
          <w:rFonts w:hint="eastAsia" w:cs="宋体"/>
          <w:sz w:val="24"/>
        </w:rPr>
        <w:t>3</w:t>
      </w:r>
      <w:r>
        <w:rPr>
          <w:rFonts w:hint="eastAsia" w:hAnsi="宋体" w:cs="宋体"/>
          <w:sz w:val="24"/>
        </w:rPr>
        <w:t>、在投标、评标过程中，如果供应商联合故意压低报价或出现其他不正当行为，采购人有权中止投标或评标。</w:t>
      </w:r>
    </w:p>
    <w:p w14:paraId="5B2DFFC1">
      <w:pPr>
        <w:wordWrap w:val="0"/>
        <w:topLinePunct/>
        <w:snapToGrid w:val="0"/>
        <w:spacing w:line="440" w:lineRule="exact"/>
        <w:ind w:firstLine="436" w:firstLineChars="182"/>
        <w:rPr>
          <w:rFonts w:hint="eastAsia" w:ascii="宋体" w:hAnsi="宋体" w:eastAsia="宋体"/>
          <w:b/>
          <w:bCs w:val="0"/>
          <w:sz w:val="24"/>
          <w:lang w:val="en-US" w:eastAsia="zh-CN"/>
        </w:rPr>
      </w:pPr>
      <w:r>
        <w:rPr>
          <w:rFonts w:hint="eastAsia" w:cs="宋体"/>
          <w:sz w:val="24"/>
        </w:rPr>
        <w:t>4</w:t>
      </w:r>
      <w:r>
        <w:rPr>
          <w:rFonts w:hint="eastAsia" w:hAnsi="宋体" w:cs="宋体"/>
          <w:sz w:val="24"/>
        </w:rPr>
        <w:t>、凡在投标、开标过程中，采购人已提示是否异议的事项，供应商当时没有提出异议的，事后供应商不得针对上述事项提出质疑。比如：采购人在开标中提示评委是否回避，供应商现场未提出异议的，事后不得针对评委回避事项提出质疑。</w:t>
      </w:r>
    </w:p>
    <w:p w14:paraId="7C942C46">
      <w:pPr>
        <w:pStyle w:val="12"/>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rPr>
        <w:t>五、</w:t>
      </w:r>
      <w:r>
        <w:rPr>
          <w:rFonts w:hint="eastAsia" w:ascii="Times New Roman" w:hAnsi="Times New Roman" w:cs="宋体"/>
          <w:b/>
          <w:bCs/>
          <w:szCs w:val="24"/>
          <w:shd w:val="clear" w:color="auto" w:fill="FFFFFF"/>
        </w:rPr>
        <w:t>出现下列情形之一的，采购人应当终止</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活动，发布项目终止公告并说明原因，重新开展</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活动：</w:t>
      </w:r>
    </w:p>
    <w:p w14:paraId="703B33B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1、在采购过程中符合要求的供应商或者报价未超过采购预算的供应商不足3家的；</w:t>
      </w:r>
    </w:p>
    <w:p w14:paraId="64BE06D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2、因情况变化，不再符合规定的</w:t>
      </w:r>
      <w:r>
        <w:rPr>
          <w:rFonts w:hint="eastAsia" w:ascii="Times New Roman" w:hAnsi="Times New Roman" w:cs="宋体"/>
          <w:sz w:val="24"/>
          <w:szCs w:val="24"/>
          <w:lang w:eastAsia="zh-CN"/>
        </w:rPr>
        <w:t>比选</w:t>
      </w:r>
      <w:r>
        <w:rPr>
          <w:rFonts w:hint="eastAsia" w:ascii="Times New Roman" w:hAnsi="Times New Roman" w:cs="宋体"/>
          <w:sz w:val="24"/>
          <w:szCs w:val="24"/>
        </w:rPr>
        <w:t>方式所适用情形的；</w:t>
      </w:r>
    </w:p>
    <w:p w14:paraId="1FFA49A0">
      <w:pPr>
        <w:spacing w:line="360" w:lineRule="auto"/>
        <w:ind w:firstLine="480" w:firstLineChars="200"/>
        <w:textAlignment w:val="baseline"/>
        <w:rPr>
          <w:rFonts w:hint="eastAsia" w:ascii="Times New Roman" w:hAnsi="Times New Roman" w:cs="宋体"/>
          <w:b/>
          <w:bCs/>
          <w:szCs w:val="24"/>
          <w:shd w:val="clear" w:color="auto" w:fill="FFFFFF"/>
        </w:rPr>
      </w:pPr>
      <w:r>
        <w:rPr>
          <w:rFonts w:hint="eastAsia" w:ascii="Times New Roman" w:hAnsi="Times New Roman" w:cs="宋体"/>
          <w:sz w:val="24"/>
          <w:szCs w:val="24"/>
        </w:rPr>
        <w:t>3、出现影响采购公正的违法、违规行为的；</w:t>
      </w:r>
    </w:p>
    <w:p w14:paraId="6C71DE54">
      <w:pPr>
        <w:pStyle w:val="12"/>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六、成交通知</w:t>
      </w:r>
    </w:p>
    <w:p w14:paraId="46A28722">
      <w:pPr>
        <w:spacing w:line="360" w:lineRule="auto"/>
        <w:ind w:firstLine="480" w:firstLineChars="200"/>
        <w:textAlignment w:val="baseline"/>
        <w:rPr>
          <w:rFonts w:ascii="Times New Roman" w:hAnsi="Times New Roman" w:cs="宋体"/>
          <w:b/>
          <w:iCs/>
          <w:w w:val="80"/>
          <w:sz w:val="44"/>
          <w:szCs w:val="44"/>
        </w:rPr>
      </w:pPr>
      <w:r>
        <w:rPr>
          <w:rFonts w:hint="eastAsia" w:ascii="Times New Roman" w:hAnsi="Times New Roman" w:cs="宋体"/>
          <w:kern w:val="0"/>
          <w:sz w:val="24"/>
          <w:szCs w:val="24"/>
        </w:rPr>
        <w:t>成交结果在南通市第三人民医院官网公示</w:t>
      </w:r>
      <w:r>
        <w:rPr>
          <w:rFonts w:hint="eastAsia" w:ascii="Times New Roman" w:hAnsi="Times New Roman" w:cs="宋体"/>
          <w:b/>
          <w:kern w:val="0"/>
          <w:sz w:val="24"/>
          <w:szCs w:val="24"/>
          <w:u w:val="single"/>
        </w:rPr>
        <w:t>1</w:t>
      </w:r>
      <w:r>
        <w:rPr>
          <w:rFonts w:hint="eastAsia" w:ascii="Times New Roman" w:hAnsi="Times New Roman" w:cs="宋体"/>
          <w:kern w:val="0"/>
          <w:sz w:val="24"/>
          <w:szCs w:val="24"/>
        </w:rPr>
        <w:t>个工作日。《成交通知书》一经发出，采购单位改变成交结果，或者成交人放弃成交的，各自承担相应的法律责任。《成交通知书》是采购合同的组成部分。</w:t>
      </w:r>
    </w:p>
    <w:p w14:paraId="45435BC2">
      <w:pPr>
        <w:rPr>
          <w:rFonts w:ascii="Times New Roman" w:hAnsi="Times New Roman" w:cs="宋体"/>
          <w:b/>
          <w:iCs/>
          <w:w w:val="80"/>
          <w:sz w:val="44"/>
          <w:szCs w:val="44"/>
        </w:rPr>
      </w:pPr>
      <w:r>
        <w:rPr>
          <w:rFonts w:ascii="Times New Roman" w:hAnsi="Times New Roman" w:cs="宋体"/>
          <w:b/>
          <w:iCs/>
          <w:w w:val="80"/>
          <w:sz w:val="44"/>
          <w:szCs w:val="44"/>
        </w:rPr>
        <w:br w:type="page"/>
      </w:r>
    </w:p>
    <w:p w14:paraId="03818C04">
      <w:pPr>
        <w:pStyle w:val="7"/>
        <w:tabs>
          <w:tab w:val="left" w:pos="1050"/>
          <w:tab w:val="right" w:leader="dot" w:pos="9402"/>
        </w:tabs>
        <w:kinsoku w:val="0"/>
        <w:overflowPunct w:val="0"/>
        <w:autoSpaceDE w:val="0"/>
        <w:autoSpaceDN w:val="0"/>
        <w:spacing w:line="360" w:lineRule="auto"/>
        <w:ind w:left="0" w:leftChars="0"/>
        <w:jc w:val="center"/>
        <w:outlineLvl w:val="0"/>
        <w:rPr>
          <w:rFonts w:ascii="Times New Roman" w:hAnsi="Times New Roman"/>
          <w:b/>
          <w:bCs/>
          <w:w w:val="80"/>
          <w:sz w:val="44"/>
          <w:szCs w:val="44"/>
        </w:rPr>
      </w:pPr>
      <w:r>
        <w:rPr>
          <w:rFonts w:ascii="Times New Roman" w:hAnsi="Times New Roman" w:cs="宋体"/>
          <w:b/>
          <w:iCs/>
          <w:w w:val="80"/>
          <w:sz w:val="44"/>
          <w:szCs w:val="44"/>
        </w:rPr>
        <w:t>第</w:t>
      </w:r>
      <w:r>
        <w:rPr>
          <w:rFonts w:hint="eastAsia" w:ascii="Times New Roman" w:hAnsi="Times New Roman" w:cs="宋体"/>
          <w:b/>
          <w:iCs/>
          <w:w w:val="80"/>
          <w:sz w:val="44"/>
          <w:szCs w:val="44"/>
        </w:rPr>
        <w:t>五</w:t>
      </w:r>
      <w:r>
        <w:rPr>
          <w:rFonts w:ascii="Times New Roman" w:hAnsi="Times New Roman" w:cs="宋体"/>
          <w:b/>
          <w:iCs/>
          <w:w w:val="80"/>
          <w:sz w:val="44"/>
          <w:szCs w:val="44"/>
        </w:rPr>
        <w:t>章</w:t>
      </w:r>
      <w:r>
        <w:rPr>
          <w:rFonts w:hint="eastAsia" w:ascii="Times New Roman" w:hAnsi="Times New Roman" w:cs="宋体"/>
          <w:b/>
          <w:bCs/>
          <w:w w:val="80"/>
          <w:sz w:val="44"/>
          <w:szCs w:val="44"/>
        </w:rPr>
        <w:t xml:space="preserve"> 合同授予</w:t>
      </w:r>
    </w:p>
    <w:p w14:paraId="5184B83C">
      <w:pPr>
        <w:spacing w:line="480" w:lineRule="exact"/>
        <w:ind w:firstLine="484" w:firstLineChars="202"/>
        <w:rPr>
          <w:rFonts w:ascii="Times New Roman" w:hAnsi="Times New Roman" w:cs="宋体"/>
          <w:kern w:val="0"/>
          <w:sz w:val="28"/>
          <w:szCs w:val="28"/>
        </w:rPr>
      </w:pPr>
      <w:r>
        <w:rPr>
          <w:rFonts w:hint="eastAsia" w:ascii="Times New Roman" w:hAnsi="Times New Roman" w:cs="宋体"/>
          <w:sz w:val="24"/>
        </w:rPr>
        <w:t>一、</w:t>
      </w:r>
      <w:r>
        <w:rPr>
          <w:rFonts w:hint="eastAsia" w:ascii="Times New Roman" w:hAnsi="Times New Roman" w:cs="宋体"/>
          <w:kern w:val="0"/>
          <w:sz w:val="24"/>
          <w:lang w:eastAsia="zh-CN"/>
        </w:rPr>
        <w:t>中标人</w:t>
      </w:r>
      <w:r>
        <w:rPr>
          <w:rFonts w:hint="eastAsia" w:ascii="Times New Roman" w:hAnsi="Times New Roman" w:cs="宋体"/>
          <w:kern w:val="0"/>
          <w:sz w:val="24"/>
        </w:rPr>
        <w:t>在《成交通知书》发出</w:t>
      </w:r>
      <w:r>
        <w:rPr>
          <w:rFonts w:hint="eastAsia" w:ascii="Times New Roman" w:hAnsi="Times New Roman" w:cs="宋体"/>
          <w:kern w:val="0"/>
          <w:sz w:val="24"/>
          <w:lang w:val="en-US" w:eastAsia="zh-CN"/>
        </w:rPr>
        <w:t>15</w:t>
      </w:r>
      <w:r>
        <w:rPr>
          <w:rFonts w:hint="eastAsia" w:ascii="Times New Roman" w:hAnsi="Times New Roman" w:cs="宋体"/>
          <w:kern w:val="0"/>
          <w:sz w:val="24"/>
        </w:rPr>
        <w:t>日内须按照</w:t>
      </w:r>
      <w:r>
        <w:rPr>
          <w:rFonts w:hint="eastAsia" w:ascii="Times New Roman" w:hAnsi="Times New Roman" w:cs="宋体"/>
          <w:kern w:val="0"/>
          <w:sz w:val="24"/>
          <w:lang w:eastAsia="zh-CN"/>
        </w:rPr>
        <w:t>比选文件</w:t>
      </w:r>
      <w:r>
        <w:rPr>
          <w:rFonts w:hint="eastAsia" w:ascii="Times New Roman" w:hAnsi="Times New Roman" w:cs="宋体"/>
          <w:kern w:val="0"/>
          <w:sz w:val="24"/>
        </w:rPr>
        <w:t>确定的事项和采购单位签订采购合同。合同一式</w:t>
      </w:r>
      <w:r>
        <w:rPr>
          <w:rFonts w:hint="eastAsia" w:ascii="Times New Roman" w:hAnsi="Times New Roman" w:cs="宋体"/>
          <w:kern w:val="0"/>
          <w:sz w:val="24"/>
          <w:lang w:eastAsia="zh-CN"/>
        </w:rPr>
        <w:t>肆</w:t>
      </w:r>
      <w:r>
        <w:rPr>
          <w:rFonts w:hint="eastAsia" w:ascii="Times New Roman" w:hAnsi="Times New Roman" w:cs="宋体"/>
          <w:kern w:val="0"/>
          <w:sz w:val="24"/>
        </w:rPr>
        <w:t>份，采购</w:t>
      </w:r>
      <w:r>
        <w:rPr>
          <w:rFonts w:hint="eastAsia" w:ascii="Times New Roman" w:hAnsi="Times New Roman" w:cs="宋体"/>
          <w:kern w:val="0"/>
          <w:sz w:val="24"/>
          <w:szCs w:val="24"/>
        </w:rPr>
        <w:t>单位</w:t>
      </w:r>
      <w:r>
        <w:rPr>
          <w:rFonts w:hint="eastAsia" w:ascii="Times New Roman" w:hAnsi="Times New Roman" w:cs="宋体"/>
          <w:kern w:val="0"/>
          <w:sz w:val="24"/>
          <w:lang w:eastAsia="zh-CN"/>
        </w:rPr>
        <w:t>叁</w:t>
      </w:r>
      <w:r>
        <w:rPr>
          <w:rFonts w:hint="eastAsia" w:ascii="Times New Roman" w:hAnsi="Times New Roman" w:cs="宋体"/>
          <w:kern w:val="0"/>
          <w:sz w:val="24"/>
        </w:rPr>
        <w:t>份、供应商</w:t>
      </w:r>
      <w:r>
        <w:rPr>
          <w:rFonts w:hint="eastAsia" w:ascii="Times New Roman" w:hAnsi="Times New Roman" w:cs="宋体"/>
          <w:kern w:val="0"/>
          <w:sz w:val="24"/>
          <w:lang w:eastAsia="zh-CN"/>
        </w:rPr>
        <w:t>壹</w:t>
      </w:r>
      <w:r>
        <w:rPr>
          <w:rFonts w:hint="eastAsia" w:ascii="Times New Roman" w:hAnsi="Times New Roman" w:cs="宋体"/>
          <w:kern w:val="0"/>
          <w:sz w:val="24"/>
        </w:rPr>
        <w:t>份。所签合同不得对</w:t>
      </w:r>
      <w:r>
        <w:rPr>
          <w:rFonts w:hint="eastAsia" w:ascii="Times New Roman" w:hAnsi="Times New Roman" w:cs="宋体"/>
          <w:kern w:val="0"/>
          <w:sz w:val="24"/>
          <w:lang w:eastAsia="zh-CN"/>
        </w:rPr>
        <w:t>比选文件</w:t>
      </w:r>
      <w:r>
        <w:rPr>
          <w:rFonts w:hint="eastAsia" w:ascii="Times New Roman" w:hAnsi="Times New Roman" w:cs="宋体"/>
          <w:kern w:val="0"/>
          <w:sz w:val="24"/>
        </w:rPr>
        <w:t>作实质性修改。采购单位不得向</w:t>
      </w:r>
      <w:r>
        <w:rPr>
          <w:rFonts w:hint="eastAsia" w:ascii="Times New Roman" w:hAnsi="Times New Roman" w:cs="宋体"/>
          <w:kern w:val="0"/>
          <w:sz w:val="24"/>
          <w:lang w:eastAsia="zh-CN"/>
        </w:rPr>
        <w:t>中标人</w:t>
      </w:r>
      <w:r>
        <w:rPr>
          <w:rFonts w:hint="eastAsia" w:ascii="Times New Roman" w:hAnsi="Times New Roman" w:cs="宋体"/>
          <w:kern w:val="0"/>
          <w:sz w:val="24"/>
        </w:rPr>
        <w:t>提出不合理的要求作为签订合同的条件，不得与</w:t>
      </w:r>
      <w:r>
        <w:rPr>
          <w:rFonts w:hint="eastAsia" w:ascii="Times New Roman" w:hAnsi="Times New Roman" w:cs="宋体"/>
          <w:kern w:val="0"/>
          <w:sz w:val="24"/>
          <w:lang w:eastAsia="zh-CN"/>
        </w:rPr>
        <w:t>中标人</w:t>
      </w:r>
      <w:r>
        <w:rPr>
          <w:rFonts w:hint="eastAsia" w:ascii="Times New Roman" w:hAnsi="Times New Roman" w:cs="宋体"/>
          <w:kern w:val="0"/>
          <w:sz w:val="24"/>
        </w:rPr>
        <w:t>私下订立背离</w:t>
      </w:r>
      <w:r>
        <w:rPr>
          <w:rFonts w:hint="eastAsia" w:ascii="Times New Roman" w:hAnsi="Times New Roman" w:cs="宋体"/>
          <w:kern w:val="0"/>
          <w:sz w:val="24"/>
          <w:lang w:eastAsia="zh-CN"/>
        </w:rPr>
        <w:t>比选文件</w:t>
      </w:r>
      <w:r>
        <w:rPr>
          <w:rFonts w:hint="eastAsia" w:ascii="Times New Roman" w:hAnsi="Times New Roman" w:cs="宋体"/>
          <w:kern w:val="0"/>
          <w:sz w:val="24"/>
        </w:rPr>
        <w:t xml:space="preserve">实质性内容的协议。 </w:t>
      </w:r>
    </w:p>
    <w:p w14:paraId="005F5142">
      <w:pPr>
        <w:spacing w:line="480" w:lineRule="exact"/>
        <w:ind w:firstLine="484" w:firstLineChars="202"/>
        <w:rPr>
          <w:rFonts w:ascii="Times New Roman" w:hAnsi="Times New Roman" w:cs="宋体"/>
          <w:sz w:val="24"/>
        </w:rPr>
      </w:pPr>
      <w:r>
        <w:rPr>
          <w:rFonts w:hint="eastAsia" w:ascii="Times New Roman" w:hAnsi="Times New Roman" w:cs="宋体"/>
          <w:sz w:val="24"/>
        </w:rPr>
        <w:t xml:space="preserve"> 二、采购单位按合同约定积极配合成交商履约，成交商履约到位后，请以书面形式向采购单位提出验收申请。</w:t>
      </w:r>
    </w:p>
    <w:p w14:paraId="62AAF2B2">
      <w:pPr>
        <w:spacing w:line="480" w:lineRule="exact"/>
        <w:ind w:firstLine="484" w:firstLineChars="202"/>
        <w:rPr>
          <w:rFonts w:ascii="Times New Roman" w:hAnsi="Times New Roman" w:cs="宋体"/>
          <w:sz w:val="24"/>
        </w:rPr>
      </w:pPr>
      <w:r>
        <w:rPr>
          <w:rFonts w:hint="eastAsia" w:ascii="Times New Roman" w:hAnsi="Times New Roman" w:cs="宋体"/>
          <w:sz w:val="24"/>
        </w:rPr>
        <w:t>三、采购单位故意推迟</w:t>
      </w:r>
      <w:r>
        <w:rPr>
          <w:rFonts w:hint="eastAsia" w:ascii="Times New Roman" w:hAnsi="Times New Roman" w:cs="宋体"/>
          <w:kern w:val="0"/>
          <w:sz w:val="24"/>
          <w:szCs w:val="24"/>
        </w:rPr>
        <w:t>项目</w:t>
      </w:r>
      <w:r>
        <w:rPr>
          <w:rFonts w:hint="eastAsia" w:ascii="Times New Roman" w:hAnsi="Times New Roman" w:cs="宋体"/>
          <w:sz w:val="24"/>
        </w:rPr>
        <w:t>验收时间的，与成交商串通或要求成交商通过减少货物数量或降低服务标准的，在履行合同中采取更改配置、调换物品等手段的，要求成交商出具虚假发票或任意更改销售发票的，谋取不正当利益的，承担相应的法律责任。</w:t>
      </w:r>
    </w:p>
    <w:p w14:paraId="0D0A8C22">
      <w:pPr>
        <w:spacing w:line="480" w:lineRule="exact"/>
        <w:ind w:firstLine="484" w:firstLineChars="202"/>
        <w:rPr>
          <w:rFonts w:ascii="Times New Roman" w:hAnsi="Times New Roman" w:cs="宋体"/>
          <w:sz w:val="24"/>
        </w:rPr>
      </w:pPr>
      <w:r>
        <w:rPr>
          <w:rFonts w:hint="eastAsia" w:ascii="Times New Roman" w:hAnsi="Times New Roman" w:cs="宋体"/>
          <w:sz w:val="24"/>
        </w:rPr>
        <w:t>四、成交商出现违约情形，应当及时纠正或补偿；造成损失的，按合同约定追究违约责任；发现有假冒、伪劣、走私产品、商业贿赂等违法情形的，应由采购单位移交工商、质监、公安等行政执法部门依法查处。</w:t>
      </w:r>
    </w:p>
    <w:p w14:paraId="49F2502F">
      <w:pPr>
        <w:spacing w:line="480" w:lineRule="exact"/>
        <w:ind w:firstLine="484" w:firstLineChars="202"/>
        <w:rPr>
          <w:rFonts w:ascii="Times New Roman" w:hAnsi="Times New Roman" w:cs="宋体"/>
          <w:sz w:val="24"/>
        </w:rPr>
      </w:pPr>
      <w:r>
        <w:rPr>
          <w:rFonts w:hint="eastAsia" w:ascii="Times New Roman" w:hAnsi="Times New Roman" w:cs="宋体"/>
          <w:sz w:val="24"/>
        </w:rPr>
        <w:t>五、不响应付款方式的，视同响应文件无效，按无效响应文件处理。</w:t>
      </w:r>
    </w:p>
    <w:p w14:paraId="718067E0">
      <w:pPr>
        <w:spacing w:line="480" w:lineRule="exact"/>
        <w:ind w:firstLine="484" w:firstLineChars="202"/>
        <w:rPr>
          <w:rFonts w:ascii="Times New Roman" w:hAnsi="Times New Roman" w:cs="宋体"/>
          <w:sz w:val="24"/>
        </w:rPr>
      </w:pPr>
      <w:r>
        <w:rPr>
          <w:rFonts w:hint="eastAsia" w:ascii="Times New Roman" w:hAnsi="Times New Roman" w:cs="宋体"/>
          <w:sz w:val="24"/>
        </w:rPr>
        <w:t>六、付款方式详见</w:t>
      </w:r>
      <w:r>
        <w:rPr>
          <w:rFonts w:hint="eastAsia" w:ascii="Times New Roman" w:hAnsi="Times New Roman" w:cs="宋体"/>
          <w:sz w:val="24"/>
          <w:lang w:eastAsia="zh-CN"/>
        </w:rPr>
        <w:t>比选文件</w:t>
      </w:r>
      <w:r>
        <w:rPr>
          <w:rFonts w:hint="eastAsia" w:ascii="Times New Roman" w:hAnsi="Times New Roman" w:cs="宋体"/>
          <w:sz w:val="24"/>
        </w:rPr>
        <w:t>第</w:t>
      </w:r>
      <w:r>
        <w:rPr>
          <w:rFonts w:hint="eastAsia" w:ascii="Times New Roman" w:hAnsi="Times New Roman" w:cs="宋体"/>
          <w:sz w:val="24"/>
          <w:lang w:eastAsia="zh-CN"/>
        </w:rPr>
        <w:t>三</w:t>
      </w:r>
      <w:r>
        <w:rPr>
          <w:rFonts w:hint="eastAsia" w:ascii="Times New Roman" w:hAnsi="Times New Roman" w:cs="宋体"/>
          <w:sz w:val="24"/>
        </w:rPr>
        <w:t>章。</w:t>
      </w:r>
    </w:p>
    <w:p w14:paraId="3499D62A">
      <w:pPr>
        <w:spacing w:line="480" w:lineRule="exact"/>
        <w:ind w:firstLine="484" w:firstLineChars="202"/>
        <w:rPr>
          <w:rFonts w:ascii="Times New Roman" w:hAnsi="Times New Roman" w:cs="宋体"/>
          <w:b/>
          <w:iCs/>
          <w:w w:val="80"/>
          <w:sz w:val="44"/>
          <w:szCs w:val="44"/>
        </w:rPr>
      </w:pPr>
      <w:r>
        <w:rPr>
          <w:rFonts w:hint="eastAsia" w:ascii="Times New Roman" w:hAnsi="Times New Roman" w:cs="宋体"/>
          <w:sz w:val="24"/>
        </w:rPr>
        <w:t>七、以上项目款的支付不计息。</w:t>
      </w:r>
    </w:p>
    <w:p w14:paraId="0128A73B">
      <w:pPr>
        <w:kinsoku w:val="0"/>
        <w:overflowPunct w:val="0"/>
        <w:autoSpaceDE w:val="0"/>
        <w:autoSpaceDN w:val="0"/>
        <w:spacing w:line="360" w:lineRule="auto"/>
        <w:jc w:val="center"/>
        <w:rPr>
          <w:rFonts w:hint="eastAsia" w:ascii="Times New Roman" w:hAnsi="Times New Roman" w:cs="宋体"/>
          <w:b/>
          <w:iCs/>
          <w:w w:val="80"/>
          <w:sz w:val="44"/>
          <w:szCs w:val="44"/>
        </w:rPr>
      </w:pPr>
      <w:r>
        <w:rPr>
          <w:rFonts w:hint="eastAsia" w:ascii="Times New Roman" w:hAnsi="Times New Roman" w:cs="宋体"/>
          <w:b/>
          <w:iCs/>
          <w:w w:val="80"/>
          <w:sz w:val="44"/>
          <w:szCs w:val="44"/>
        </w:rPr>
        <w:t xml:space="preserve"> </w:t>
      </w:r>
    </w:p>
    <w:p w14:paraId="7EE48C99">
      <w:pPr>
        <w:rPr>
          <w:rFonts w:hint="eastAsia" w:ascii="Times New Roman" w:hAnsi="Times New Roman" w:cs="宋体"/>
          <w:b/>
          <w:iCs/>
          <w:w w:val="80"/>
          <w:sz w:val="44"/>
          <w:szCs w:val="44"/>
          <w:lang w:eastAsia="zh-CN"/>
        </w:rPr>
      </w:pPr>
      <w:r>
        <w:rPr>
          <w:rFonts w:hint="eastAsia" w:ascii="Times New Roman" w:hAnsi="Times New Roman" w:cs="宋体"/>
          <w:b/>
          <w:iCs/>
          <w:w w:val="80"/>
          <w:sz w:val="44"/>
          <w:szCs w:val="44"/>
          <w:lang w:eastAsia="zh-CN"/>
        </w:rPr>
        <w:br w:type="page"/>
      </w:r>
    </w:p>
    <w:p w14:paraId="6FCA50DB">
      <w:pPr>
        <w:kinsoku w:val="0"/>
        <w:overflowPunct w:val="0"/>
        <w:autoSpaceDE w:val="0"/>
        <w:autoSpaceDN w:val="0"/>
        <w:spacing w:line="360" w:lineRule="auto"/>
        <w:jc w:val="center"/>
        <w:rPr>
          <w:rFonts w:ascii="Times New Roman" w:hAnsi="Times New Roman"/>
          <w:b/>
          <w:sz w:val="28"/>
          <w:szCs w:val="28"/>
        </w:rPr>
      </w:pPr>
      <w:r>
        <w:rPr>
          <w:rFonts w:hint="eastAsia" w:ascii="Times New Roman" w:hAnsi="Times New Roman" w:cs="宋体"/>
          <w:b/>
          <w:iCs/>
          <w:w w:val="80"/>
          <w:sz w:val="44"/>
          <w:szCs w:val="44"/>
          <w:lang w:eastAsia="zh-CN"/>
        </w:rPr>
        <w:t>第六章</w:t>
      </w:r>
      <w:r>
        <w:rPr>
          <w:rFonts w:hint="eastAsia" w:ascii="Times New Roman" w:hAnsi="Times New Roman" w:cs="宋体"/>
          <w:b/>
          <w:iCs/>
          <w:w w:val="80"/>
          <w:sz w:val="44"/>
          <w:szCs w:val="44"/>
          <w:lang w:val="en-US" w:eastAsia="zh-CN"/>
        </w:rPr>
        <w:t xml:space="preserve">  </w:t>
      </w:r>
      <w:r>
        <w:rPr>
          <w:rFonts w:hint="eastAsia" w:ascii="Times New Roman" w:hAnsi="Times New Roman" w:cs="宋体"/>
          <w:b/>
          <w:iCs/>
          <w:w w:val="80"/>
          <w:sz w:val="44"/>
          <w:szCs w:val="44"/>
        </w:rPr>
        <w:t>质疑提出和处理</w:t>
      </w:r>
    </w:p>
    <w:p w14:paraId="4D61D80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一、质疑的提出</w:t>
      </w:r>
    </w:p>
    <w:p w14:paraId="4680303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1、质疑人必须是直接参加本次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活动的当事人。</w:t>
      </w:r>
    </w:p>
    <w:p w14:paraId="58DB97C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2、下载</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文件的供应商应根据第二章</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投标供应商须知</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中第一条第4款的约定提出；响应文件接收截止后，供应商未进行</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登记的，不能就响应文件接收截止后的招投标过程、成交结果提出质疑；在</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过程中，凡主持人或</w:t>
      </w:r>
      <w:r>
        <w:rPr>
          <w:rFonts w:hint="eastAsia" w:ascii="Times New Roman" w:hAnsi="Times New Roman" w:cs="宋体"/>
          <w:spacing w:val="0"/>
          <w:w w:val="100"/>
          <w:sz w:val="24"/>
          <w:szCs w:val="24"/>
          <w:lang w:eastAsia="zh-CN"/>
        </w:rPr>
        <w:t>比选小组</w:t>
      </w:r>
      <w:r>
        <w:rPr>
          <w:rFonts w:hint="eastAsia" w:ascii="Times New Roman" w:hAnsi="Times New Roman" w:eastAsia="宋体" w:cs="宋体"/>
          <w:spacing w:val="0"/>
          <w:w w:val="100"/>
          <w:sz w:val="24"/>
          <w:szCs w:val="24"/>
        </w:rPr>
        <w:t>明确提出须由供应商确认的事项，供应商当场无异议的，事后不得提出质疑。</w:t>
      </w:r>
    </w:p>
    <w:p w14:paraId="7C66427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3、提出质疑时，必须坚持</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谁主张，谁举证</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实事求是</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14:paraId="4E3B5C6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4、对本次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0C257FB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对不能提供相关佐证材料的、涉及商业秘密的、非书面形式的、非送达的、匿名的《质疑函》将不予受理。</w:t>
      </w:r>
    </w:p>
    <w:p w14:paraId="3BA100A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相关佐证材料要具备客观性、关联性、合法性，无法查实的（如宣传册、媒体报道、猜测、推理等）不能作为佐证材料。</w:t>
      </w:r>
    </w:p>
    <w:p w14:paraId="5AB71A8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采购单位或采购代理机构不负责搜集相关佐证材料等工作。</w:t>
      </w:r>
    </w:p>
    <w:p w14:paraId="2242F52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二、《质疑函》的受理和回复</w:t>
      </w:r>
    </w:p>
    <w:p w14:paraId="1343A56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1、《质疑函》须由质疑人的法定代表人或参加本次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被授权人送达采购单位和采购代理机构。</w:t>
      </w:r>
    </w:p>
    <w:p w14:paraId="2163D24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14:paraId="121ED0C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3、对不符合提出质疑要求的，出具《质疑退回通知书》并提出相关补充材料要求，质疑人未在规定的时间内提供补充佐证材料的，视同放弃质疑。</w:t>
      </w:r>
    </w:p>
    <w:p w14:paraId="1F38668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4、采购单位、采购代理机构负责将质疑人提出的质疑相关材料提供给相关专家或</w:t>
      </w:r>
      <w:r>
        <w:rPr>
          <w:rFonts w:hint="eastAsia" w:ascii="Times New Roman" w:hAnsi="Times New Roman" w:cs="宋体"/>
          <w:spacing w:val="0"/>
          <w:w w:val="100"/>
          <w:sz w:val="24"/>
          <w:szCs w:val="24"/>
          <w:lang w:eastAsia="zh-CN"/>
        </w:rPr>
        <w:t>比选小组</w:t>
      </w:r>
      <w:r>
        <w:rPr>
          <w:rFonts w:hint="eastAsia" w:ascii="Times New Roman" w:hAnsi="Times New Roman" w:eastAsia="宋体" w:cs="宋体"/>
          <w:spacing w:val="0"/>
          <w:w w:val="100"/>
          <w:sz w:val="24"/>
          <w:szCs w:val="24"/>
        </w:rPr>
        <w:t>审核，并将审核意见回复质疑人。</w:t>
      </w:r>
    </w:p>
    <w:p w14:paraId="275D255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B92E79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5、因质疑情况复杂，组织论证或审查时间较长的，采购单位、采购代理机构以书面形式通知质疑人，可适当延长质疑回复处理时间。</w:t>
      </w:r>
    </w:p>
    <w:p w14:paraId="2BA4F23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三、质疑处理</w:t>
      </w:r>
    </w:p>
    <w:p w14:paraId="28AE7709">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cs="宋体"/>
          <w:spacing w:val="0"/>
          <w:w w:val="100"/>
          <w:sz w:val="24"/>
          <w:szCs w:val="24"/>
          <w:lang w:eastAsia="zh-CN"/>
        </w:rPr>
      </w:pPr>
      <w:r>
        <w:rPr>
          <w:rFonts w:hint="eastAsia" w:ascii="Times New Roman" w:hAnsi="Times New Roman" w:eastAsia="宋体" w:cs="宋体"/>
          <w:spacing w:val="0"/>
          <w:w w:val="100"/>
          <w:sz w:val="24"/>
          <w:szCs w:val="24"/>
        </w:rPr>
        <w:t>1、质疑成立的处理。采购单位或采购代理机构终止采购</w:t>
      </w:r>
      <w:r>
        <w:rPr>
          <w:rFonts w:hint="eastAsia" w:ascii="Times New Roman" w:hAnsi="Times New Roman" w:cs="宋体"/>
          <w:spacing w:val="0"/>
          <w:w w:val="100"/>
          <w:sz w:val="24"/>
          <w:szCs w:val="24"/>
          <w:lang w:eastAsia="zh-CN"/>
        </w:rPr>
        <w:t>。</w:t>
      </w:r>
    </w:p>
    <w:p w14:paraId="69C4EBA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2、质疑不成立的处理。</w:t>
      </w:r>
    </w:p>
    <w:p w14:paraId="2DB634A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1）质疑人书面《申请撤回质疑函》的，不作违约处理。</w:t>
      </w:r>
    </w:p>
    <w:p w14:paraId="362D9EE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2）质疑人在规定的时间内不配合进行质疑调查处理的，按自动撤回《质疑函》处理。</w:t>
      </w:r>
    </w:p>
    <w:p w14:paraId="462F731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3）质疑人不按《质疑函》格式就提出质疑的，作违约处理。同时，视情列入不良供应商名单。</w:t>
      </w:r>
    </w:p>
    <w:p w14:paraId="72CE706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4）质疑人虽提供了相关佐证材料，但不能证明其质疑成立的，采购单位或采购代理机构请质疑人补充相关佐证材料，仍不能证明其质疑成立的，作违约处理。并将其列入不良供应商名单。</w:t>
      </w:r>
    </w:p>
    <w:p w14:paraId="43DD870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5）质疑人不能提供相关佐证材料的，采购单位、采购代理机构已指出，质疑人仍然坚持提出质疑的，作违约处理。同时，列入不良供应商名单。</w:t>
      </w:r>
    </w:p>
    <w:p w14:paraId="4F9F13C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6）对明显有违事实的、经相关专家或</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5D24E7A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7）质疑人承担使用虚假材料或恶意方式质疑的法律责任。</w:t>
      </w:r>
    </w:p>
    <w:p w14:paraId="5E1C771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4685CD9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11ED1FE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六、《质疑函》、《质疑回复函》，质疑、举报、投诉不成立的等相关情况，视情在南通政府采购网、省、国家级等相关媒体予以披露。并建议相关政府采购机构对该供应商同步实施1至3年内禁入。</w:t>
      </w:r>
    </w:p>
    <w:p w14:paraId="02B9EB4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七、质疑供应商对采购单位或代理机构的答复不满意或者采购单位或代理机构未在规定的时间内作出答复的，可以在答复期满后15个工作日内向政府采购监督管理部门投诉。</w:t>
      </w:r>
    </w:p>
    <w:p w14:paraId="47E892E7">
      <w:pPr>
        <w:rPr>
          <w:rFonts w:hint="eastAsia" w:ascii="Times New Roman" w:hAnsi="Times New Roman"/>
          <w:b/>
          <w:w w:val="80"/>
          <w:sz w:val="44"/>
          <w:szCs w:val="44"/>
          <w:lang w:eastAsia="zh-CN"/>
        </w:rPr>
      </w:pPr>
      <w:r>
        <w:rPr>
          <w:rFonts w:hint="eastAsia" w:ascii="Times New Roman" w:hAnsi="Times New Roman"/>
          <w:b/>
          <w:w w:val="80"/>
          <w:sz w:val="44"/>
          <w:szCs w:val="44"/>
          <w:lang w:eastAsia="zh-CN"/>
        </w:rPr>
        <w:br w:type="page"/>
      </w:r>
    </w:p>
    <w:p w14:paraId="6D8CC619">
      <w:pPr>
        <w:pStyle w:val="16"/>
        <w:ind w:left="0" w:leftChars="0" w:firstLine="0" w:firstLineChars="0"/>
        <w:jc w:val="center"/>
        <w:rPr>
          <w:rFonts w:ascii="Times New Roman" w:hAnsi="Times New Roman"/>
          <w:b/>
          <w:w w:val="80"/>
          <w:sz w:val="44"/>
        </w:rPr>
      </w:pPr>
      <w:r>
        <w:rPr>
          <w:rFonts w:hint="eastAsia" w:ascii="Times New Roman" w:hAnsi="Times New Roman"/>
          <w:b/>
          <w:w w:val="80"/>
          <w:sz w:val="44"/>
          <w:szCs w:val="44"/>
          <w:lang w:eastAsia="zh-CN"/>
        </w:rPr>
        <w:t>第七章</w:t>
      </w:r>
      <w:r>
        <w:rPr>
          <w:rFonts w:hint="eastAsia" w:ascii="Times New Roman" w:hAnsi="Times New Roman"/>
          <w:b/>
          <w:w w:val="80"/>
          <w:sz w:val="44"/>
          <w:szCs w:val="44"/>
        </w:rPr>
        <w:t xml:space="preserve">  响应文件组成及格式</w:t>
      </w:r>
    </w:p>
    <w:p w14:paraId="74C7DC2A">
      <w:pPr>
        <w:kinsoku w:val="0"/>
        <w:overflowPunct w:val="0"/>
        <w:autoSpaceDE w:val="0"/>
        <w:autoSpaceDN w:val="0"/>
        <w:spacing w:line="360" w:lineRule="auto"/>
        <w:ind w:firstLine="482" w:firstLineChars="200"/>
        <w:jc w:val="left"/>
        <w:textAlignment w:val="baseline"/>
        <w:rPr>
          <w:rFonts w:ascii="Times New Roman" w:hAnsi="Times New Roman" w:cs="宋体"/>
          <w:b/>
          <w:bCs/>
          <w:sz w:val="24"/>
          <w:szCs w:val="24"/>
        </w:rPr>
      </w:pPr>
      <w:r>
        <w:rPr>
          <w:rFonts w:hint="eastAsia" w:ascii="Times New Roman" w:hAnsi="Times New Roman" w:cs="宋体"/>
          <w:b/>
          <w:bCs/>
          <w:sz w:val="24"/>
          <w:szCs w:val="24"/>
        </w:rPr>
        <w:t>响应文件由资格审查文件、报价响应文件</w:t>
      </w:r>
      <w:r>
        <w:rPr>
          <w:rFonts w:hint="eastAsia" w:ascii="Times New Roman" w:hAnsi="Times New Roman" w:cs="宋体"/>
          <w:b/>
          <w:bCs/>
          <w:sz w:val="24"/>
          <w:szCs w:val="24"/>
          <w:lang w:eastAsia="zh-CN"/>
        </w:rPr>
        <w:t>两</w:t>
      </w:r>
      <w:r>
        <w:rPr>
          <w:rFonts w:hint="eastAsia" w:ascii="Times New Roman" w:hAnsi="Times New Roman" w:cs="宋体"/>
          <w:b/>
          <w:bCs/>
          <w:sz w:val="24"/>
          <w:szCs w:val="24"/>
        </w:rPr>
        <w:t>部分组成。本次</w:t>
      </w:r>
      <w:r>
        <w:rPr>
          <w:rFonts w:hint="eastAsia" w:ascii="Times New Roman" w:hAnsi="Times New Roman" w:cs="宋体"/>
          <w:b/>
          <w:bCs/>
          <w:sz w:val="24"/>
          <w:szCs w:val="24"/>
          <w:lang w:eastAsia="zh-CN"/>
        </w:rPr>
        <w:t>比选</w:t>
      </w:r>
      <w:r>
        <w:rPr>
          <w:rFonts w:hint="eastAsia" w:ascii="Times New Roman" w:hAnsi="Times New Roman" w:cs="宋体"/>
          <w:b/>
          <w:bCs/>
          <w:sz w:val="24"/>
          <w:szCs w:val="24"/>
        </w:rPr>
        <w:t>采用资格后审方式，供应商须将资格审查文件作为响应文件组成部分，按</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要求装订密封后一起递交。</w:t>
      </w:r>
    </w:p>
    <w:p w14:paraId="517CCFAA">
      <w:pPr>
        <w:kinsoku w:val="0"/>
        <w:overflowPunct w:val="0"/>
        <w:autoSpaceDE w:val="0"/>
        <w:autoSpaceDN w:val="0"/>
        <w:adjustRightInd w:val="0"/>
        <w:snapToGrid w:val="0"/>
        <w:spacing w:line="360" w:lineRule="auto"/>
        <w:ind w:firstLine="482" w:firstLineChars="200"/>
        <w:jc w:val="left"/>
        <w:textAlignment w:val="baseline"/>
        <w:rPr>
          <w:rFonts w:ascii="Times New Roman" w:hAnsi="Times New Roman" w:cs="宋体"/>
          <w:b/>
          <w:bCs/>
          <w:kern w:val="0"/>
          <w:sz w:val="24"/>
          <w:lang w:val="zh-CN"/>
        </w:rPr>
      </w:pPr>
      <w:r>
        <w:rPr>
          <w:rFonts w:hint="eastAsia" w:ascii="Times New Roman" w:hAnsi="Times New Roman" w:cs="宋体"/>
          <w:b/>
          <w:bCs/>
          <w:kern w:val="0"/>
          <w:sz w:val="24"/>
          <w:lang w:val="zh-CN"/>
        </w:rPr>
        <w:t>一、资格审查文件（单独密封）：</w:t>
      </w:r>
    </w:p>
    <w:p w14:paraId="245A5FCF">
      <w:pPr>
        <w:kinsoku w:val="0"/>
        <w:overflowPunct w:val="0"/>
        <w:autoSpaceDE w:val="0"/>
        <w:autoSpaceDN w:val="0"/>
        <w:adjustRightInd w:val="0"/>
        <w:snapToGrid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1、提供供应商的有效的《营业执照》（或事业单位法人证书）原件的复印件（须加盖公章）；</w:t>
      </w:r>
    </w:p>
    <w:p w14:paraId="523FE254">
      <w:pPr>
        <w:kinsoku w:val="0"/>
        <w:overflowPunct w:val="0"/>
        <w:autoSpaceDE w:val="0"/>
        <w:autoSpaceDN w:val="0"/>
        <w:adjustRightInd w:val="0"/>
        <w:snapToGrid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2、如为法定代表人参加招标的，必须提供法定代表人身份证明及本人身份证原件的复印件。如为被委托授权人参加招标的，还须提供法人代表签名或盖章的授权委托书及被委托授权人身份证的这两项原件的复印件（须加盖公章）（格式参见附件）；</w:t>
      </w:r>
    </w:p>
    <w:p w14:paraId="7F04D7C8">
      <w:pPr>
        <w:kinsoku w:val="0"/>
        <w:overflowPunct w:val="0"/>
        <w:autoSpaceDE w:val="0"/>
        <w:autoSpaceDN w:val="0"/>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投标人须为所投主要设备（台式定向污气导吸装置、台式通风柜）的制造商或授权代理商。若为代理商，须提供制造商针对本项目的</w:t>
      </w:r>
      <w:bookmarkStart w:id="17" w:name="_GoBack"/>
      <w:bookmarkEnd w:id="17"/>
      <w:r>
        <w:rPr>
          <w:rFonts w:hint="eastAsia" w:ascii="Times New Roman" w:hAnsi="Times New Roman" w:eastAsia="宋体" w:cs="Times New Roman"/>
          <w:sz w:val="24"/>
          <w:szCs w:val="24"/>
        </w:rPr>
        <w:t>授权书及售后服务承诺函。</w:t>
      </w:r>
    </w:p>
    <w:p w14:paraId="2CEAD28B">
      <w:pPr>
        <w:kinsoku w:val="0"/>
        <w:overflowPunct w:val="0"/>
        <w:autoSpaceDE w:val="0"/>
        <w:autoSpaceDN w:val="0"/>
        <w:spacing w:line="360" w:lineRule="auto"/>
        <w:ind w:firstLine="482" w:firstLineChars="200"/>
        <w:jc w:val="left"/>
        <w:textAlignment w:val="baseline"/>
        <w:rPr>
          <w:rFonts w:hint="eastAsia" w:ascii="Times New Roman" w:hAnsi="Times New Roman" w:eastAsia="宋体" w:cs="宋体"/>
          <w:b/>
          <w:bCs/>
          <w:sz w:val="24"/>
          <w:szCs w:val="24"/>
        </w:rPr>
      </w:pPr>
      <w:r>
        <w:rPr>
          <w:rFonts w:hint="eastAsia" w:ascii="Times New Roman" w:hAnsi="Times New Roman" w:eastAsia="宋体" w:cs="宋体"/>
          <w:b/>
          <w:bCs/>
          <w:sz w:val="24"/>
          <w:szCs w:val="24"/>
        </w:rPr>
        <w:t>注：以上材料如为复印件均需加盖供应商公章。</w:t>
      </w:r>
    </w:p>
    <w:p w14:paraId="34BB4E8B">
      <w:pPr>
        <w:kinsoku w:val="0"/>
        <w:overflowPunct w:val="0"/>
        <w:autoSpaceDE w:val="0"/>
        <w:autoSpaceDN w:val="0"/>
        <w:spacing w:line="360" w:lineRule="auto"/>
        <w:ind w:firstLine="482" w:firstLineChars="200"/>
        <w:jc w:val="left"/>
        <w:textAlignment w:val="baseline"/>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二、技术标：</w:t>
      </w:r>
    </w:p>
    <w:p w14:paraId="759FEEB9">
      <w:pPr>
        <w:pStyle w:val="21"/>
        <w:wordWrap w:val="0"/>
        <w:topLinePunct/>
        <w:snapToGrid w:val="0"/>
        <w:spacing w:before="0" w:beforeAutospacing="0" w:after="0" w:afterAutospacing="0" w:line="440" w:lineRule="exact"/>
        <w:ind w:firstLine="480" w:firstLineChars="200"/>
        <w:contextualSpacing/>
        <w:rPr>
          <w:rFonts w:hint="eastAsia" w:ascii="Times New Roman" w:hAnsi="Times New Roman"/>
        </w:rPr>
      </w:pPr>
      <w:r>
        <w:rPr>
          <w:rFonts w:hint="eastAsia" w:ascii="Times New Roman" w:hAnsi="Times New Roman"/>
        </w:rPr>
        <w:t>1</w:t>
      </w:r>
      <w:r>
        <w:rPr>
          <w:rFonts w:hint="eastAsia" w:ascii="Times New Roman"/>
        </w:rPr>
        <w:t>、评审办法中技术部分需要提供的材料；</w:t>
      </w:r>
    </w:p>
    <w:p w14:paraId="07E84363">
      <w:pPr>
        <w:pStyle w:val="21"/>
        <w:wordWrap w:val="0"/>
        <w:topLinePunct/>
        <w:snapToGrid w:val="0"/>
        <w:spacing w:before="0" w:beforeAutospacing="0" w:after="0" w:afterAutospacing="0" w:line="440" w:lineRule="exact"/>
        <w:ind w:firstLine="480" w:firstLineChars="200"/>
        <w:contextualSpacing/>
        <w:rPr>
          <w:rFonts w:hint="eastAsia" w:ascii="Times New Roman" w:hAnsi="Times New Roman"/>
        </w:rPr>
      </w:pPr>
      <w:r>
        <w:rPr>
          <w:rFonts w:hint="eastAsia" w:ascii="Times New Roman" w:hAnsi="Times New Roman"/>
        </w:rPr>
        <w:t>2</w:t>
      </w:r>
      <w:r>
        <w:rPr>
          <w:rFonts w:hint="eastAsia" w:ascii="Times New Roman"/>
        </w:rPr>
        <w:t>、供应商认为需要提交的其他资料。</w:t>
      </w:r>
    </w:p>
    <w:p w14:paraId="1552F98D">
      <w:pPr>
        <w:pStyle w:val="21"/>
        <w:wordWrap w:val="0"/>
        <w:topLinePunct/>
        <w:snapToGrid w:val="0"/>
        <w:spacing w:before="0" w:beforeAutospacing="0" w:after="0" w:afterAutospacing="0" w:line="440" w:lineRule="exact"/>
        <w:ind w:firstLine="482" w:firstLineChars="200"/>
        <w:contextualSpacing/>
        <w:rPr>
          <w:rFonts w:hint="eastAsia" w:ascii="Times New Roman" w:hAnsi="Times New Roman"/>
          <w:b/>
        </w:rPr>
      </w:pPr>
      <w:r>
        <w:rPr>
          <w:rFonts w:hint="eastAsia" w:ascii="Times New Roman"/>
          <w:b/>
        </w:rPr>
        <w:t>为方便评委评审，请供应商按评标办法中所涉及的事项顺序进行编制，可以补充相关材料。</w:t>
      </w:r>
    </w:p>
    <w:p w14:paraId="0114B96C">
      <w:pPr>
        <w:pStyle w:val="21"/>
        <w:wordWrap w:val="0"/>
        <w:topLinePunct/>
        <w:snapToGrid w:val="0"/>
        <w:spacing w:before="0" w:beforeAutospacing="0" w:after="0" w:afterAutospacing="0" w:line="440" w:lineRule="exact"/>
        <w:ind w:firstLine="482" w:firstLineChars="200"/>
        <w:contextualSpacing/>
        <w:rPr>
          <w:rFonts w:hint="eastAsia" w:ascii="Times New Roman" w:hAnsi="Times New Roman"/>
        </w:rPr>
      </w:pPr>
      <w:r>
        <w:rPr>
          <w:rStyle w:val="22"/>
          <w:rFonts w:ascii="Times New Roman"/>
          <w:b/>
          <w:bCs/>
          <w:szCs w:val="21"/>
        </w:rPr>
        <w:t>特别提醒：</w:t>
      </w:r>
      <w:r>
        <w:rPr>
          <w:rStyle w:val="22"/>
          <w:rFonts w:ascii="Times New Roman" w:hAnsi="Times New Roman"/>
          <w:b/>
          <w:bCs/>
          <w:szCs w:val="21"/>
        </w:rPr>
        <w:t>“</w:t>
      </w:r>
      <w:r>
        <w:rPr>
          <w:rStyle w:val="22"/>
          <w:rFonts w:ascii="Times New Roman"/>
          <w:b/>
          <w:bCs/>
          <w:szCs w:val="21"/>
        </w:rPr>
        <w:t>资格审查文件</w:t>
      </w:r>
      <w:r>
        <w:rPr>
          <w:rStyle w:val="22"/>
          <w:rFonts w:ascii="Times New Roman" w:hAnsi="Times New Roman"/>
          <w:b/>
          <w:bCs/>
          <w:szCs w:val="21"/>
        </w:rPr>
        <w:t>”</w:t>
      </w:r>
      <w:r>
        <w:rPr>
          <w:rStyle w:val="22"/>
          <w:rFonts w:ascii="Times New Roman"/>
          <w:b/>
          <w:bCs/>
          <w:szCs w:val="21"/>
        </w:rPr>
        <w:t>、</w:t>
      </w:r>
      <w:r>
        <w:rPr>
          <w:rStyle w:val="22"/>
          <w:rFonts w:ascii="Times New Roman" w:hAnsi="Times New Roman"/>
          <w:b/>
          <w:bCs/>
          <w:szCs w:val="21"/>
        </w:rPr>
        <w:t>“</w:t>
      </w:r>
      <w:r>
        <w:rPr>
          <w:rStyle w:val="22"/>
          <w:rFonts w:ascii="Times New Roman"/>
          <w:b/>
          <w:bCs/>
          <w:szCs w:val="21"/>
        </w:rPr>
        <w:t>技术</w:t>
      </w:r>
      <w:r>
        <w:rPr>
          <w:rStyle w:val="22"/>
          <w:rFonts w:hint="eastAsia" w:ascii="Times New Roman"/>
          <w:b/>
          <w:bCs/>
          <w:szCs w:val="21"/>
        </w:rPr>
        <w:t>标</w:t>
      </w:r>
      <w:r>
        <w:rPr>
          <w:rStyle w:val="22"/>
          <w:rFonts w:ascii="Times New Roman"/>
          <w:b/>
          <w:bCs/>
          <w:szCs w:val="21"/>
        </w:rPr>
        <w:t>文件</w:t>
      </w:r>
      <w:r>
        <w:rPr>
          <w:rStyle w:val="22"/>
          <w:rFonts w:ascii="Times New Roman" w:hAnsi="Times New Roman"/>
          <w:b/>
          <w:bCs/>
          <w:szCs w:val="21"/>
        </w:rPr>
        <w:t>”</w:t>
      </w:r>
      <w:r>
        <w:rPr>
          <w:rStyle w:val="22"/>
          <w:rFonts w:ascii="Times New Roman"/>
          <w:b/>
          <w:bCs/>
          <w:szCs w:val="21"/>
        </w:rPr>
        <w:t>所须提供材料的复印件（须加盖投标供应商公章）按招标文件要求装订，密封，递交。</w:t>
      </w:r>
      <w:r>
        <w:rPr>
          <w:rStyle w:val="22"/>
          <w:rFonts w:ascii="Times New Roman" w:hAnsi="Times New Roman"/>
          <w:b/>
          <w:bCs/>
          <w:szCs w:val="21"/>
        </w:rPr>
        <w:t>“</w:t>
      </w:r>
      <w:r>
        <w:rPr>
          <w:rStyle w:val="22"/>
          <w:rFonts w:ascii="Times New Roman"/>
          <w:b/>
          <w:bCs/>
          <w:szCs w:val="21"/>
        </w:rPr>
        <w:t>资格审查文件</w:t>
      </w:r>
      <w:r>
        <w:rPr>
          <w:rStyle w:val="22"/>
          <w:rFonts w:ascii="Times New Roman" w:hAnsi="Times New Roman"/>
          <w:b/>
          <w:bCs/>
          <w:szCs w:val="21"/>
        </w:rPr>
        <w:t>”</w:t>
      </w:r>
      <w:r>
        <w:rPr>
          <w:rStyle w:val="22"/>
          <w:rFonts w:ascii="Times New Roman"/>
          <w:b/>
          <w:bCs/>
          <w:szCs w:val="21"/>
        </w:rPr>
        <w:t>、</w:t>
      </w:r>
      <w:r>
        <w:rPr>
          <w:rStyle w:val="22"/>
          <w:rFonts w:ascii="Times New Roman" w:hAnsi="Times New Roman"/>
          <w:b/>
          <w:bCs/>
          <w:szCs w:val="21"/>
        </w:rPr>
        <w:t>“</w:t>
      </w:r>
      <w:r>
        <w:rPr>
          <w:rStyle w:val="22"/>
          <w:rFonts w:ascii="Times New Roman"/>
          <w:b/>
          <w:bCs/>
          <w:szCs w:val="21"/>
        </w:rPr>
        <w:t>技术</w:t>
      </w:r>
      <w:r>
        <w:rPr>
          <w:rStyle w:val="22"/>
          <w:rFonts w:hint="eastAsia" w:ascii="Times New Roman"/>
          <w:b/>
          <w:bCs/>
          <w:szCs w:val="21"/>
        </w:rPr>
        <w:t>标</w:t>
      </w:r>
      <w:r>
        <w:rPr>
          <w:rStyle w:val="22"/>
          <w:rFonts w:ascii="Times New Roman"/>
          <w:b/>
          <w:bCs/>
          <w:szCs w:val="21"/>
        </w:rPr>
        <w:t>文件</w:t>
      </w:r>
      <w:r>
        <w:rPr>
          <w:rStyle w:val="22"/>
          <w:rFonts w:ascii="Times New Roman" w:hAnsi="Times New Roman"/>
          <w:b/>
          <w:bCs/>
          <w:szCs w:val="21"/>
        </w:rPr>
        <w:t>”</w:t>
      </w:r>
      <w:r>
        <w:rPr>
          <w:rStyle w:val="22"/>
          <w:rFonts w:ascii="Times New Roman"/>
          <w:b/>
          <w:bCs/>
          <w:szCs w:val="21"/>
        </w:rPr>
        <w:t>所涉及相关资料等证明材料均须提供原件复印件并将原件带至开标现场备查，未携带原件或因携带原件不全所引起的后果由投标供应商自行承担。</w:t>
      </w:r>
    </w:p>
    <w:p w14:paraId="57F40136">
      <w:pPr>
        <w:pStyle w:val="21"/>
        <w:wordWrap w:val="0"/>
        <w:topLinePunct/>
        <w:snapToGrid w:val="0"/>
        <w:spacing w:before="0" w:beforeAutospacing="0" w:after="0" w:afterAutospacing="0" w:line="440" w:lineRule="exact"/>
        <w:ind w:firstLine="482" w:firstLineChars="200"/>
        <w:contextualSpacing/>
        <w:rPr>
          <w:rFonts w:hint="eastAsia" w:ascii="Times New Roman" w:hAnsi="Times New Roman"/>
          <w:b/>
        </w:rPr>
      </w:pPr>
      <w:r>
        <w:rPr>
          <w:rFonts w:hint="eastAsia" w:ascii="Times New Roman"/>
          <w:b/>
        </w:rPr>
        <w:t>三、商务标：</w:t>
      </w:r>
    </w:p>
    <w:p w14:paraId="65CB0E1A">
      <w:pPr>
        <w:pStyle w:val="21"/>
        <w:wordWrap w:val="0"/>
        <w:topLinePunct/>
        <w:snapToGrid w:val="0"/>
        <w:spacing w:before="0" w:beforeAutospacing="0" w:after="0" w:afterAutospacing="0" w:line="440" w:lineRule="exact"/>
        <w:ind w:firstLine="480" w:firstLineChars="200"/>
        <w:contextualSpacing/>
        <w:rPr>
          <w:rFonts w:hint="eastAsia" w:ascii="Times New Roman" w:hAnsi="Times New Roman"/>
        </w:rPr>
      </w:pPr>
      <w:r>
        <w:rPr>
          <w:rFonts w:hint="eastAsia" w:ascii="Times New Roman" w:hAnsi="Times New Roman"/>
        </w:rPr>
        <w:t>1</w:t>
      </w:r>
      <w:r>
        <w:rPr>
          <w:rFonts w:hint="eastAsia" w:ascii="Times New Roman"/>
        </w:rPr>
        <w:t>、投标函</w:t>
      </w:r>
      <w:r>
        <w:rPr>
          <w:rFonts w:hint="eastAsia" w:ascii="Times New Roman" w:hAnsi="Times New Roman"/>
        </w:rPr>
        <w:t>(</w:t>
      </w:r>
      <w:r>
        <w:rPr>
          <w:rFonts w:hint="eastAsia" w:ascii="Times New Roman"/>
        </w:rPr>
        <w:t>格式见附件</w:t>
      </w:r>
      <w:r>
        <w:rPr>
          <w:rFonts w:hint="eastAsia" w:ascii="Times New Roman" w:hAnsi="Times New Roman"/>
        </w:rPr>
        <w:t>)</w:t>
      </w:r>
      <w:r>
        <w:rPr>
          <w:rFonts w:hint="eastAsia" w:ascii="Times New Roman"/>
        </w:rPr>
        <w:t>；</w:t>
      </w:r>
    </w:p>
    <w:p w14:paraId="4DC283DD">
      <w:pPr>
        <w:pStyle w:val="21"/>
        <w:wordWrap w:val="0"/>
        <w:topLinePunct/>
        <w:snapToGrid w:val="0"/>
        <w:spacing w:before="0" w:beforeAutospacing="0" w:after="0" w:afterAutospacing="0" w:line="440" w:lineRule="exact"/>
        <w:ind w:firstLine="480" w:firstLineChars="200"/>
        <w:contextualSpacing/>
        <w:rPr>
          <w:rFonts w:hint="eastAsia" w:ascii="Times New Roman" w:hAnsi="Times New Roman"/>
        </w:rPr>
      </w:pPr>
      <w:r>
        <w:rPr>
          <w:rFonts w:hint="eastAsia" w:ascii="Times New Roman" w:hAnsi="Times New Roman"/>
        </w:rPr>
        <w:t>2</w:t>
      </w:r>
      <w:r>
        <w:rPr>
          <w:rFonts w:hint="eastAsia" w:ascii="Times New Roman"/>
        </w:rPr>
        <w:t>、报价明细表（格式自拟）。</w:t>
      </w:r>
    </w:p>
    <w:p w14:paraId="08903BA9">
      <w:pPr>
        <w:pStyle w:val="2"/>
        <w:kinsoku w:val="0"/>
        <w:overflowPunct w:val="0"/>
        <w:autoSpaceDE w:val="0"/>
        <w:autoSpaceDN w:val="0"/>
        <w:spacing w:after="0" w:line="360" w:lineRule="auto"/>
        <w:ind w:left="0" w:leftChars="0" w:firstLine="0" w:firstLineChars="0"/>
        <w:rPr>
          <w:rFonts w:ascii="Times New Roman" w:hAnsi="Times New Roman"/>
          <w:b/>
          <w:sz w:val="24"/>
        </w:rPr>
      </w:pPr>
      <w:r>
        <w:rPr>
          <w:rFonts w:ascii="Times New Roman" w:hAnsi="Times New Roman"/>
        </w:rPr>
        <w:br w:type="page"/>
      </w:r>
      <w:r>
        <w:rPr>
          <w:rFonts w:hint="eastAsia" w:ascii="Times New Roman" w:hAnsi="Times New Roman"/>
          <w:b/>
          <w:sz w:val="24"/>
          <w:szCs w:val="24"/>
        </w:rPr>
        <w:t>附件:</w:t>
      </w:r>
    </w:p>
    <w:p w14:paraId="75E9A815">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rPr>
        <w:t>1、法定代表人身份证明</w:t>
      </w:r>
    </w:p>
    <w:p w14:paraId="0E6F1734">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（法定代表人参加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，须出示此证明）</w:t>
      </w:r>
    </w:p>
    <w:p w14:paraId="4BD74BDC">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31831AE2">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我公司法定代表人</w:t>
      </w:r>
      <w:r>
        <w:rPr>
          <w:rFonts w:hint="eastAsia" w:ascii="Times New Roman" w:hAnsi="Times New Roman" w:cs="宋体"/>
          <w:sz w:val="24"/>
          <w:szCs w:val="24"/>
          <w:u w:val="single"/>
        </w:rPr>
        <w:t>　　　</w:t>
      </w:r>
      <w:r>
        <w:rPr>
          <w:rFonts w:hint="eastAsia" w:ascii="Times New Roman" w:hAnsi="Times New Roman" w:cs="宋体"/>
          <w:sz w:val="24"/>
          <w:szCs w:val="24"/>
        </w:rPr>
        <w:t>参加贵单位组织的</w:t>
      </w:r>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病理科细胞室及包埋室通风系统改造项目</w:t>
      </w:r>
      <w:r>
        <w:rPr>
          <w:rFonts w:hint="eastAsia" w:ascii="Times New Roman" w:hAnsi="Times New Roman" w:cs="宋体"/>
          <w:sz w:val="24"/>
          <w:szCs w:val="24"/>
        </w:rPr>
        <w:t>（</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名称）项目的</w:t>
      </w:r>
      <w:r>
        <w:rPr>
          <w:rFonts w:hint="eastAsia" w:ascii="Times New Roman" w:hAnsi="Times New Roman" w:cs="宋体"/>
          <w:sz w:val="24"/>
          <w:szCs w:val="24"/>
          <w:lang w:eastAsia="zh-CN"/>
        </w:rPr>
        <w:t>比选活动</w:t>
      </w:r>
      <w:r>
        <w:rPr>
          <w:rFonts w:hint="eastAsia" w:ascii="Times New Roman" w:hAnsi="Times New Roman" w:cs="宋体"/>
          <w:sz w:val="24"/>
          <w:szCs w:val="24"/>
        </w:rPr>
        <w:t>，全权代表我公司处理该</w:t>
      </w:r>
      <w:r>
        <w:rPr>
          <w:rFonts w:hint="eastAsia" w:ascii="Times New Roman" w:hAnsi="Times New Roman" w:cs="宋体"/>
          <w:sz w:val="24"/>
          <w:szCs w:val="24"/>
          <w:lang w:eastAsia="zh-CN"/>
        </w:rPr>
        <w:t>比选活动</w:t>
      </w:r>
      <w:r>
        <w:rPr>
          <w:rFonts w:hint="eastAsia" w:ascii="Times New Roman" w:hAnsi="Times New Roman" w:cs="宋体"/>
          <w:sz w:val="24"/>
          <w:szCs w:val="24"/>
        </w:rPr>
        <w:t>的有关事宜。</w:t>
      </w:r>
    </w:p>
    <w:p w14:paraId="00C698C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附：法定代表人情况：</w:t>
      </w:r>
    </w:p>
    <w:p w14:paraId="5A242D78">
      <w:pPr>
        <w:kinsoku w:val="0"/>
        <w:overflowPunct w:val="0"/>
        <w:autoSpaceDE w:val="0"/>
        <w:autoSpaceDN w:val="0"/>
        <w:spacing w:line="360" w:lineRule="auto"/>
        <w:textAlignment w:val="baseline"/>
        <w:rPr>
          <w:rFonts w:ascii="Times New Roman" w:hAnsi="Times New Roman" w:cs="宋体"/>
          <w:sz w:val="24"/>
          <w:szCs w:val="24"/>
          <w:u w:val="single"/>
        </w:rPr>
      </w:pPr>
      <w:r>
        <w:rPr>
          <w:rFonts w:hint="eastAsia" w:ascii="Times New Roman" w:hAnsi="Times New Roman" w:cs="宋体"/>
          <w:sz w:val="24"/>
          <w:szCs w:val="24"/>
        </w:rPr>
        <w:t>姓名：性别：年龄：职务：</w:t>
      </w:r>
    </w:p>
    <w:p w14:paraId="59DAD049">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身份证号码：</w:t>
      </w:r>
    </w:p>
    <w:p w14:paraId="48D04748">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手机：传真：</w:t>
      </w:r>
    </w:p>
    <w:p w14:paraId="2B95493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 </w:t>
      </w:r>
    </w:p>
    <w:p w14:paraId="743B3457">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单位名称（公章）法定代表人（签字或盖章）</w:t>
      </w:r>
    </w:p>
    <w:p w14:paraId="42579C3D">
      <w:pPr>
        <w:kinsoku w:val="0"/>
        <w:overflowPunct w:val="0"/>
        <w:autoSpaceDE w:val="0"/>
        <w:autoSpaceDN w:val="0"/>
        <w:spacing w:line="360" w:lineRule="auto"/>
        <w:ind w:firstLine="1200" w:firstLineChars="500"/>
        <w:textAlignment w:val="baseline"/>
        <w:rPr>
          <w:rFonts w:ascii="Times New Roman" w:hAnsi="Times New Roman" w:cs="宋体"/>
          <w:sz w:val="24"/>
          <w:szCs w:val="24"/>
        </w:rPr>
      </w:pPr>
      <w:r>
        <w:rPr>
          <w:rFonts w:hint="eastAsia" w:ascii="Times New Roman" w:hAnsi="Times New Roman" w:cs="宋体"/>
          <w:sz w:val="24"/>
          <w:szCs w:val="24"/>
        </w:rPr>
        <w:t>年月日年月日</w:t>
      </w:r>
    </w:p>
    <w:p w14:paraId="67AA92DC">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法定代表人身份证复印件</w:t>
      </w:r>
    </w:p>
    <w:p w14:paraId="0A9BEB66">
      <w:pPr>
        <w:kinsoku w:val="0"/>
        <w:overflowPunct w:val="0"/>
        <w:autoSpaceDE w:val="0"/>
        <w:autoSpaceDN w:val="0"/>
        <w:spacing w:line="360" w:lineRule="auto"/>
        <w:ind w:firstLine="2280" w:firstLineChars="950"/>
        <w:textAlignment w:val="baseline"/>
        <w:rPr>
          <w:rFonts w:ascii="Times New Roman" w:hAnsi="Times New Roman" w:cs="宋体"/>
          <w:sz w:val="24"/>
          <w:szCs w:val="24"/>
        </w:rPr>
      </w:pPr>
      <w:r>
        <w:rPr>
          <w:rFonts w:hint="eastAsia" w:ascii="Times New Roman" w:hAnsi="Times New Roman" w:cs="宋体"/>
          <w:sz w:val="24"/>
          <w:szCs w:val="24"/>
        </w:rPr>
        <w:t>（粘贴此处）</w:t>
      </w:r>
    </w:p>
    <w:p w14:paraId="3B10394C">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注:参加</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时法定代表人将身份证原件带至</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现场备查。</w:t>
      </w:r>
    </w:p>
    <w:p w14:paraId="41BB2B75">
      <w:pPr>
        <w:kinsoku w:val="0"/>
        <w:overflowPunct w:val="0"/>
        <w:autoSpaceDE w:val="0"/>
        <w:autoSpaceDN w:val="0"/>
        <w:spacing w:line="360" w:lineRule="auto"/>
        <w:jc w:val="center"/>
        <w:rPr>
          <w:rFonts w:ascii="Times New Roman" w:hAnsi="Times New Roman"/>
          <w:sz w:val="20"/>
        </w:rPr>
      </w:pPr>
      <w:r>
        <w:rPr>
          <w:rFonts w:ascii="Times New Roman" w:hAnsi="Times New Roman" w:cs="宋体"/>
          <w:b/>
          <w:bCs/>
          <w:sz w:val="24"/>
          <w:szCs w:val="24"/>
        </w:rPr>
        <w:br w:type="page"/>
      </w:r>
      <w:r>
        <w:rPr>
          <w:rFonts w:hint="eastAsia" w:ascii="Times New Roman" w:hAnsi="Times New Roman"/>
          <w:b/>
          <w:sz w:val="24"/>
          <w:szCs w:val="24"/>
        </w:rPr>
        <w:t>2、授权委托书</w:t>
      </w:r>
    </w:p>
    <w:p w14:paraId="4BA33921">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（委托代理人参加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，须出示此证明）</w:t>
      </w:r>
    </w:p>
    <w:p w14:paraId="588FADB5">
      <w:pPr>
        <w:kinsoku w:val="0"/>
        <w:overflowPunct w:val="0"/>
        <w:autoSpaceDE w:val="0"/>
        <w:autoSpaceDN w:val="0"/>
        <w:spacing w:line="360" w:lineRule="auto"/>
        <w:textAlignment w:val="baseline"/>
        <w:rPr>
          <w:rFonts w:ascii="Times New Roman" w:hAnsi="Times New Roman" w:cs="宋体"/>
          <w:bCs/>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062BB5BA">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兹授权</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single"/>
        </w:rPr>
        <w:t>（</w:t>
      </w:r>
      <w:r>
        <w:rPr>
          <w:rFonts w:hint="eastAsia" w:ascii="Times New Roman" w:hAnsi="Times New Roman" w:cs="宋体"/>
          <w:sz w:val="24"/>
          <w:szCs w:val="24"/>
        </w:rPr>
        <w:t>被授权人的姓名）代表我公司参加</w:t>
      </w:r>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病理科细胞室及包埋室通风系统改造项目</w:t>
      </w:r>
      <w:r>
        <w:rPr>
          <w:rFonts w:hint="eastAsia" w:ascii="Times New Roman" w:hAnsi="Times New Roman" w:cs="宋体"/>
          <w:sz w:val="24"/>
          <w:szCs w:val="24"/>
        </w:rPr>
        <w:t>（</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名称）项目的</w:t>
      </w:r>
      <w:r>
        <w:rPr>
          <w:rFonts w:hint="eastAsia" w:ascii="Times New Roman" w:hAnsi="Times New Roman" w:cs="宋体"/>
          <w:sz w:val="24"/>
          <w:szCs w:val="24"/>
          <w:lang w:eastAsia="zh-CN"/>
        </w:rPr>
        <w:t>比选活动</w:t>
      </w:r>
      <w:r>
        <w:rPr>
          <w:rFonts w:hint="eastAsia" w:ascii="Times New Roman" w:hAnsi="Times New Roman" w:cs="宋体"/>
          <w:sz w:val="24"/>
          <w:szCs w:val="24"/>
        </w:rPr>
        <w:t>，全权处理一切与该项目招标有关的事务。其在办理上述事宜过程中所签署的所有文件我公司均予以承认。</w:t>
      </w:r>
    </w:p>
    <w:p w14:paraId="4B74F8ED">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cs="宋体"/>
          <w:sz w:val="24"/>
          <w:szCs w:val="24"/>
        </w:rPr>
        <w:t>被授权人无转委托权。特此委托。</w:t>
      </w:r>
    </w:p>
    <w:p w14:paraId="57C32309">
      <w:pPr>
        <w:kinsoku w:val="0"/>
        <w:overflowPunct w:val="0"/>
        <w:autoSpaceDE w:val="0"/>
        <w:autoSpaceDN w:val="0"/>
        <w:spacing w:line="360" w:lineRule="auto"/>
        <w:textAlignment w:val="baseline"/>
        <w:rPr>
          <w:rFonts w:ascii="Times New Roman" w:hAnsi="Times New Roman" w:cs="宋体"/>
          <w:sz w:val="24"/>
          <w:szCs w:val="24"/>
        </w:rPr>
      </w:pPr>
    </w:p>
    <w:p w14:paraId="2DCBEF8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附：被授权人情况：</w:t>
      </w:r>
    </w:p>
    <w:p w14:paraId="74B045D2">
      <w:pPr>
        <w:kinsoku w:val="0"/>
        <w:overflowPunct w:val="0"/>
        <w:autoSpaceDE w:val="0"/>
        <w:autoSpaceDN w:val="0"/>
        <w:spacing w:line="360" w:lineRule="auto"/>
        <w:textAlignment w:val="baseline"/>
        <w:rPr>
          <w:rFonts w:ascii="Times New Roman" w:hAnsi="Times New Roman" w:cs="宋体"/>
          <w:sz w:val="24"/>
          <w:szCs w:val="24"/>
          <w:u w:val="single"/>
        </w:rPr>
      </w:pPr>
      <w:r>
        <w:rPr>
          <w:rFonts w:hint="eastAsia" w:ascii="Times New Roman" w:hAnsi="Times New Roman" w:cs="宋体"/>
          <w:sz w:val="24"/>
          <w:szCs w:val="24"/>
        </w:rPr>
        <w:t>姓名：性别：年龄：职务：</w:t>
      </w:r>
    </w:p>
    <w:p w14:paraId="7375A7C1">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身份证号码：</w:t>
      </w:r>
    </w:p>
    <w:p w14:paraId="08531F6D">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手机：传真：</w:t>
      </w:r>
    </w:p>
    <w:p w14:paraId="3022E33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 </w:t>
      </w:r>
    </w:p>
    <w:p w14:paraId="103E59E7">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单位名称（公章）法定代表人（签字或盖章）</w:t>
      </w:r>
    </w:p>
    <w:p w14:paraId="446487DF">
      <w:pPr>
        <w:kinsoku w:val="0"/>
        <w:overflowPunct w:val="0"/>
        <w:autoSpaceDE w:val="0"/>
        <w:autoSpaceDN w:val="0"/>
        <w:spacing w:line="360" w:lineRule="auto"/>
        <w:ind w:firstLine="1200" w:firstLineChars="500"/>
        <w:textAlignment w:val="baseline"/>
        <w:rPr>
          <w:rFonts w:ascii="Times New Roman" w:hAnsi="Times New Roman" w:cs="宋体"/>
          <w:sz w:val="24"/>
          <w:szCs w:val="24"/>
        </w:rPr>
      </w:pPr>
      <w:r>
        <w:rPr>
          <w:rFonts w:hint="eastAsia" w:ascii="Times New Roman" w:hAnsi="Times New Roman" w:cs="宋体"/>
          <w:sz w:val="24"/>
          <w:szCs w:val="24"/>
        </w:rPr>
        <w:t>年月日年月日</w:t>
      </w:r>
    </w:p>
    <w:p w14:paraId="6CD0537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法定代表人身份证复印件</w:t>
      </w:r>
    </w:p>
    <w:p w14:paraId="6FDF970F">
      <w:pPr>
        <w:kinsoku w:val="0"/>
        <w:overflowPunct w:val="0"/>
        <w:autoSpaceDE w:val="0"/>
        <w:autoSpaceDN w:val="0"/>
        <w:spacing w:line="360" w:lineRule="auto"/>
        <w:ind w:firstLine="3960" w:firstLineChars="1650"/>
        <w:textAlignment w:val="baseline"/>
        <w:rPr>
          <w:rFonts w:ascii="Times New Roman" w:hAnsi="Times New Roman" w:cs="宋体"/>
          <w:sz w:val="24"/>
          <w:szCs w:val="24"/>
        </w:rPr>
      </w:pPr>
      <w:r>
        <w:rPr>
          <w:rFonts w:hint="eastAsia" w:ascii="Times New Roman" w:hAnsi="Times New Roman" w:cs="宋体"/>
          <w:sz w:val="24"/>
          <w:szCs w:val="24"/>
        </w:rPr>
        <w:t>（粘贴此处）</w:t>
      </w:r>
    </w:p>
    <w:p w14:paraId="4ABE52D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被授权人身份证复印件</w:t>
      </w:r>
    </w:p>
    <w:p w14:paraId="06D962D4">
      <w:pPr>
        <w:kinsoku w:val="0"/>
        <w:overflowPunct w:val="0"/>
        <w:autoSpaceDE w:val="0"/>
        <w:autoSpaceDN w:val="0"/>
        <w:spacing w:line="360" w:lineRule="auto"/>
        <w:jc w:val="center"/>
        <w:textAlignment w:val="baseline"/>
        <w:rPr>
          <w:rFonts w:ascii="Times New Roman" w:hAnsi="Times New Roman" w:cs="宋体"/>
          <w:b/>
          <w:bCs/>
          <w:sz w:val="24"/>
          <w:szCs w:val="24"/>
        </w:rPr>
      </w:pPr>
      <w:r>
        <w:rPr>
          <w:rFonts w:hint="eastAsia" w:ascii="Times New Roman" w:hAnsi="Times New Roman" w:cs="宋体"/>
          <w:sz w:val="24"/>
          <w:szCs w:val="24"/>
        </w:rPr>
        <w:t>（粘贴此处）</w:t>
      </w:r>
    </w:p>
    <w:p w14:paraId="33777940">
      <w:pPr>
        <w:kinsoku w:val="0"/>
        <w:overflowPunct w:val="0"/>
        <w:autoSpaceDE w:val="0"/>
        <w:autoSpaceDN w:val="0"/>
        <w:spacing w:line="360" w:lineRule="auto"/>
        <w:textAlignment w:val="baseline"/>
        <w:rPr>
          <w:rFonts w:ascii="Times New Roman" w:hAnsi="Times New Roman" w:cs="宋体"/>
          <w:b/>
          <w:bCs/>
          <w:sz w:val="24"/>
          <w:szCs w:val="24"/>
        </w:rPr>
      </w:pPr>
      <w:r>
        <w:rPr>
          <w:rFonts w:hint="eastAsia" w:ascii="Times New Roman" w:hAnsi="Times New Roman" w:cs="宋体"/>
          <w:b/>
          <w:bCs/>
          <w:sz w:val="24"/>
          <w:szCs w:val="24"/>
        </w:rPr>
        <w:t>注:参加</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时被授权人将身份证原件带至</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现场备查。</w:t>
      </w:r>
    </w:p>
    <w:p w14:paraId="43FC2FD5">
      <w:pPr>
        <w:kinsoku w:val="0"/>
        <w:overflowPunct w:val="0"/>
        <w:autoSpaceDE w:val="0"/>
        <w:autoSpaceDN w:val="0"/>
        <w:spacing w:line="360" w:lineRule="auto"/>
        <w:jc w:val="both"/>
        <w:rPr>
          <w:rFonts w:ascii="Times New Roman" w:hAnsi="Times New Roman" w:cs="宋体"/>
          <w:b/>
          <w:bCs/>
          <w:sz w:val="24"/>
          <w:szCs w:val="24"/>
        </w:rPr>
      </w:pPr>
    </w:p>
    <w:p w14:paraId="1966F61E">
      <w:pPr>
        <w:kinsoku w:val="0"/>
        <w:overflowPunct w:val="0"/>
        <w:autoSpaceDE w:val="0"/>
        <w:autoSpaceDN w:val="0"/>
        <w:spacing w:line="360" w:lineRule="auto"/>
        <w:jc w:val="both"/>
        <w:rPr>
          <w:rFonts w:ascii="Times New Roman" w:hAnsi="Times New Roman" w:cs="宋体"/>
          <w:b/>
          <w:bCs/>
          <w:sz w:val="24"/>
          <w:szCs w:val="24"/>
        </w:rPr>
      </w:pPr>
    </w:p>
    <w:p w14:paraId="30922A58">
      <w:pPr>
        <w:kinsoku w:val="0"/>
        <w:overflowPunct w:val="0"/>
        <w:autoSpaceDE w:val="0"/>
        <w:autoSpaceDN w:val="0"/>
        <w:spacing w:line="360" w:lineRule="auto"/>
        <w:jc w:val="center"/>
        <w:rPr>
          <w:rFonts w:ascii="Times New Roman" w:hAnsi="Times New Roman"/>
        </w:rPr>
      </w:pPr>
      <w:r>
        <w:rPr>
          <w:rFonts w:ascii="Times New Roman" w:hAnsi="Times New Roman" w:cs="宋体"/>
          <w:b/>
          <w:bCs/>
          <w:sz w:val="24"/>
          <w:szCs w:val="24"/>
        </w:rPr>
        <w:br w:type="page"/>
      </w:r>
      <w:r>
        <w:rPr>
          <w:rFonts w:hint="eastAsia" w:ascii="Times New Roman" w:hAnsi="Times New Roman" w:cs="宋体"/>
          <w:b/>
          <w:bCs/>
          <w:sz w:val="24"/>
          <w:szCs w:val="24"/>
          <w:lang w:val="en-US" w:eastAsia="zh-CN"/>
        </w:rPr>
        <w:t>3</w:t>
      </w:r>
      <w:r>
        <w:rPr>
          <w:rFonts w:hint="eastAsia" w:ascii="Times New Roman" w:hAnsi="Times New Roman" w:cs="宋体"/>
          <w:b/>
          <w:sz w:val="24"/>
          <w:szCs w:val="24"/>
        </w:rPr>
        <w:t>、</w:t>
      </w:r>
      <w:r>
        <w:rPr>
          <w:rFonts w:hint="eastAsia" w:ascii="Times New Roman" w:hAnsi="Times New Roman" w:cs="宋体"/>
          <w:b/>
          <w:sz w:val="24"/>
          <w:szCs w:val="24"/>
          <w:lang w:eastAsia="zh-CN"/>
        </w:rPr>
        <w:t>比选</w:t>
      </w:r>
      <w:r>
        <w:rPr>
          <w:rFonts w:hint="eastAsia" w:ascii="Times New Roman" w:hAnsi="Times New Roman" w:cs="宋体"/>
          <w:b/>
          <w:sz w:val="24"/>
          <w:szCs w:val="24"/>
        </w:rPr>
        <w:t>响应报价表</w:t>
      </w:r>
    </w:p>
    <w:p w14:paraId="0AB01F8A">
      <w:pPr>
        <w:kinsoku w:val="0"/>
        <w:overflowPunct w:val="0"/>
        <w:autoSpaceDE w:val="0"/>
        <w:autoSpaceDN w:val="0"/>
        <w:spacing w:line="360" w:lineRule="auto"/>
        <w:ind w:firstLine="241" w:firstLineChars="100"/>
        <w:textAlignment w:val="baseline"/>
        <w:rPr>
          <w:rFonts w:ascii="Times New Roman" w:hAnsi="Times New Roman"/>
          <w:b/>
          <w:sz w:val="24"/>
          <w:szCs w:val="24"/>
        </w:rPr>
      </w:pPr>
      <w:r>
        <w:rPr>
          <w:rFonts w:hint="eastAsia" w:ascii="Times New Roman" w:hAnsi="Times New Roman"/>
          <w:b/>
          <w:sz w:val="24"/>
          <w:szCs w:val="24"/>
        </w:rPr>
        <w:t>项目</w:t>
      </w:r>
      <w:r>
        <w:rPr>
          <w:rFonts w:ascii="Times New Roman" w:hAnsi="Times New Roman"/>
          <w:b/>
          <w:sz w:val="24"/>
          <w:szCs w:val="24"/>
        </w:rPr>
        <w:t>名称：</w:t>
      </w:r>
      <w:r>
        <w:rPr>
          <w:rFonts w:hint="eastAsia" w:ascii="Times New Roman" w:hAnsi="Times New Roman"/>
          <w:sz w:val="24"/>
          <w:szCs w:val="24"/>
        </w:rPr>
        <w:t>南通市第三人民</w:t>
      </w:r>
      <w:r>
        <w:rPr>
          <w:rFonts w:hint="eastAsia" w:ascii="Times New Roman" w:hAnsi="Times New Roman"/>
          <w:sz w:val="24"/>
          <w:szCs w:val="24"/>
          <w:u w:val="none"/>
        </w:rPr>
        <w:t>医院</w:t>
      </w:r>
      <w:r>
        <w:rPr>
          <w:rFonts w:hint="eastAsia" w:ascii="Times New Roman" w:hAnsi="Times New Roman"/>
          <w:sz w:val="24"/>
          <w:szCs w:val="24"/>
          <w:u w:val="none"/>
          <w:lang w:eastAsia="zh-CN"/>
        </w:rPr>
        <w:t>病理科细胞室及包埋室通风系统改造项目</w:t>
      </w:r>
    </w:p>
    <w:tbl>
      <w:tblPr>
        <w:tblStyle w:val="13"/>
        <w:tblW w:w="91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6"/>
        <w:gridCol w:w="5658"/>
        <w:gridCol w:w="2152"/>
      </w:tblGrid>
      <w:tr w14:paraId="27913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6E20726A">
            <w:pPr>
              <w:kinsoku w:val="0"/>
              <w:overflowPunct w:val="0"/>
              <w:autoSpaceDE w:val="0"/>
              <w:autoSpaceDN w:val="0"/>
              <w:spacing w:line="360" w:lineRule="auto"/>
              <w:jc w:val="center"/>
              <w:textAlignment w:val="baseline"/>
              <w:rPr>
                <w:rFonts w:hint="eastAsia" w:ascii="Times New Roman" w:hAnsi="Times New Roman" w:eastAsia="宋体"/>
                <w:b/>
                <w:sz w:val="24"/>
                <w:szCs w:val="24"/>
                <w:lang w:eastAsia="zh-CN"/>
              </w:rPr>
            </w:pPr>
            <w:r>
              <w:rPr>
                <w:rFonts w:hint="eastAsia" w:ascii="Times New Roman" w:hAnsi="Times New Roman"/>
                <w:b/>
                <w:sz w:val="24"/>
                <w:szCs w:val="24"/>
                <w:lang w:eastAsia="zh-CN"/>
              </w:rPr>
              <w:t>包号</w:t>
            </w:r>
          </w:p>
        </w:tc>
        <w:tc>
          <w:tcPr>
            <w:tcW w:w="5658" w:type="dxa"/>
            <w:tcBorders>
              <w:top w:val="single" w:color="auto" w:sz="4" w:space="0"/>
              <w:left w:val="single" w:color="auto" w:sz="4" w:space="0"/>
              <w:bottom w:val="single" w:color="auto" w:sz="4" w:space="0"/>
              <w:right w:val="single" w:color="auto" w:sz="4" w:space="0"/>
            </w:tcBorders>
            <w:noWrap w:val="0"/>
            <w:vAlign w:val="center"/>
          </w:tcPr>
          <w:p w14:paraId="3F7F4D72">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lang w:eastAsia="zh-CN"/>
              </w:rPr>
              <w:t>响应单</w:t>
            </w:r>
            <w:r>
              <w:rPr>
                <w:rFonts w:hint="eastAsia" w:ascii="Times New Roman" w:hAnsi="Times New Roman"/>
                <w:b/>
                <w:sz w:val="24"/>
                <w:szCs w:val="24"/>
              </w:rPr>
              <w:t>价（元）</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36C4EC5D">
            <w:pPr>
              <w:kinsoku w:val="0"/>
              <w:overflowPunct w:val="0"/>
              <w:autoSpaceDE w:val="0"/>
              <w:autoSpaceDN w:val="0"/>
              <w:spacing w:line="360" w:lineRule="auto"/>
              <w:jc w:val="center"/>
              <w:textAlignment w:val="baseline"/>
              <w:rPr>
                <w:rFonts w:hint="eastAsia" w:ascii="Times New Roman" w:hAnsi="Times New Roman" w:eastAsia="宋体"/>
                <w:b/>
                <w:sz w:val="24"/>
                <w:szCs w:val="24"/>
                <w:lang w:eastAsia="zh-CN"/>
              </w:rPr>
            </w:pPr>
            <w:r>
              <w:rPr>
                <w:rFonts w:hint="eastAsia" w:ascii="Times New Roman" w:hAnsi="Times New Roman"/>
                <w:b/>
                <w:sz w:val="24"/>
                <w:szCs w:val="24"/>
                <w:lang w:val="en-US" w:eastAsia="zh-CN"/>
              </w:rPr>
              <w:t>备注</w:t>
            </w:r>
          </w:p>
        </w:tc>
      </w:tr>
      <w:tr w14:paraId="65594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1316" w:type="dxa"/>
            <w:vMerge w:val="restart"/>
            <w:tcBorders>
              <w:top w:val="single" w:color="auto" w:sz="4" w:space="0"/>
              <w:left w:val="single" w:color="auto" w:sz="4" w:space="0"/>
              <w:right w:val="single" w:color="auto" w:sz="4" w:space="0"/>
            </w:tcBorders>
            <w:noWrap w:val="0"/>
            <w:vAlign w:val="center"/>
          </w:tcPr>
          <w:p w14:paraId="00210A7C">
            <w:pPr>
              <w:kinsoku w:val="0"/>
              <w:overflowPunct w:val="0"/>
              <w:autoSpaceDE w:val="0"/>
              <w:autoSpaceDN w:val="0"/>
              <w:spacing w:line="360" w:lineRule="auto"/>
              <w:jc w:val="center"/>
              <w:textAlignment w:val="baseline"/>
              <w:rPr>
                <w:rFonts w:hint="eastAsia" w:ascii="Times New Roman" w:hAnsi="Times New Roman" w:eastAsia="宋体"/>
                <w:b/>
                <w:bCs/>
                <w:sz w:val="24"/>
                <w:szCs w:val="24"/>
                <w:lang w:val="en-US" w:eastAsia="zh-CN"/>
              </w:rPr>
            </w:pPr>
            <w:r>
              <w:rPr>
                <w:rFonts w:hint="eastAsia" w:ascii="Times New Roman" w:hAnsi="Times New Roman"/>
                <w:b/>
                <w:bCs/>
                <w:sz w:val="24"/>
                <w:szCs w:val="24"/>
                <w:lang w:val="en-US" w:eastAsia="zh-CN"/>
              </w:rPr>
              <w:t>1</w:t>
            </w:r>
          </w:p>
        </w:tc>
        <w:tc>
          <w:tcPr>
            <w:tcW w:w="5658" w:type="dxa"/>
            <w:vMerge w:val="restart"/>
            <w:tcBorders>
              <w:top w:val="single" w:color="auto" w:sz="4" w:space="0"/>
              <w:left w:val="single" w:color="auto" w:sz="4" w:space="0"/>
              <w:right w:val="single" w:color="auto" w:sz="4" w:space="0"/>
            </w:tcBorders>
            <w:noWrap w:val="0"/>
            <w:vAlign w:val="center"/>
          </w:tcPr>
          <w:p w14:paraId="6EBE8299">
            <w:pPr>
              <w:kinsoku w:val="0"/>
              <w:overflowPunct w:val="0"/>
              <w:autoSpaceDE w:val="0"/>
              <w:autoSpaceDN w:val="0"/>
              <w:spacing w:line="360" w:lineRule="auto"/>
              <w:textAlignment w:val="baseline"/>
              <w:rPr>
                <w:sz w:val="24"/>
                <w:szCs w:val="24"/>
              </w:rPr>
            </w:pPr>
            <w:r>
              <w:rPr>
                <w:rFonts w:hint="eastAsia"/>
                <w:sz w:val="24"/>
                <w:szCs w:val="24"/>
              </w:rPr>
              <w:t>大写（人民币）：</w:t>
            </w:r>
            <w:r>
              <w:rPr>
                <w:rFonts w:hint="eastAsia"/>
                <w:sz w:val="24"/>
                <w:szCs w:val="24"/>
                <w:lang w:val="en-US" w:eastAsia="zh-CN"/>
              </w:rPr>
              <w:t xml:space="preserve">              </w:t>
            </w:r>
            <w:r>
              <w:rPr>
                <w:rFonts w:hint="eastAsia"/>
                <w:b w:val="0"/>
                <w:bCs w:val="0"/>
                <w:sz w:val="24"/>
                <w:szCs w:val="24"/>
                <w:lang w:val="en-US" w:eastAsia="zh-CN"/>
              </w:rPr>
              <w:t>元</w:t>
            </w:r>
          </w:p>
          <w:p w14:paraId="4991E584">
            <w:pPr>
              <w:kinsoku w:val="0"/>
              <w:overflowPunct w:val="0"/>
              <w:autoSpaceDE w:val="0"/>
              <w:autoSpaceDN w:val="0"/>
              <w:spacing w:line="360" w:lineRule="auto"/>
              <w:jc w:val="both"/>
              <w:textAlignment w:val="baseline"/>
              <w:rPr>
                <w:sz w:val="24"/>
                <w:szCs w:val="24"/>
              </w:rPr>
            </w:pPr>
            <w:r>
              <w:rPr>
                <w:rFonts w:hint="eastAsia"/>
                <w:sz w:val="24"/>
                <w:szCs w:val="24"/>
              </w:rPr>
              <w:t>小写（￥）：</w:t>
            </w:r>
            <w:r>
              <w:rPr>
                <w:rFonts w:hint="eastAsia"/>
                <w:sz w:val="24"/>
                <w:szCs w:val="24"/>
                <w:lang w:val="en-US" w:eastAsia="zh-CN"/>
              </w:rPr>
              <w:t xml:space="preserve">                  </w:t>
            </w:r>
            <w:r>
              <w:rPr>
                <w:rFonts w:hint="eastAsia"/>
                <w:b w:val="0"/>
                <w:bCs w:val="0"/>
                <w:sz w:val="24"/>
                <w:szCs w:val="24"/>
                <w:lang w:val="en-US" w:eastAsia="zh-CN"/>
              </w:rPr>
              <w:t>元</w:t>
            </w:r>
          </w:p>
        </w:tc>
        <w:tc>
          <w:tcPr>
            <w:tcW w:w="2152" w:type="dxa"/>
            <w:vMerge w:val="restart"/>
            <w:tcBorders>
              <w:top w:val="single" w:color="auto" w:sz="4" w:space="0"/>
              <w:left w:val="single" w:color="auto" w:sz="4" w:space="0"/>
              <w:right w:val="single" w:color="auto" w:sz="4" w:space="0"/>
            </w:tcBorders>
            <w:noWrap w:val="0"/>
            <w:vAlign w:val="center"/>
          </w:tcPr>
          <w:p w14:paraId="3B8EC6C1">
            <w:pPr>
              <w:kinsoku w:val="0"/>
              <w:overflowPunct w:val="0"/>
              <w:autoSpaceDE w:val="0"/>
              <w:autoSpaceDN w:val="0"/>
              <w:spacing w:line="360" w:lineRule="auto"/>
              <w:textAlignment w:val="baseline"/>
              <w:rPr>
                <w:rFonts w:ascii="Times New Roman" w:hAnsi="Times New Roman"/>
                <w:sz w:val="24"/>
                <w:szCs w:val="24"/>
              </w:rPr>
            </w:pPr>
          </w:p>
        </w:tc>
      </w:tr>
      <w:tr w14:paraId="347C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1316" w:type="dxa"/>
            <w:vMerge w:val="continue"/>
            <w:tcBorders>
              <w:left w:val="single" w:color="auto" w:sz="4" w:space="0"/>
              <w:right w:val="single" w:color="auto" w:sz="4" w:space="0"/>
            </w:tcBorders>
            <w:noWrap w:val="0"/>
            <w:vAlign w:val="center"/>
          </w:tcPr>
          <w:p w14:paraId="01A0964B">
            <w:pPr>
              <w:kinsoku w:val="0"/>
              <w:overflowPunct w:val="0"/>
              <w:autoSpaceDE w:val="0"/>
              <w:autoSpaceDN w:val="0"/>
              <w:spacing w:line="360" w:lineRule="auto"/>
              <w:textAlignment w:val="baseline"/>
              <w:rPr>
                <w:rFonts w:ascii="Times New Roman" w:hAnsi="Times New Roman"/>
                <w:bCs/>
                <w:sz w:val="24"/>
                <w:szCs w:val="24"/>
              </w:rPr>
            </w:pPr>
          </w:p>
        </w:tc>
        <w:tc>
          <w:tcPr>
            <w:tcW w:w="5658" w:type="dxa"/>
            <w:vMerge w:val="continue"/>
            <w:tcBorders>
              <w:left w:val="single" w:color="auto" w:sz="4" w:space="0"/>
              <w:bottom w:val="single" w:color="auto" w:sz="4" w:space="0"/>
              <w:right w:val="single" w:color="auto" w:sz="4" w:space="0"/>
            </w:tcBorders>
            <w:noWrap w:val="0"/>
            <w:vAlign w:val="center"/>
          </w:tcPr>
          <w:p w14:paraId="1D6693FF">
            <w:pPr>
              <w:kinsoku w:val="0"/>
              <w:overflowPunct w:val="0"/>
              <w:autoSpaceDE w:val="0"/>
              <w:autoSpaceDN w:val="0"/>
              <w:spacing w:line="360" w:lineRule="auto"/>
              <w:jc w:val="center"/>
              <w:textAlignment w:val="baseline"/>
              <w:rPr>
                <w:rFonts w:ascii="Times New Roman" w:hAnsi="Times New Roman"/>
                <w:bCs/>
                <w:sz w:val="24"/>
                <w:szCs w:val="24"/>
              </w:rPr>
            </w:pPr>
          </w:p>
        </w:tc>
        <w:tc>
          <w:tcPr>
            <w:tcW w:w="2152" w:type="dxa"/>
            <w:vMerge w:val="continue"/>
            <w:tcBorders>
              <w:left w:val="single" w:color="auto" w:sz="4" w:space="0"/>
              <w:bottom w:val="single" w:color="auto" w:sz="4" w:space="0"/>
              <w:right w:val="single" w:color="auto" w:sz="4" w:space="0"/>
            </w:tcBorders>
            <w:noWrap w:val="0"/>
            <w:vAlign w:val="center"/>
          </w:tcPr>
          <w:p w14:paraId="684B60D8">
            <w:pPr>
              <w:kinsoku w:val="0"/>
              <w:overflowPunct w:val="0"/>
              <w:autoSpaceDE w:val="0"/>
              <w:autoSpaceDN w:val="0"/>
              <w:spacing w:line="360" w:lineRule="auto"/>
              <w:textAlignment w:val="baseline"/>
              <w:rPr>
                <w:rFonts w:ascii="Times New Roman" w:hAnsi="Times New Roman"/>
                <w:sz w:val="24"/>
                <w:szCs w:val="24"/>
              </w:rPr>
            </w:pPr>
          </w:p>
        </w:tc>
      </w:tr>
    </w:tbl>
    <w:p w14:paraId="08C51B04">
      <w:pPr>
        <w:kinsoku w:val="0"/>
        <w:overflowPunct w:val="0"/>
        <w:autoSpaceDE w:val="0"/>
        <w:autoSpaceDN w:val="0"/>
        <w:spacing w:line="360" w:lineRule="auto"/>
        <w:ind w:firstLine="3120" w:firstLineChars="1300"/>
        <w:textAlignment w:val="baseline"/>
        <w:rPr>
          <w:rFonts w:ascii="Times New Roman" w:hAnsi="Times New Roman"/>
          <w:sz w:val="24"/>
          <w:szCs w:val="24"/>
        </w:rPr>
      </w:pPr>
      <w:r>
        <w:rPr>
          <w:rFonts w:hint="eastAsia" w:ascii="Times New Roman" w:hAnsi="Times New Roman"/>
          <w:sz w:val="24"/>
          <w:szCs w:val="24"/>
        </w:rPr>
        <w:t>投标响应单位：（加盖公章）</w:t>
      </w:r>
    </w:p>
    <w:p w14:paraId="362AA115">
      <w:pPr>
        <w:kinsoku w:val="0"/>
        <w:overflowPunct w:val="0"/>
        <w:autoSpaceDE w:val="0"/>
        <w:autoSpaceDN w:val="0"/>
        <w:spacing w:line="360" w:lineRule="auto"/>
        <w:jc w:val="center"/>
        <w:textAlignment w:val="baseline"/>
        <w:rPr>
          <w:rFonts w:ascii="Times New Roman" w:hAnsi="Times New Roman"/>
          <w:sz w:val="24"/>
          <w:szCs w:val="24"/>
        </w:rPr>
      </w:pPr>
      <w:r>
        <w:rPr>
          <w:rFonts w:hint="eastAsia" w:ascii="Times New Roman" w:hAnsi="Times New Roman" w:cs="宋体"/>
          <w:sz w:val="24"/>
          <w:szCs w:val="24"/>
          <w:lang w:val="en-US" w:eastAsia="zh-CN"/>
        </w:rPr>
        <w:t xml:space="preserve">            </w:t>
      </w:r>
      <w:r>
        <w:rPr>
          <w:rFonts w:hint="eastAsia" w:ascii="Times New Roman" w:hAnsi="Times New Roman" w:cs="宋体"/>
          <w:sz w:val="24"/>
          <w:szCs w:val="24"/>
          <w:lang w:val="zh-CN"/>
        </w:rPr>
        <w:t>法定代表人或其授权委托人：</w:t>
      </w:r>
      <w:r>
        <w:rPr>
          <w:rFonts w:hint="eastAsia" w:ascii="Times New Roman" w:hAnsi="Times New Roman" w:cs="宋体"/>
          <w:bCs/>
          <w:spacing w:val="10"/>
          <w:sz w:val="24"/>
          <w:szCs w:val="24"/>
        </w:rPr>
        <w:t>（签字或盖章）</w:t>
      </w:r>
    </w:p>
    <w:p w14:paraId="07A59E5D">
      <w:pPr>
        <w:pStyle w:val="6"/>
        <w:kinsoku w:val="0"/>
        <w:overflowPunct w:val="0"/>
        <w:autoSpaceDE w:val="0"/>
        <w:autoSpaceDN w:val="0"/>
        <w:spacing w:line="360" w:lineRule="auto"/>
        <w:ind w:left="0"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14:paraId="18D29136">
      <w:pPr>
        <w:kinsoku w:val="0"/>
        <w:overflowPunct w:val="0"/>
        <w:autoSpaceDE w:val="0"/>
        <w:autoSpaceDN w:val="0"/>
        <w:spacing w:line="360" w:lineRule="auto"/>
        <w:textAlignment w:val="baseline"/>
        <w:rPr>
          <w:rFonts w:hint="eastAsia" w:ascii="Times New Roman" w:hAnsi="Times New Roman"/>
          <w:b/>
          <w:sz w:val="24"/>
          <w:szCs w:val="24"/>
        </w:rPr>
      </w:pPr>
    </w:p>
    <w:p w14:paraId="56696582">
      <w:pPr>
        <w:kinsoku w:val="0"/>
        <w:overflowPunct w:val="0"/>
        <w:autoSpaceDE w:val="0"/>
        <w:autoSpaceDN w:val="0"/>
        <w:spacing w:line="360" w:lineRule="auto"/>
        <w:textAlignment w:val="baseline"/>
        <w:rPr>
          <w:rFonts w:ascii="Times New Roman" w:hAnsi="Times New Roman"/>
          <w:b/>
          <w:sz w:val="24"/>
          <w:szCs w:val="24"/>
        </w:rPr>
      </w:pPr>
      <w:r>
        <w:rPr>
          <w:rFonts w:hint="eastAsia" w:ascii="Times New Roman" w:hAnsi="Times New Roman"/>
          <w:b/>
          <w:sz w:val="24"/>
          <w:szCs w:val="24"/>
        </w:rPr>
        <w:t>注：</w:t>
      </w:r>
    </w:p>
    <w:p w14:paraId="0ECF9EDF">
      <w:pPr>
        <w:numPr>
          <w:ilvl w:val="0"/>
          <w:numId w:val="3"/>
        </w:numPr>
        <w:kinsoku w:val="0"/>
        <w:overflowPunct w:val="0"/>
        <w:autoSpaceDE w:val="0"/>
        <w:autoSpaceDN w:val="0"/>
        <w:spacing w:line="360" w:lineRule="auto"/>
        <w:ind w:left="0" w:firstLine="240" w:firstLineChars="100"/>
        <w:textAlignment w:val="baseline"/>
        <w:rPr>
          <w:rFonts w:ascii="Times New Roman" w:hAnsi="Times New Roman" w:cs="宋体"/>
          <w:sz w:val="24"/>
          <w:szCs w:val="24"/>
        </w:rPr>
      </w:pPr>
      <w:r>
        <w:rPr>
          <w:rFonts w:ascii="Times New Roman" w:hAnsi="Times New Roman"/>
          <w:sz w:val="24"/>
          <w:szCs w:val="24"/>
        </w:rPr>
        <w:t>本表</w:t>
      </w:r>
      <w:r>
        <w:rPr>
          <w:rFonts w:hint="eastAsia" w:ascii="Times New Roman" w:hAnsi="Times New Roman"/>
          <w:sz w:val="24"/>
          <w:szCs w:val="24"/>
        </w:rPr>
        <w:t>为格式表</w:t>
      </w:r>
      <w:r>
        <w:rPr>
          <w:rFonts w:ascii="Times New Roman" w:hAnsi="Times New Roman"/>
          <w:sz w:val="24"/>
          <w:szCs w:val="24"/>
        </w:rPr>
        <w:t>，</w:t>
      </w:r>
      <w:r>
        <w:rPr>
          <w:rFonts w:hint="eastAsia" w:ascii="Times New Roman" w:hAnsi="Times New Roman"/>
          <w:sz w:val="24"/>
          <w:szCs w:val="24"/>
        </w:rPr>
        <w:t>不得自行改动，必须提供</w:t>
      </w:r>
      <w:r>
        <w:rPr>
          <w:rFonts w:ascii="Times New Roman" w:hAnsi="Times New Roman"/>
          <w:sz w:val="24"/>
          <w:szCs w:val="24"/>
        </w:rPr>
        <w:t>。</w:t>
      </w:r>
    </w:p>
    <w:p w14:paraId="07D112CB">
      <w:pPr>
        <w:numPr>
          <w:ilvl w:val="0"/>
          <w:numId w:val="3"/>
        </w:numPr>
        <w:kinsoku w:val="0"/>
        <w:overflowPunct w:val="0"/>
        <w:autoSpaceDE w:val="0"/>
        <w:autoSpaceDN w:val="0"/>
        <w:spacing w:line="360" w:lineRule="auto"/>
        <w:ind w:left="0" w:firstLine="240" w:firstLineChars="100"/>
        <w:textAlignment w:val="baseline"/>
        <w:rPr>
          <w:rFonts w:ascii="Times New Roman" w:hAnsi="Times New Roman" w:cs="宋体"/>
          <w:sz w:val="24"/>
          <w:szCs w:val="24"/>
        </w:rPr>
      </w:pPr>
      <w:r>
        <w:rPr>
          <w:rFonts w:hint="eastAsia" w:ascii="Times New Roman" w:hAnsi="Times New Roman"/>
          <w:sz w:val="24"/>
          <w:szCs w:val="24"/>
        </w:rPr>
        <w:t>响应报价应包括完成本项目所需的一切费用，包括但不限于各种税费、人工、保险、劳保、管理、维护、检验检测费、利润、税金、政策性文件规定及合同包含的所有风险、责任等各项应有费用。即完成本采购项目服务的所有费用及包含响应</w:t>
      </w:r>
      <w:r>
        <w:rPr>
          <w:rFonts w:hint="eastAsia" w:ascii="Times New Roman" w:hAnsi="Times New Roman"/>
          <w:sz w:val="24"/>
          <w:szCs w:val="24"/>
          <w:lang w:eastAsia="zh-CN"/>
        </w:rPr>
        <w:t>比选文件</w:t>
      </w:r>
      <w:r>
        <w:rPr>
          <w:rFonts w:hint="eastAsia" w:ascii="Times New Roman" w:hAnsi="Times New Roman"/>
          <w:sz w:val="24"/>
          <w:szCs w:val="24"/>
        </w:rPr>
        <w:t>采购要求的所有费用。同时，报价也应包含合同履行过程中可能发生的一切风险。</w:t>
      </w:r>
    </w:p>
    <w:p w14:paraId="0055A286">
      <w:pPr>
        <w:kinsoku w:val="0"/>
        <w:overflowPunct w:val="0"/>
        <w:autoSpaceDE w:val="0"/>
        <w:autoSpaceDN w:val="0"/>
        <w:spacing w:line="360" w:lineRule="auto"/>
        <w:jc w:val="center"/>
        <w:rPr>
          <w:rFonts w:hint="eastAsia" w:ascii="Times New Roman" w:hAnsi="Times New Roman" w:cs="宋体"/>
          <w:b/>
          <w:bCs/>
          <w:sz w:val="28"/>
          <w:szCs w:val="28"/>
        </w:rPr>
      </w:pPr>
      <w:r>
        <w:rPr>
          <w:rFonts w:ascii="Times New Roman" w:hAnsi="Times New Roman"/>
          <w:lang w:val="zh-CN"/>
        </w:rPr>
        <w:br w:type="page"/>
      </w:r>
      <w:r>
        <w:rPr>
          <w:rFonts w:hint="eastAsia" w:ascii="Times New Roman" w:hAnsi="Times New Roman" w:cs="宋体"/>
          <w:b/>
          <w:sz w:val="24"/>
          <w:szCs w:val="24"/>
          <w:lang w:val="en-US" w:eastAsia="zh-CN"/>
        </w:rPr>
        <w:t>5</w:t>
      </w:r>
      <w:r>
        <w:rPr>
          <w:rFonts w:hint="eastAsia" w:ascii="Times New Roman" w:hAnsi="Times New Roman" w:cs="宋体"/>
          <w:b/>
          <w:sz w:val="24"/>
          <w:szCs w:val="24"/>
        </w:rPr>
        <w:t>、</w:t>
      </w:r>
      <w:r>
        <w:rPr>
          <w:rFonts w:hint="eastAsia" w:ascii="Times New Roman" w:hAnsi="Times New Roman" w:cs="宋体"/>
          <w:b/>
          <w:bCs/>
          <w:sz w:val="28"/>
          <w:szCs w:val="28"/>
        </w:rPr>
        <w:t>报名函</w:t>
      </w:r>
    </w:p>
    <w:p w14:paraId="4A40B42F">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lang w:eastAsia="zh-CN"/>
        </w:rPr>
        <w:t>南通市第三人民医院</w:t>
      </w:r>
      <w:r>
        <w:rPr>
          <w:rFonts w:hint="eastAsia" w:ascii="Times New Roman" w:hAnsi="Times New Roman" w:cs="Calibri"/>
          <w:sz w:val="24"/>
          <w:szCs w:val="24"/>
        </w:rPr>
        <w:t>：</w:t>
      </w:r>
    </w:p>
    <w:p w14:paraId="2688C826">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本单位将参与贵单位于＿＿月＿＿日进行的</w:t>
      </w:r>
      <w:r>
        <w:rPr>
          <w:rFonts w:hint="eastAsia" w:ascii="Times New Roman" w:hAnsi="Times New Roman" w:cs="Calibri"/>
          <w:sz w:val="24"/>
          <w:szCs w:val="24"/>
          <w:u w:val="single"/>
        </w:rPr>
        <w:t xml:space="preserve">       </w:t>
      </w:r>
      <w:r>
        <w:rPr>
          <w:rFonts w:hint="eastAsia" w:ascii="Times New Roman" w:hAnsi="Times New Roman" w:cs="Calibri"/>
          <w:sz w:val="24"/>
          <w:szCs w:val="24"/>
        </w:rPr>
        <w:t>项目的</w:t>
      </w:r>
      <w:r>
        <w:rPr>
          <w:rFonts w:hint="eastAsia" w:ascii="Times New Roman" w:hAnsi="Times New Roman" w:cs="Calibri"/>
          <w:sz w:val="24"/>
          <w:szCs w:val="24"/>
          <w:lang w:eastAsia="zh-CN"/>
        </w:rPr>
        <w:t>比选活动</w:t>
      </w:r>
      <w:r>
        <w:rPr>
          <w:rFonts w:hint="eastAsia" w:ascii="Times New Roman" w:hAnsi="Times New Roman" w:cs="Calibri"/>
          <w:sz w:val="24"/>
          <w:szCs w:val="24"/>
        </w:rPr>
        <w:t>，已在南通市第三人民医院官网上下载</w:t>
      </w:r>
      <w:r>
        <w:rPr>
          <w:rFonts w:hint="eastAsia" w:ascii="Times New Roman" w:hAnsi="Times New Roman" w:cs="Calibri"/>
          <w:sz w:val="24"/>
          <w:szCs w:val="24"/>
          <w:lang w:eastAsia="zh-CN"/>
        </w:rPr>
        <w:t>比选文件</w:t>
      </w:r>
      <w:r>
        <w:rPr>
          <w:rFonts w:hint="eastAsia" w:ascii="Times New Roman" w:hAnsi="Times New Roman" w:cs="Calibri"/>
          <w:sz w:val="24"/>
          <w:szCs w:val="24"/>
        </w:rPr>
        <w:t>，特发函报名确认。</w:t>
      </w:r>
    </w:p>
    <w:p w14:paraId="769832EA">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w:t>
      </w:r>
    </w:p>
    <w:p w14:paraId="762AC333">
      <w:pPr>
        <w:spacing w:line="360" w:lineRule="auto"/>
        <w:ind w:firstLine="480" w:firstLineChars="200"/>
        <w:rPr>
          <w:rFonts w:hint="eastAsia" w:ascii="Times New Roman" w:hAnsi="Times New Roman" w:cs="Calibri"/>
          <w:sz w:val="24"/>
          <w:szCs w:val="24"/>
        </w:rPr>
      </w:pPr>
    </w:p>
    <w:p w14:paraId="7D689471">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单位名称：</w:t>
      </w:r>
    </w:p>
    <w:p w14:paraId="77C89022">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联 系 人：</w:t>
      </w:r>
    </w:p>
    <w:p w14:paraId="631DD425">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联系电话：</w:t>
      </w:r>
    </w:p>
    <w:p w14:paraId="048CB2A9">
      <w:pPr>
        <w:spacing w:line="360" w:lineRule="auto"/>
        <w:rPr>
          <w:rFonts w:hint="eastAsia" w:ascii="Times New Roman" w:hAnsi="Times New Roman" w:cs="Calibri"/>
          <w:sz w:val="24"/>
          <w:szCs w:val="24"/>
        </w:rPr>
      </w:pPr>
    </w:p>
    <w:p w14:paraId="02D140C6">
      <w:pPr>
        <w:spacing w:line="360" w:lineRule="auto"/>
        <w:rPr>
          <w:rFonts w:hint="eastAsia" w:ascii="Times New Roman" w:hAnsi="Times New Roman" w:cs="Calibri"/>
          <w:sz w:val="24"/>
          <w:szCs w:val="24"/>
        </w:rPr>
      </w:pPr>
    </w:p>
    <w:p w14:paraId="67CA0DDD">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＿＿＿＿＿＿＿（单位公章）</w:t>
      </w:r>
    </w:p>
    <w:p w14:paraId="2525B21A">
      <w:pPr>
        <w:spacing w:line="360" w:lineRule="auto"/>
        <w:ind w:firstLine="480" w:firstLineChars="200"/>
        <w:jc w:val="right"/>
        <w:rPr>
          <w:rFonts w:hint="eastAsia" w:ascii="Times New Roman" w:hAnsi="Times New Roman" w:cs="Calibri"/>
          <w:sz w:val="24"/>
          <w:szCs w:val="24"/>
        </w:rPr>
      </w:pPr>
      <w:r>
        <w:rPr>
          <w:rFonts w:hint="eastAsia" w:ascii="Times New Roman" w:hAnsi="Times New Roman" w:cs="Calibri"/>
          <w:sz w:val="24"/>
          <w:szCs w:val="24"/>
        </w:rPr>
        <w:t>年　　　月　　　日</w:t>
      </w:r>
    </w:p>
    <w:p w14:paraId="756EB2A7">
      <w:pPr>
        <w:snapToGrid w:val="0"/>
        <w:spacing w:line="440" w:lineRule="exact"/>
        <w:ind w:firstLine="480" w:firstLineChars="200"/>
        <w:rPr>
          <w:rFonts w:ascii="Times New Roman" w:hAnsi="Times New Roman" w:cs="宋体"/>
          <w:snapToGrid w:val="0"/>
          <w:kern w:val="0"/>
          <w:sz w:val="24"/>
          <w:szCs w:val="24"/>
        </w:rPr>
      </w:pPr>
      <w:r>
        <w:rPr>
          <w:rFonts w:hint="eastAsia" w:ascii="Times New Roman" w:hAnsi="Times New Roman" w:cs="宋体"/>
          <w:snapToGrid w:val="0"/>
          <w:kern w:val="0"/>
          <w:sz w:val="24"/>
          <w:szCs w:val="24"/>
        </w:rPr>
        <w:t>注：</w:t>
      </w:r>
    </w:p>
    <w:p w14:paraId="0146095B">
      <w:pPr>
        <w:snapToGrid w:val="0"/>
        <w:spacing w:line="360" w:lineRule="auto"/>
        <w:ind w:firstLine="480" w:firstLineChars="200"/>
        <w:rPr>
          <w:rFonts w:ascii="Times New Roman" w:hAnsi="Times New Roman" w:cs="宋体"/>
          <w:snapToGrid w:val="0"/>
          <w:kern w:val="0"/>
          <w:sz w:val="24"/>
          <w:szCs w:val="24"/>
        </w:rPr>
      </w:pPr>
      <w:r>
        <w:rPr>
          <w:rFonts w:hint="eastAsia" w:ascii="Times New Roman" w:hAnsi="Times New Roman" w:cs="宋体"/>
          <w:snapToGrid w:val="0"/>
          <w:kern w:val="0"/>
          <w:sz w:val="24"/>
          <w:szCs w:val="24"/>
        </w:rPr>
        <w:t>（1）报名单位请在本</w:t>
      </w:r>
      <w:r>
        <w:rPr>
          <w:rFonts w:hint="eastAsia" w:ascii="Times New Roman" w:hAnsi="Times New Roman" w:cs="宋体"/>
          <w:snapToGrid w:val="0"/>
          <w:kern w:val="0"/>
          <w:sz w:val="24"/>
          <w:szCs w:val="24"/>
          <w:lang w:eastAsia="zh-CN"/>
        </w:rPr>
        <w:t>比选文件</w:t>
      </w:r>
      <w:r>
        <w:rPr>
          <w:rFonts w:hint="eastAsia" w:ascii="Times New Roman" w:hAnsi="Times New Roman" w:cs="宋体"/>
          <w:snapToGrid w:val="0"/>
          <w:kern w:val="0"/>
          <w:sz w:val="24"/>
          <w:szCs w:val="24"/>
        </w:rPr>
        <w:t>规定的时间内将此报名函盖章将扫描件发送至邮箱：</w:t>
      </w:r>
      <w:r>
        <w:rPr>
          <w:rFonts w:hint="eastAsia" w:ascii="Times New Roman" w:hAnsi="Times New Roman" w:cs="宋体"/>
          <w:snapToGrid w:val="0"/>
          <w:kern w:val="0"/>
          <w:sz w:val="24"/>
          <w:szCs w:val="24"/>
          <w:lang w:val="en-US" w:eastAsia="zh-CN"/>
        </w:rPr>
        <w:t>2462748269</w:t>
      </w:r>
      <w:r>
        <w:rPr>
          <w:rFonts w:hint="eastAsia" w:ascii="Times New Roman" w:hAnsi="Times New Roman" w:cs="宋体"/>
          <w:snapToGrid w:val="0"/>
          <w:kern w:val="0"/>
          <w:sz w:val="24"/>
          <w:szCs w:val="24"/>
        </w:rPr>
        <w:t>@qq.com。</w:t>
      </w:r>
    </w:p>
    <w:p w14:paraId="52D593CB">
      <w:pPr>
        <w:snapToGrid w:val="0"/>
        <w:spacing w:line="360" w:lineRule="auto"/>
        <w:ind w:firstLine="480" w:firstLineChars="200"/>
        <w:rPr>
          <w:rFonts w:hint="eastAsia" w:ascii="Times New Roman" w:hAnsi="Times New Roman" w:cs="宋体"/>
          <w:sz w:val="24"/>
          <w:szCs w:val="24"/>
        </w:rPr>
      </w:pPr>
      <w:r>
        <w:rPr>
          <w:rFonts w:hint="eastAsia" w:ascii="Times New Roman" w:hAnsi="Times New Roman" w:cs="宋体"/>
          <w:snapToGrid w:val="0"/>
          <w:kern w:val="0"/>
          <w:sz w:val="24"/>
          <w:szCs w:val="24"/>
        </w:rPr>
        <w:t>（2）未按时间要求报名的供应商不得参与本项目</w:t>
      </w:r>
      <w:r>
        <w:rPr>
          <w:rFonts w:hint="eastAsia" w:ascii="Times New Roman" w:hAnsi="Times New Roman" w:cs="宋体"/>
          <w:snapToGrid w:val="0"/>
          <w:kern w:val="0"/>
          <w:sz w:val="24"/>
          <w:szCs w:val="24"/>
          <w:lang w:eastAsia="zh-CN"/>
        </w:rPr>
        <w:t>比选活动</w:t>
      </w:r>
      <w:r>
        <w:rPr>
          <w:rFonts w:hint="eastAsia" w:ascii="Times New Roman" w:hAnsi="Times New Roman" w:cs="宋体"/>
          <w:snapToGrid w:val="0"/>
          <w:kern w:val="0"/>
          <w:sz w:val="24"/>
          <w:szCs w:val="24"/>
        </w:rPr>
        <w:t>。</w:t>
      </w:r>
    </w:p>
    <w:p w14:paraId="607EDA5A">
      <w:pPr>
        <w:pStyle w:val="2"/>
        <w:kinsoku w:val="0"/>
        <w:overflowPunct w:val="0"/>
        <w:autoSpaceDE w:val="0"/>
        <w:autoSpaceDN w:val="0"/>
        <w:spacing w:after="0" w:line="360" w:lineRule="auto"/>
        <w:ind w:left="0" w:leftChars="0" w:firstLine="0" w:firstLineChars="0"/>
        <w:rPr>
          <w:rFonts w:ascii="Times New Roman" w:hAnsi="Times New Roman"/>
          <w:lang w:val="zh-CN"/>
        </w:rPr>
      </w:pPr>
    </w:p>
    <w:p w14:paraId="5F69DB99">
      <w:pPr>
        <w:pStyle w:val="16"/>
        <w:rPr>
          <w:rFonts w:hint="eastAsia"/>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E7C7">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3239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3239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C7CE4"/>
    <w:multiLevelType w:val="multilevel"/>
    <w:tmpl w:val="254C7CE4"/>
    <w:lvl w:ilvl="0" w:tentative="0">
      <w:start w:val="1"/>
      <w:numFmt w:val="decimal"/>
      <w:lvlText w:val="%1、"/>
      <w:lvlJc w:val="left"/>
      <w:pPr>
        <w:ind w:left="840" w:hanging="360"/>
      </w:pPr>
      <w:rPr>
        <w:rFonts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F729EE1"/>
    <w:multiLevelType w:val="singleLevel"/>
    <w:tmpl w:val="3F729EE1"/>
    <w:lvl w:ilvl="0" w:tentative="0">
      <w:start w:val="1"/>
      <w:numFmt w:val="decimal"/>
      <w:lvlText w:val="%1."/>
      <w:lvlJc w:val="left"/>
      <w:pPr>
        <w:tabs>
          <w:tab w:val="left" w:pos="312"/>
        </w:tabs>
      </w:pPr>
    </w:lvl>
  </w:abstractNum>
  <w:abstractNum w:abstractNumId="2">
    <w:nsid w:val="53BE6FC0"/>
    <w:multiLevelType w:val="multilevel"/>
    <w:tmpl w:val="53BE6FC0"/>
    <w:lvl w:ilvl="0" w:tentative="0">
      <w:start w:val="1"/>
      <w:numFmt w:val="decimal"/>
      <w:pStyle w:val="5"/>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NzRkNjBkNGM1MDZjMGQ3YmZiMTBjOGQ5ZTk0YjAifQ=="/>
  </w:docVars>
  <w:rsids>
    <w:rsidRoot w:val="38AF7303"/>
    <w:rsid w:val="00124640"/>
    <w:rsid w:val="00285085"/>
    <w:rsid w:val="00C55A9D"/>
    <w:rsid w:val="02987B74"/>
    <w:rsid w:val="04751EAC"/>
    <w:rsid w:val="051554AC"/>
    <w:rsid w:val="05951810"/>
    <w:rsid w:val="05DA64B7"/>
    <w:rsid w:val="05F043A9"/>
    <w:rsid w:val="07164201"/>
    <w:rsid w:val="07C12195"/>
    <w:rsid w:val="08037491"/>
    <w:rsid w:val="080D2DB2"/>
    <w:rsid w:val="0B30303F"/>
    <w:rsid w:val="0BB974D9"/>
    <w:rsid w:val="0D2C0F99"/>
    <w:rsid w:val="0D525BC6"/>
    <w:rsid w:val="0E3161C8"/>
    <w:rsid w:val="0F02058A"/>
    <w:rsid w:val="108C7A8E"/>
    <w:rsid w:val="10AD3CC0"/>
    <w:rsid w:val="10AE5542"/>
    <w:rsid w:val="11067AA6"/>
    <w:rsid w:val="128966C2"/>
    <w:rsid w:val="1331204B"/>
    <w:rsid w:val="13477178"/>
    <w:rsid w:val="139D2552"/>
    <w:rsid w:val="141E551D"/>
    <w:rsid w:val="1444190A"/>
    <w:rsid w:val="14982DBA"/>
    <w:rsid w:val="14BC3B96"/>
    <w:rsid w:val="14F82E51"/>
    <w:rsid w:val="177B1581"/>
    <w:rsid w:val="17B12BB6"/>
    <w:rsid w:val="18482D61"/>
    <w:rsid w:val="18584A67"/>
    <w:rsid w:val="18770500"/>
    <w:rsid w:val="188F55AE"/>
    <w:rsid w:val="18A56057"/>
    <w:rsid w:val="18FF1D76"/>
    <w:rsid w:val="19614552"/>
    <w:rsid w:val="1980048D"/>
    <w:rsid w:val="1B4B7A22"/>
    <w:rsid w:val="1BC25D7B"/>
    <w:rsid w:val="1BF9747E"/>
    <w:rsid w:val="1C730188"/>
    <w:rsid w:val="1D1B6401"/>
    <w:rsid w:val="1E18008F"/>
    <w:rsid w:val="1E2C4168"/>
    <w:rsid w:val="1EB8310A"/>
    <w:rsid w:val="1F8805C2"/>
    <w:rsid w:val="200B777F"/>
    <w:rsid w:val="20887022"/>
    <w:rsid w:val="2090637B"/>
    <w:rsid w:val="211508B6"/>
    <w:rsid w:val="21A33643"/>
    <w:rsid w:val="221648E3"/>
    <w:rsid w:val="2235068A"/>
    <w:rsid w:val="22955D9E"/>
    <w:rsid w:val="22E91FFA"/>
    <w:rsid w:val="234D2500"/>
    <w:rsid w:val="23983267"/>
    <w:rsid w:val="245E07C6"/>
    <w:rsid w:val="25424EE3"/>
    <w:rsid w:val="26D82824"/>
    <w:rsid w:val="26EB3E67"/>
    <w:rsid w:val="293E5729"/>
    <w:rsid w:val="29623343"/>
    <w:rsid w:val="29BB5D72"/>
    <w:rsid w:val="29FA0F90"/>
    <w:rsid w:val="2A1C4276"/>
    <w:rsid w:val="2A6B292B"/>
    <w:rsid w:val="2A7D31F3"/>
    <w:rsid w:val="2AB54EB7"/>
    <w:rsid w:val="2C835596"/>
    <w:rsid w:val="2CB21A3D"/>
    <w:rsid w:val="2D284C2B"/>
    <w:rsid w:val="2E756E38"/>
    <w:rsid w:val="2E7F3812"/>
    <w:rsid w:val="2F9E5F1A"/>
    <w:rsid w:val="305A58C8"/>
    <w:rsid w:val="307D6477"/>
    <w:rsid w:val="30F97D5A"/>
    <w:rsid w:val="314C6AE7"/>
    <w:rsid w:val="31523460"/>
    <w:rsid w:val="32674CE9"/>
    <w:rsid w:val="34337CD5"/>
    <w:rsid w:val="346F4329"/>
    <w:rsid w:val="353006BF"/>
    <w:rsid w:val="361505FE"/>
    <w:rsid w:val="36902F82"/>
    <w:rsid w:val="37DE77FC"/>
    <w:rsid w:val="38AF7303"/>
    <w:rsid w:val="39352F70"/>
    <w:rsid w:val="395D33E0"/>
    <w:rsid w:val="398D772B"/>
    <w:rsid w:val="3A0B3F4B"/>
    <w:rsid w:val="3A4E69A4"/>
    <w:rsid w:val="3B084B8F"/>
    <w:rsid w:val="3BD55B9D"/>
    <w:rsid w:val="3C855259"/>
    <w:rsid w:val="3F4E170B"/>
    <w:rsid w:val="41513FF2"/>
    <w:rsid w:val="41743FD9"/>
    <w:rsid w:val="41DE6DD9"/>
    <w:rsid w:val="43100A85"/>
    <w:rsid w:val="43BC0A69"/>
    <w:rsid w:val="43C7383A"/>
    <w:rsid w:val="446070ED"/>
    <w:rsid w:val="461E51EB"/>
    <w:rsid w:val="467A1037"/>
    <w:rsid w:val="468974CC"/>
    <w:rsid w:val="48FB078F"/>
    <w:rsid w:val="4A062BE2"/>
    <w:rsid w:val="4A8C4543"/>
    <w:rsid w:val="4C4507B6"/>
    <w:rsid w:val="4DD252B5"/>
    <w:rsid w:val="4F8E345D"/>
    <w:rsid w:val="4FE62232"/>
    <w:rsid w:val="505A3A22"/>
    <w:rsid w:val="50F6750C"/>
    <w:rsid w:val="51824D00"/>
    <w:rsid w:val="51D03926"/>
    <w:rsid w:val="540C5299"/>
    <w:rsid w:val="550A7A2A"/>
    <w:rsid w:val="553D0A04"/>
    <w:rsid w:val="557B41CD"/>
    <w:rsid w:val="57B67C8D"/>
    <w:rsid w:val="57B80F5D"/>
    <w:rsid w:val="57CF4EAA"/>
    <w:rsid w:val="584470E8"/>
    <w:rsid w:val="59A10231"/>
    <w:rsid w:val="5A042EE4"/>
    <w:rsid w:val="5A617BE7"/>
    <w:rsid w:val="5BD20B76"/>
    <w:rsid w:val="5C055763"/>
    <w:rsid w:val="5C1271C4"/>
    <w:rsid w:val="5CF96FBB"/>
    <w:rsid w:val="5D1F603D"/>
    <w:rsid w:val="5E2D4789"/>
    <w:rsid w:val="5F1C2834"/>
    <w:rsid w:val="5F202568"/>
    <w:rsid w:val="5F55795F"/>
    <w:rsid w:val="5F93552B"/>
    <w:rsid w:val="60EB4BB4"/>
    <w:rsid w:val="615E0888"/>
    <w:rsid w:val="628250A4"/>
    <w:rsid w:val="62EF200D"/>
    <w:rsid w:val="6618370D"/>
    <w:rsid w:val="665F28CA"/>
    <w:rsid w:val="6796514D"/>
    <w:rsid w:val="67AC00A1"/>
    <w:rsid w:val="6A565929"/>
    <w:rsid w:val="6ACF1017"/>
    <w:rsid w:val="6B491269"/>
    <w:rsid w:val="6B823440"/>
    <w:rsid w:val="6BB86654"/>
    <w:rsid w:val="6BFB643F"/>
    <w:rsid w:val="6CF25987"/>
    <w:rsid w:val="6D433B76"/>
    <w:rsid w:val="6D7B106D"/>
    <w:rsid w:val="6DB037A1"/>
    <w:rsid w:val="6E61334A"/>
    <w:rsid w:val="700205F2"/>
    <w:rsid w:val="706C2EEF"/>
    <w:rsid w:val="70BF683C"/>
    <w:rsid w:val="72FA02C7"/>
    <w:rsid w:val="731433F9"/>
    <w:rsid w:val="7368310D"/>
    <w:rsid w:val="753F194C"/>
    <w:rsid w:val="75445707"/>
    <w:rsid w:val="760C7F77"/>
    <w:rsid w:val="7634762B"/>
    <w:rsid w:val="763A4F70"/>
    <w:rsid w:val="765D3A06"/>
    <w:rsid w:val="76AE6010"/>
    <w:rsid w:val="76C923A0"/>
    <w:rsid w:val="78114130"/>
    <w:rsid w:val="789E0306"/>
    <w:rsid w:val="7A574389"/>
    <w:rsid w:val="7AB3392A"/>
    <w:rsid w:val="7AC24350"/>
    <w:rsid w:val="7B914152"/>
    <w:rsid w:val="7BA06393"/>
    <w:rsid w:val="7D4E7639"/>
    <w:rsid w:val="7D7F5D84"/>
    <w:rsid w:val="7E97382D"/>
    <w:rsid w:val="7EF61F5F"/>
    <w:rsid w:val="7FC05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eastAsia="楷体_GB2312"/>
      <w:b/>
      <w:kern w:val="44"/>
      <w:sz w:val="44"/>
      <w:szCs w:val="20"/>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unhideWhenUsed/>
    <w:qFormat/>
    <w:uiPriority w:val="99"/>
    <w:pPr>
      <w:spacing w:after="120"/>
      <w:ind w:left="420" w:leftChars="200"/>
    </w:pPr>
  </w:style>
  <w:style w:type="paragraph" w:styleId="5">
    <w:name w:val="Body Text"/>
    <w:basedOn w:val="1"/>
    <w:next w:val="1"/>
    <w:qFormat/>
    <w:uiPriority w:val="0"/>
    <w:pPr>
      <w:numPr>
        <w:ilvl w:val="0"/>
        <w:numId w:val="1"/>
      </w:numPr>
      <w:tabs>
        <w:tab w:val="clear" w:pos="839"/>
      </w:tabs>
      <w:spacing w:after="120"/>
      <w:ind w:left="0" w:firstLine="0"/>
    </w:pPr>
  </w:style>
  <w:style w:type="paragraph" w:styleId="6">
    <w:name w:val="index 4"/>
    <w:basedOn w:val="1"/>
    <w:next w:val="1"/>
    <w:autoRedefine/>
    <w:qFormat/>
    <w:uiPriority w:val="0"/>
    <w:pPr>
      <w:ind w:left="1260"/>
    </w:pPr>
    <w:rPr>
      <w:rFonts w:ascii="Calibri" w:hAnsi="Calibri" w:eastAsia="宋体" w:cs="Times New Roman"/>
      <w:szCs w:val="20"/>
    </w:rPr>
  </w:style>
  <w:style w:type="paragraph" w:styleId="7">
    <w:name w:val="toc 3"/>
    <w:basedOn w:val="1"/>
    <w:next w:val="1"/>
    <w:autoRedefine/>
    <w:qFormat/>
    <w:uiPriority w:val="0"/>
    <w:pPr>
      <w:ind w:left="840" w:leftChars="400"/>
    </w:pPr>
    <w:rPr>
      <w:rFonts w:ascii="Calibri" w:hAnsi="Calibri" w:eastAsia="宋体" w:cs="Times New Roman"/>
      <w:szCs w:val="20"/>
    </w:rPr>
  </w:style>
  <w:style w:type="paragraph" w:styleId="8">
    <w:name w:val="footer"/>
    <w:basedOn w:val="1"/>
    <w:autoRedefine/>
    <w:unhideWhenUsed/>
    <w:qFormat/>
    <w:uiPriority w:val="99"/>
    <w:pPr>
      <w:tabs>
        <w:tab w:val="center" w:pos="4153"/>
        <w:tab w:val="right" w:pos="8306"/>
      </w:tabs>
      <w:snapToGrid w:val="0"/>
      <w:jc w:val="left"/>
    </w:pPr>
    <w:rPr>
      <w:kern w:val="0"/>
      <w:sz w:val="18"/>
      <w:szCs w:val="18"/>
    </w:rPr>
  </w:style>
  <w:style w:type="paragraph" w:styleId="9">
    <w:name w:val="envelope return"/>
    <w:basedOn w:val="1"/>
    <w:autoRedefine/>
    <w:qFormat/>
    <w:uiPriority w:val="0"/>
    <w:pPr>
      <w:snapToGrid w:val="0"/>
    </w:pPr>
    <w:rPr>
      <w:rFonts w:ascii="Arial" w:hAnsi="Arial"/>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pPr>
      <w:jc w:val="left"/>
    </w:pPr>
    <w:rPr>
      <w:sz w:val="24"/>
      <w:szCs w:val="24"/>
    </w:rPr>
  </w:style>
  <w:style w:type="paragraph" w:styleId="12">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0"/>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题二、"/>
    <w:basedOn w:val="1"/>
    <w:autoRedefine/>
    <w:qFormat/>
    <w:uiPriority w:val="99"/>
    <w:pPr>
      <w:spacing w:line="360" w:lineRule="auto"/>
      <w:ind w:firstLine="200" w:firstLineChars="200"/>
      <w:outlineLvl w:val="2"/>
    </w:pPr>
    <w:rPr>
      <w:rFonts w:ascii="宋体" w:hAnsi="宋体"/>
      <w:b/>
      <w:szCs w:val="21"/>
    </w:rPr>
  </w:style>
  <w:style w:type="paragraph" w:styleId="17">
    <w:name w:val="List Paragraph"/>
    <w:basedOn w:val="1"/>
    <w:qFormat/>
    <w:uiPriority w:val="1"/>
    <w:pPr>
      <w:ind w:left="760" w:firstLine="480"/>
    </w:pPr>
  </w:style>
  <w:style w:type="paragraph" w:customStyle="1" w:styleId="18">
    <w:name w:val="正文（缩进）"/>
    <w:basedOn w:val="1"/>
    <w:autoRedefine/>
    <w:qFormat/>
    <w:uiPriority w:val="0"/>
    <w:pPr>
      <w:ind w:firstLine="480" w:firstLineChars="200"/>
    </w:pPr>
  </w:style>
  <w:style w:type="character" w:customStyle="1" w:styleId="19">
    <w:name w:val="font41"/>
    <w:basedOn w:val="15"/>
    <w:qFormat/>
    <w:uiPriority w:val="0"/>
    <w:rPr>
      <w:rFonts w:hint="eastAsia" w:ascii="宋体" w:hAnsi="宋体" w:eastAsia="宋体" w:cs="宋体"/>
      <w:color w:val="000000"/>
      <w:sz w:val="18"/>
      <w:szCs w:val="18"/>
      <w:u w:val="none"/>
    </w:rPr>
  </w:style>
  <w:style w:type="paragraph" w:customStyle="1" w:styleId="20">
    <w:name w:val="正文文本缩进1"/>
    <w:basedOn w:val="1"/>
    <w:next w:val="1"/>
    <w:qFormat/>
    <w:uiPriority w:val="0"/>
    <w:pPr>
      <w:spacing w:line="360" w:lineRule="auto"/>
      <w:ind w:firstLine="425"/>
    </w:pPr>
    <w:rPr>
      <w:sz w:val="24"/>
    </w:rPr>
  </w:style>
  <w:style w:type="paragraph" w:customStyle="1" w:styleId="21">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12188</Words>
  <Characters>12811</Characters>
  <Lines>0</Lines>
  <Paragraphs>0</Paragraphs>
  <TotalTime>25</TotalTime>
  <ScaleCrop>false</ScaleCrop>
  <LinksUpToDate>false</LinksUpToDate>
  <CharactersWithSpaces>12994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2023-04-28T08:30:00Z</dcterms:created>
  <dc:creator>小白</dc:creator>
  <cp:lastModifiedBy>小白</cp:lastModifiedBy>
  <dcterms:modified xsi:type="dcterms:W3CDTF">2026-05-12T08:22:55Z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0A2E3BBB78B5482FB601AF130A5544AA_11</vt:lpwstr>
  </property>
  <property fmtid="{D5CDD505-2E9C-101B-9397-08002B2CF9AE}" pid="4" name="KSOTemplateDocerSaveRecord">
    <vt:lpwstr>eyJoZGlkIjoiZmY5NzRkNjBkNGM1MDZjMGQ3YmZiMTBjOGQ5ZTk0YjAiLCJ1c2VySWQiOiI5MDMzNDcxMDUifQ==</vt:lpwstr>
  </property>
</Properties>
</file>