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74E32DFF">
      <w:pPr>
        <w:pStyle w:val="57"/>
        <w:keepNext w:val="0"/>
        <w:keepLines w:val="0"/>
        <w:pageBreakBefore w:val="0"/>
        <w:widowControl w:val="0"/>
        <w:kinsoku/>
        <w:wordWrap/>
        <w:topLinePunct w:val="0"/>
        <w:autoSpaceDE/>
        <w:autoSpaceDN/>
        <w:bidi w:val="0"/>
        <w:spacing w:before="0" w:after="0" w:line="360" w:lineRule="auto"/>
        <w:ind w:firstLine="0"/>
        <w:rPr>
          <w:rFonts w:hint="eastAsia" w:ascii="Times New Roman" w:hAnsi="Times New Roman" w:eastAsia="宋体"/>
          <w:b/>
          <w:color w:val="auto"/>
          <w:sz w:val="56"/>
          <w:szCs w:val="56"/>
          <w:highlight w:val="none"/>
          <w:lang w:eastAsia="zh-CN"/>
        </w:rPr>
      </w:pPr>
      <w:r>
        <w:rPr>
          <w:rFonts w:hint="eastAsia" w:ascii="Times New Roman" w:hAnsi="Times New Roman" w:eastAsia="宋体"/>
          <w:b/>
          <w:color w:val="auto"/>
          <w:sz w:val="56"/>
          <w:szCs w:val="56"/>
          <w:highlight w:val="none"/>
          <w:lang w:eastAsia="zh-CN"/>
        </w:rPr>
        <w:t>南通市第三人民医院移动PDA</w:t>
      </w:r>
    </w:p>
    <w:p w14:paraId="3B9B7B9B">
      <w:pPr>
        <w:pStyle w:val="57"/>
        <w:keepNext w:val="0"/>
        <w:keepLines w:val="0"/>
        <w:pageBreakBefore w:val="0"/>
        <w:widowControl w:val="0"/>
        <w:kinsoku/>
        <w:wordWrap/>
        <w:topLinePunct w:val="0"/>
        <w:autoSpaceDE/>
        <w:autoSpaceDN/>
        <w:bidi w:val="0"/>
        <w:spacing w:before="0" w:after="0" w:line="360" w:lineRule="auto"/>
        <w:ind w:firstLine="0"/>
        <w:rPr>
          <w:rFonts w:ascii="Times New Roman" w:hAnsi="Times New Roman" w:eastAsia="宋体"/>
          <w:b/>
          <w:color w:val="auto"/>
          <w:sz w:val="72"/>
          <w:szCs w:val="56"/>
          <w:highlight w:val="none"/>
        </w:rPr>
      </w:pPr>
      <w:r>
        <w:rPr>
          <w:rFonts w:hint="eastAsia" w:ascii="Times New Roman" w:hAnsi="Times New Roman" w:eastAsia="宋体"/>
          <w:b/>
          <w:color w:val="auto"/>
          <w:sz w:val="56"/>
          <w:szCs w:val="56"/>
          <w:highlight w:val="none"/>
          <w:lang w:eastAsia="zh-CN"/>
        </w:rPr>
        <w:t>采购项目</w:t>
      </w: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五</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四月</w:t>
      </w:r>
    </w:p>
    <w:p w14:paraId="716420A6">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10"/>
        <w:keepNext w:val="0"/>
        <w:keepLines w:val="0"/>
        <w:pageBreakBefore w:val="0"/>
        <w:widowControl w:val="0"/>
        <w:kinsoku/>
        <w:wordWrap/>
        <w:topLinePunct w:val="0"/>
        <w:autoSpaceDE/>
        <w:autoSpaceDN/>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8"/>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20"/>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5"/>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lang w:eastAsia="zh-CN"/>
        </w:rPr>
        <w:t>南通市第三人民医院移动PDA采购项目</w:t>
      </w:r>
      <w:r>
        <w:rPr>
          <w:rFonts w:hint="eastAsia" w:ascii="Times New Roman" w:hAnsi="Times New Roman" w:eastAsia="宋体" w:cs="Times New Roman"/>
          <w:color w:val="auto"/>
          <w:sz w:val="24"/>
          <w:szCs w:val="24"/>
          <w:highlight w:val="none"/>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8</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54920BA7">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SY-HXTDPDA25004</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南通市第三人民医院移动PDA采购项目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13万</w:t>
      </w:r>
      <w:r>
        <w:rPr>
          <w:rFonts w:hint="eastAsia" w:ascii="Times New Roman" w:hAnsi="Times New Roman" w:eastAsia="宋体" w:cs="宋体"/>
          <w:color w:val="auto"/>
          <w:sz w:val="24"/>
          <w:szCs w:val="24"/>
          <w:highlight w:val="none"/>
        </w:rPr>
        <w:t>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13万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sz w:val="24"/>
          <w:szCs w:val="24"/>
        </w:rPr>
        <w:t>为支持医院使用需求，</w:t>
      </w:r>
      <w:r>
        <w:rPr>
          <w:rFonts w:ascii="Times New Roman" w:hAnsi="Times New Roman" w:eastAsia="宋体" w:cs="宋体"/>
          <w:sz w:val="24"/>
          <w:szCs w:val="24"/>
        </w:rPr>
        <w:t>分批次对原有手持式PDA设备进行产品</w:t>
      </w:r>
      <w:r>
        <w:rPr>
          <w:rFonts w:ascii="Times New Roman" w:hAnsi="Times New Roman" w:eastAsia="宋体" w:cs="宋体"/>
          <w:color w:val="auto"/>
          <w:sz w:val="24"/>
          <w:szCs w:val="24"/>
        </w:rPr>
        <w:t>替换</w:t>
      </w:r>
      <w:r>
        <w:rPr>
          <w:rFonts w:hint="eastAsia" w:ascii="Times New Roman" w:hAnsi="Times New Roman" w:eastAsia="宋体" w:cs="宋体"/>
          <w:color w:val="auto"/>
          <w:sz w:val="24"/>
          <w:szCs w:val="24"/>
        </w:rPr>
        <w:t>服务</w:t>
      </w:r>
      <w:r>
        <w:rPr>
          <w:rFonts w:hint="eastAsia" w:ascii="Times New Roman" w:hAnsi="Times New Roman" w:eastAsia="宋体" w:cs="宋体"/>
          <w:color w:val="auto"/>
          <w:sz w:val="24"/>
          <w:szCs w:val="24"/>
          <w:lang w:eastAsia="zh-CN"/>
        </w:rPr>
        <w:t>，本次采购</w:t>
      </w:r>
      <w:r>
        <w:rPr>
          <w:rFonts w:hint="eastAsia" w:ascii="Times New Roman" w:hAnsi="Times New Roman" w:eastAsia="宋体" w:cs="宋体"/>
          <w:sz w:val="24"/>
          <w:szCs w:val="24"/>
        </w:rPr>
        <w:t>数量约</w:t>
      </w:r>
      <w:r>
        <w:rPr>
          <w:rFonts w:hint="eastAsia" w:ascii="Times New Roman" w:hAnsi="Times New Roman" w:eastAsia="宋体" w:cs="宋体"/>
          <w:sz w:val="24"/>
          <w:szCs w:val="24"/>
          <w:lang w:val="en-US" w:eastAsia="zh-CN"/>
        </w:rPr>
        <w:t>30</w:t>
      </w:r>
      <w:r>
        <w:rPr>
          <w:rFonts w:hint="eastAsia" w:ascii="Times New Roman" w:hAnsi="Times New Roman" w:eastAsia="宋体" w:cs="宋体"/>
          <w:sz w:val="24"/>
          <w:szCs w:val="24"/>
        </w:rPr>
        <w:t>台</w:t>
      </w:r>
      <w:r>
        <w:rPr>
          <w:rFonts w:hint="eastAsia" w:ascii="Times New Roman" w:hAnsi="Times New Roman" w:eastAsia="宋体" w:cs="宋体"/>
          <w:sz w:val="24"/>
          <w:szCs w:val="24"/>
          <w:lang w:eastAsia="zh-CN"/>
        </w:rPr>
        <w:t>；</w:t>
      </w:r>
      <w:r>
        <w:rPr>
          <w:rFonts w:hint="eastAsia" w:ascii="Times New Roman" w:hAnsi="Times New Roman" w:eastAsia="宋体" w:cs="宋体"/>
          <w:color w:val="auto"/>
          <w:sz w:val="24"/>
          <w:szCs w:val="24"/>
          <w:highlight w:val="none"/>
          <w:lang w:eastAsia="zh-CN"/>
        </w:rPr>
        <w:t>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color w:val="auto"/>
          <w:sz w:val="24"/>
          <w:szCs w:val="24"/>
          <w:highlight w:val="none"/>
          <w:lang w:val="zh-CN" w:eastAsia="zh-CN"/>
        </w:rPr>
      </w:pPr>
      <w:r>
        <w:rPr>
          <w:rFonts w:hint="eastAsia" w:ascii="Times New Roman" w:hAnsi="Times New Roman" w:eastAsia="宋体" w:cs="宋体"/>
          <w:b/>
          <w:bCs/>
          <w:color w:val="auto"/>
          <w:sz w:val="24"/>
          <w:szCs w:val="24"/>
          <w:highlight w:val="none"/>
        </w:rPr>
        <w:t>7、供货期：</w:t>
      </w:r>
      <w:r>
        <w:rPr>
          <w:rFonts w:hint="eastAsia" w:ascii="Times New Roman" w:hAnsi="Times New Roman" w:eastAsia="宋体" w:cs="宋体"/>
          <w:b/>
          <w:bCs/>
          <w:color w:val="auto"/>
          <w:sz w:val="24"/>
          <w:szCs w:val="24"/>
          <w:highlight w:val="none"/>
          <w:lang w:val="zh-CN"/>
        </w:rPr>
        <w:t>合同签订之日起10个工作日内安装调试完成</w:t>
      </w:r>
      <w:r>
        <w:rPr>
          <w:rFonts w:hint="eastAsia" w:ascii="Times New Roman" w:hAnsi="Times New Roman" w:eastAsia="宋体" w:cs="宋体"/>
          <w:b/>
          <w:bCs/>
          <w:color w:val="auto"/>
          <w:sz w:val="24"/>
          <w:szCs w:val="24"/>
          <w:highlight w:val="none"/>
        </w:rPr>
        <w:t>。</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eastAsia="宋体"/>
          <w:bCs/>
          <w:color w:val="auto"/>
          <w:sz w:val="24"/>
          <w:szCs w:val="24"/>
          <w:highlight w:val="none"/>
          <w:lang w:eastAsia="zh-CN"/>
        </w:rPr>
        <w:t>，</w:t>
      </w:r>
      <w:r>
        <w:rPr>
          <w:rFonts w:hint="eastAsia" w:ascii="Times New Roman" w:hAnsi="Times New Roman" w:eastAsia="宋体"/>
          <w:bCs/>
          <w:sz w:val="24"/>
          <w:szCs w:val="24"/>
        </w:rPr>
        <w:t>有能力按本采购文件规定的要求提供采购物及提供相关伴随服务能力的生产商或经销商（代理商）</w:t>
      </w:r>
      <w:r>
        <w:rPr>
          <w:rFonts w:hint="eastAsia" w:ascii="Times New Roman" w:hAnsi="Times New Roman" w:eastAsia="宋体"/>
          <w:color w:val="auto"/>
          <w:sz w:val="24"/>
          <w:szCs w:val="24"/>
          <w:highlight w:val="none"/>
        </w:rPr>
        <w:t>。</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s="Times New Roman"/>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623"/>
      <w:bookmarkStart w:id="1" w:name="_Toc35393792"/>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82"/>
      <w:bookmarkStart w:id="3" w:name="_Toc35393793"/>
      <w:bookmarkStart w:id="4" w:name="_Toc28359005"/>
      <w:bookmarkStart w:id="5" w:name="_Toc35393624"/>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w:t>
      </w:r>
      <w:bookmarkStart w:id="17" w:name="_GoBack"/>
      <w:bookmarkEnd w:id="17"/>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8</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11</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5</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5</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8</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11</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35393794"/>
      <w:bookmarkStart w:id="7" w:name="_Toc35393625"/>
      <w:bookmarkStart w:id="8" w:name="_Toc28359007"/>
      <w:bookmarkStart w:id="9" w:name="_Toc28359084"/>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8</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5</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8</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14</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00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keepNext w:val="0"/>
        <w:keepLines w:val="0"/>
        <w:pageBreakBefore w:val="0"/>
        <w:kinsoku/>
        <w:topLinePunct w:val="0"/>
        <w:autoSpaceDE/>
        <w:autoSpaceDN/>
        <w:bidi w:val="0"/>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keepNext w:val="0"/>
        <w:keepLines w:val="0"/>
        <w:pageBreakBefore w:val="0"/>
        <w:kinsoku/>
        <w:topLinePunct w:val="0"/>
        <w:autoSpaceDE/>
        <w:autoSpaceDN/>
        <w:bidi w:val="0"/>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keepNext w:val="0"/>
        <w:keepLines w:val="0"/>
        <w:pageBreakBefore w:val="0"/>
        <w:kinsoku/>
        <w:topLinePunct w:val="0"/>
        <w:autoSpaceDE/>
        <w:autoSpaceDN/>
        <w:bidi w:val="0"/>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2"/>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w:t>
      </w:r>
      <w:r>
        <w:rPr>
          <w:rFonts w:hint="eastAsia" w:ascii="Times New Roman" w:hAnsi="Times New Roman" w:eastAsia="宋体" w:cs="宋体"/>
          <w:b/>
          <w:bCs/>
          <w:color w:val="auto"/>
          <w:sz w:val="24"/>
          <w:szCs w:val="24"/>
          <w:highlight w:val="none"/>
        </w:rPr>
        <w:t>南通市第三人民医院</w:t>
      </w:r>
      <w:r>
        <w:rPr>
          <w:rFonts w:hint="eastAsia" w:ascii="Times New Roman" w:hAnsi="Times New Roman" w:eastAsia="宋体" w:cs="宋体"/>
          <w:color w:val="auto"/>
          <w:sz w:val="24"/>
          <w:szCs w:val="24"/>
          <w:highlight w:val="none"/>
        </w:rPr>
        <w:t>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lang w:eastAsia="zh-CN"/>
        </w:rPr>
        <w:t>商务</w:t>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4、供应商应充分考虑服务实施期间各类市场价格和政策性价格调整因素，确定价格风险计入总报价，今后不作调整。（</w:t>
      </w:r>
      <w:r>
        <w:rPr>
          <w:rFonts w:hint="eastAsia" w:ascii="Times New Roman" w:hAnsi="Times New Roman" w:eastAsia="宋体" w:cs="宋体"/>
          <w:b/>
          <w:bCs/>
          <w:color w:val="auto"/>
          <w:sz w:val="24"/>
          <w:szCs w:val="24"/>
          <w:highlight w:val="none"/>
          <w:lang w:eastAsia="zh-CN"/>
        </w:rPr>
        <w:t>响应</w:t>
      </w:r>
      <w:r>
        <w:rPr>
          <w:rFonts w:hint="eastAsia" w:ascii="Times New Roman" w:hAnsi="Times New Roman" w:eastAsia="宋体" w:cs="宋体"/>
          <w:b/>
          <w:bCs/>
          <w:color w:val="auto"/>
          <w:sz w:val="24"/>
          <w:szCs w:val="24"/>
          <w:highlight w:val="none"/>
        </w:rPr>
        <w:t>报价应包括完成本项目所需的一切费用，包括但不限于</w:t>
      </w:r>
      <w:r>
        <w:rPr>
          <w:rFonts w:hint="eastAsia" w:ascii="Times New Roman" w:hAnsi="Times New Roman" w:eastAsia="宋体"/>
          <w:b/>
          <w:bCs/>
          <w:color w:val="auto"/>
          <w:sz w:val="24"/>
          <w:szCs w:val="24"/>
          <w:highlight w:val="none"/>
        </w:rPr>
        <w:t>成本、利润、税金、开办费、政策性调整风险费等的所有费用；</w:t>
      </w:r>
      <w:r>
        <w:rPr>
          <w:rFonts w:hint="eastAsia" w:ascii="Times New Roman" w:hAnsi="Times New Roman" w:eastAsia="宋体" w:cs="宋体"/>
          <w:b/>
          <w:bCs/>
          <w:color w:val="auto"/>
          <w:sz w:val="24"/>
          <w:szCs w:val="24"/>
          <w:highlight w:val="none"/>
        </w:rPr>
        <w:t>辅材费、</w:t>
      </w:r>
      <w:r>
        <w:rPr>
          <w:rFonts w:hint="eastAsia" w:ascii="Times New Roman" w:hAnsi="Times New Roman" w:eastAsia="宋体"/>
          <w:b/>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b/>
          <w:bCs/>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w:t>
      </w:r>
      <w:r>
        <w:rPr>
          <w:rFonts w:hint="eastAsia" w:ascii="Times New Roman" w:cs="仿宋"/>
          <w:color w:val="auto"/>
          <w:sz w:val="24"/>
          <w:szCs w:val="24"/>
          <w:highlight w:val="none"/>
          <w:lang w:eastAsia="zh-CN"/>
        </w:rPr>
        <w:t>参照</w:t>
      </w:r>
      <w:r>
        <w:rPr>
          <w:rFonts w:hint="eastAsia" w:ascii="Times New Roman" w:cs="仿宋"/>
          <w:color w:val="auto"/>
          <w:sz w:val="24"/>
          <w:szCs w:val="24"/>
          <w:highlight w:val="none"/>
        </w:rPr>
        <w:t>南通市财政局通财购【2018】18 号文</w:t>
      </w:r>
      <w:r>
        <w:rPr>
          <w:rFonts w:hint="eastAsia" w:ascii="Times New Roman" w:cs="仿宋"/>
          <w:color w:val="auto"/>
          <w:sz w:val="24"/>
          <w:szCs w:val="24"/>
          <w:highlight w:val="none"/>
          <w:lang w:eastAsia="zh-CN"/>
        </w:rPr>
        <w:t>计取。</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5B04D98C">
      <w:pPr>
        <w:keepNext w:val="0"/>
        <w:keepLines w:val="0"/>
        <w:pageBreakBefore w:val="0"/>
        <w:kinsoku/>
        <w:wordWrap w:val="0"/>
        <w:topLinePunct w:val="0"/>
        <w:autoSpaceDE/>
        <w:autoSpaceDN/>
        <w:bidi w:val="0"/>
        <w:spacing w:line="360"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请响应供应商在报名前和制作响应文件时仔细研究项目需求说明。</w:t>
      </w:r>
    </w:p>
    <w:p w14:paraId="0E2F0C60">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一、</w:t>
      </w:r>
      <w:r>
        <w:rPr>
          <w:rFonts w:hint="eastAsia" w:ascii="Times New Roman" w:hAnsi="Times New Roman" w:eastAsia="宋体" w:cs="宋体"/>
          <w:b/>
          <w:bCs/>
          <w:color w:val="auto"/>
          <w:szCs w:val="24"/>
          <w:highlight w:val="none"/>
          <w:shd w:val="clear" w:color="auto" w:fill="FFFFFF"/>
        </w:rPr>
        <w:t>采购标的需实现的功能或者目标,以及为落实政府采购政策需满足的要求</w:t>
      </w:r>
    </w:p>
    <w:p w14:paraId="6DE2580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医院原有手持式PDA投用使用年限已达到5年以上，原有PDA设备由于产品使用频率，产品性能（软件运行卡顿、电池待机时间缩短等）、以及软件适配无法满足医院现有软件功能使用。同时原有PDA已过保修年限，设备故障率上升，维修出现不及时、缺少配件、维修费用高。综合考虑建议采用分批次对原有手持式PDA设备进行产品替换。</w:t>
      </w:r>
    </w:p>
    <w:p w14:paraId="7E83D4F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二、</w:t>
      </w:r>
      <w:r>
        <w:rPr>
          <w:rFonts w:hint="eastAsia" w:ascii="Times New Roman" w:hAnsi="Times New Roman" w:eastAsia="宋体" w:cs="宋体"/>
          <w:b/>
          <w:bCs/>
          <w:color w:val="auto"/>
          <w:szCs w:val="24"/>
          <w:highlight w:val="none"/>
          <w:shd w:val="clear" w:color="auto" w:fill="FFFFFF"/>
        </w:rPr>
        <w:t>采购标的需执行的国家相关标准、行业标准、地方标准或者其他标准、规范</w:t>
      </w:r>
    </w:p>
    <w:p w14:paraId="0294EF0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报价产品的技术标准按国家标准执行，无国家标准的，按行业标准执行，无国家和行业标准的，按企业标准执行；但在采购文件中有特别要求的，按采购文件中规定的要求执行，并且符合相关法律、法规规定的要求。</w:t>
      </w:r>
    </w:p>
    <w:p w14:paraId="4351891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三、</w:t>
      </w:r>
      <w:r>
        <w:rPr>
          <w:rFonts w:hint="eastAsia" w:ascii="Times New Roman" w:hAnsi="Times New Roman" w:eastAsia="宋体" w:cs="宋体"/>
          <w:b/>
          <w:bCs/>
          <w:color w:val="auto"/>
          <w:szCs w:val="24"/>
          <w:highlight w:val="none"/>
          <w:shd w:val="clear" w:color="auto" w:fill="FFFFFF"/>
        </w:rPr>
        <w:t>采购标的需满足的质量、安全、技术规格、物理特性等要求</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530"/>
        <w:gridCol w:w="6495"/>
      </w:tblGrid>
      <w:tr w14:paraId="0060B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95" w:type="dxa"/>
            <w:vAlign w:val="center"/>
          </w:tcPr>
          <w:p w14:paraId="2508948E">
            <w:pPr>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530" w:type="dxa"/>
            <w:vAlign w:val="center"/>
          </w:tcPr>
          <w:p w14:paraId="5537C9A0">
            <w:pPr>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指标项</w:t>
            </w:r>
          </w:p>
        </w:tc>
        <w:tc>
          <w:tcPr>
            <w:tcW w:w="6495" w:type="dxa"/>
            <w:vAlign w:val="center"/>
          </w:tcPr>
          <w:p w14:paraId="583EE840">
            <w:pPr>
              <w:spacing w:line="240" w:lineRule="atLeast"/>
              <w:jc w:val="center"/>
              <w:rPr>
                <w:rFonts w:ascii="宋体" w:hAnsi="宋体" w:eastAsia="宋体" w:cs="宋体"/>
                <w:b/>
                <w:bCs/>
                <w:kern w:val="0"/>
                <w:sz w:val="24"/>
                <w:szCs w:val="24"/>
              </w:rPr>
            </w:pPr>
            <w:r>
              <w:rPr>
                <w:rFonts w:hint="eastAsia" w:ascii="宋体" w:hAnsi="宋体" w:eastAsia="宋体" w:cs="宋体"/>
                <w:b/>
                <w:bCs/>
                <w:kern w:val="0"/>
                <w:sz w:val="24"/>
                <w:szCs w:val="24"/>
              </w:rPr>
              <w:t>技术规格</w:t>
            </w:r>
          </w:p>
        </w:tc>
      </w:tr>
      <w:tr w14:paraId="1966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95" w:type="dxa"/>
            <w:vAlign w:val="center"/>
          </w:tcPr>
          <w:p w14:paraId="18C0A381">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w:t>
            </w:r>
          </w:p>
        </w:tc>
        <w:tc>
          <w:tcPr>
            <w:tcW w:w="1530" w:type="dxa"/>
            <w:vAlign w:val="center"/>
          </w:tcPr>
          <w:p w14:paraId="314D59CB">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操作系统</w:t>
            </w:r>
          </w:p>
        </w:tc>
        <w:tc>
          <w:tcPr>
            <w:tcW w:w="6495" w:type="dxa"/>
            <w:vAlign w:val="center"/>
          </w:tcPr>
          <w:p w14:paraId="7F7A7EFD">
            <w:pPr>
              <w:spacing w:line="240" w:lineRule="atLeast"/>
              <w:rPr>
                <w:rFonts w:ascii="宋体" w:hAnsi="宋体" w:eastAsia="宋体" w:cs="宋体"/>
                <w:sz w:val="24"/>
                <w:szCs w:val="24"/>
                <w:lang w:bidi="en-US"/>
              </w:rPr>
            </w:pPr>
            <w:r>
              <w:rPr>
                <w:rFonts w:hint="eastAsia" w:ascii="宋体" w:hAnsi="宋体" w:eastAsia="宋体" w:cs="宋体"/>
                <w:sz w:val="24"/>
                <w:szCs w:val="24"/>
              </w:rPr>
              <w:t>Android 11.0及以上</w:t>
            </w:r>
          </w:p>
        </w:tc>
      </w:tr>
      <w:tr w14:paraId="7332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5" w:type="dxa"/>
            <w:vAlign w:val="center"/>
          </w:tcPr>
          <w:p w14:paraId="14599075">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2</w:t>
            </w:r>
          </w:p>
        </w:tc>
        <w:tc>
          <w:tcPr>
            <w:tcW w:w="1530" w:type="dxa"/>
            <w:vAlign w:val="center"/>
          </w:tcPr>
          <w:p w14:paraId="4B078C34">
            <w:pPr>
              <w:spacing w:before="60" w:after="60" w:line="240" w:lineRule="atLeast"/>
              <w:rPr>
                <w:rFonts w:ascii="宋体" w:hAnsi="宋体" w:eastAsia="宋体" w:cs="宋体"/>
                <w:sz w:val="24"/>
                <w:szCs w:val="24"/>
                <w:lang w:bidi="en-US"/>
              </w:rPr>
            </w:pPr>
            <w:r>
              <w:rPr>
                <w:rFonts w:hint="eastAsia" w:ascii="宋体" w:hAnsi="宋体" w:eastAsia="宋体" w:cs="宋体"/>
                <w:kern w:val="0"/>
                <w:sz w:val="24"/>
                <w:szCs w:val="24"/>
              </w:rPr>
              <w:t>CPU</w:t>
            </w:r>
          </w:p>
        </w:tc>
        <w:tc>
          <w:tcPr>
            <w:tcW w:w="6495" w:type="dxa"/>
            <w:vAlign w:val="center"/>
          </w:tcPr>
          <w:p w14:paraId="7B9A8D77">
            <w:pPr>
              <w:spacing w:before="60" w:after="60" w:line="240" w:lineRule="atLeast"/>
              <w:rPr>
                <w:rFonts w:ascii="宋体" w:hAnsi="宋体" w:eastAsia="宋体" w:cs="宋体"/>
                <w:sz w:val="24"/>
                <w:szCs w:val="24"/>
                <w:lang w:bidi="en-US"/>
              </w:rPr>
            </w:pPr>
            <w:r>
              <w:rPr>
                <w:rFonts w:hint="eastAsia" w:ascii="宋体" w:hAnsi="宋体" w:eastAsia="宋体" w:cs="宋体"/>
                <w:kern w:val="0"/>
                <w:sz w:val="24"/>
                <w:szCs w:val="24"/>
              </w:rPr>
              <w:t>高通八核处理器</w:t>
            </w:r>
            <w:r>
              <w:rPr>
                <w:rFonts w:hint="eastAsia" w:ascii="宋体" w:hAnsi="宋体" w:eastAsia="宋体" w:cs="宋体"/>
                <w:sz w:val="24"/>
                <w:szCs w:val="24"/>
                <w:lang w:bidi="en-US"/>
              </w:rPr>
              <w:t>、主频≥2.0GHz（高通）；内存≥3GB；</w:t>
            </w:r>
            <w:r>
              <w:rPr>
                <w:rFonts w:hint="eastAsia" w:ascii="宋体" w:hAnsi="宋体" w:eastAsia="宋体" w:cs="宋体"/>
                <w:kern w:val="0"/>
                <w:sz w:val="24"/>
                <w:szCs w:val="24"/>
              </w:rPr>
              <w:t>存储≥32GB,SD卡可扩充到128G</w:t>
            </w:r>
          </w:p>
        </w:tc>
      </w:tr>
      <w:tr w14:paraId="3E37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5" w:type="dxa"/>
            <w:vAlign w:val="center"/>
          </w:tcPr>
          <w:p w14:paraId="6075001C">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3</w:t>
            </w:r>
          </w:p>
        </w:tc>
        <w:tc>
          <w:tcPr>
            <w:tcW w:w="1530" w:type="dxa"/>
            <w:vAlign w:val="center"/>
          </w:tcPr>
          <w:p w14:paraId="039219CD">
            <w:pPr>
              <w:spacing w:before="60" w:after="60" w:line="240" w:lineRule="atLeast"/>
              <w:rPr>
                <w:rFonts w:ascii="宋体" w:hAnsi="宋体" w:eastAsia="宋体" w:cs="宋体"/>
                <w:kern w:val="0"/>
                <w:sz w:val="24"/>
                <w:szCs w:val="24"/>
              </w:rPr>
            </w:pPr>
            <w:r>
              <w:rPr>
                <w:rFonts w:hint="eastAsia" w:ascii="宋体" w:hAnsi="宋体" w:eastAsia="宋体" w:cs="宋体"/>
                <w:sz w:val="24"/>
                <w:szCs w:val="24"/>
                <w:lang w:bidi="en-US"/>
              </w:rPr>
              <w:t>电池容量</w:t>
            </w:r>
          </w:p>
        </w:tc>
        <w:tc>
          <w:tcPr>
            <w:tcW w:w="6495" w:type="dxa"/>
            <w:vAlign w:val="center"/>
          </w:tcPr>
          <w:p w14:paraId="16F488F8">
            <w:pPr>
              <w:spacing w:before="60" w:after="60" w:line="240" w:lineRule="atLeast"/>
              <w:rPr>
                <w:rFonts w:ascii="宋体" w:hAnsi="宋体" w:eastAsia="宋体" w:cs="宋体"/>
                <w:kern w:val="0"/>
                <w:sz w:val="24"/>
                <w:szCs w:val="24"/>
              </w:rPr>
            </w:pPr>
            <w:r>
              <w:rPr>
                <w:rFonts w:hint="eastAsia" w:ascii="宋体" w:hAnsi="宋体" w:eastAsia="宋体" w:cs="宋体"/>
                <w:sz w:val="24"/>
                <w:szCs w:val="24"/>
                <w:lang w:bidi="en-US"/>
              </w:rPr>
              <w:t>≥4500mAh，电池通过GB 31241-2014电池安全检测，提供电池CQC认证报告盖章扫描件</w:t>
            </w:r>
          </w:p>
        </w:tc>
      </w:tr>
      <w:tr w14:paraId="4751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5" w:type="dxa"/>
            <w:vAlign w:val="center"/>
          </w:tcPr>
          <w:p w14:paraId="6ABC74F7">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★4</w:t>
            </w:r>
          </w:p>
        </w:tc>
        <w:tc>
          <w:tcPr>
            <w:tcW w:w="1530" w:type="dxa"/>
            <w:vAlign w:val="center"/>
          </w:tcPr>
          <w:p w14:paraId="5AE01E0A">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电池安装</w:t>
            </w:r>
          </w:p>
        </w:tc>
        <w:tc>
          <w:tcPr>
            <w:tcW w:w="6495" w:type="dxa"/>
            <w:vAlign w:val="center"/>
          </w:tcPr>
          <w:p w14:paraId="62ED5E91">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电池可拆卸并更换，无需任何辅助工具，确保后期维护和安装更换方便（拍照展示，提供盖章扫描件）</w:t>
            </w:r>
          </w:p>
        </w:tc>
      </w:tr>
      <w:tr w14:paraId="68A10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14:paraId="26646081">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5</w:t>
            </w:r>
          </w:p>
        </w:tc>
        <w:tc>
          <w:tcPr>
            <w:tcW w:w="1530" w:type="dxa"/>
            <w:vAlign w:val="center"/>
          </w:tcPr>
          <w:p w14:paraId="73D7051C">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显示屏</w:t>
            </w:r>
          </w:p>
        </w:tc>
        <w:tc>
          <w:tcPr>
            <w:tcW w:w="6495" w:type="dxa"/>
            <w:vAlign w:val="center"/>
          </w:tcPr>
          <w:p w14:paraId="1AEBF19E">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≥5.5寸彩色1280X720多点触控屏，支持手套/带水触摸，超明亮，阳光下可视</w:t>
            </w:r>
          </w:p>
        </w:tc>
      </w:tr>
      <w:tr w14:paraId="4E2B5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14:paraId="0516CAE8">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6</w:t>
            </w:r>
          </w:p>
        </w:tc>
        <w:tc>
          <w:tcPr>
            <w:tcW w:w="1530" w:type="dxa"/>
            <w:vAlign w:val="center"/>
          </w:tcPr>
          <w:p w14:paraId="5672E033">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尺寸</w:t>
            </w:r>
          </w:p>
        </w:tc>
        <w:tc>
          <w:tcPr>
            <w:tcW w:w="6495" w:type="dxa"/>
            <w:vAlign w:val="center"/>
          </w:tcPr>
          <w:p w14:paraId="100FEE08">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≤159*75*14.4 mm</w:t>
            </w:r>
          </w:p>
        </w:tc>
      </w:tr>
      <w:tr w14:paraId="00BD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14:paraId="6F13FDD3">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7</w:t>
            </w:r>
          </w:p>
        </w:tc>
        <w:tc>
          <w:tcPr>
            <w:tcW w:w="1530" w:type="dxa"/>
            <w:vAlign w:val="center"/>
          </w:tcPr>
          <w:p w14:paraId="6CFD7DD0">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摄像头</w:t>
            </w:r>
          </w:p>
        </w:tc>
        <w:tc>
          <w:tcPr>
            <w:tcW w:w="6495" w:type="dxa"/>
            <w:vAlign w:val="center"/>
          </w:tcPr>
          <w:p w14:paraId="53D07FA2">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后置1300万,前置500万</w:t>
            </w:r>
          </w:p>
        </w:tc>
      </w:tr>
      <w:tr w14:paraId="4BA6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14:paraId="7B1C4977">
            <w:pPr>
              <w:spacing w:line="240" w:lineRule="atLeast"/>
              <w:jc w:val="center"/>
              <w:rPr>
                <w:rFonts w:ascii="宋体" w:hAnsi="宋体" w:eastAsia="宋体" w:cs="宋体"/>
                <w:kern w:val="0"/>
                <w:sz w:val="24"/>
                <w:szCs w:val="24"/>
              </w:rPr>
            </w:pPr>
            <w:r>
              <w:rPr>
                <w:rFonts w:hint="eastAsia" w:ascii="宋体" w:hAnsi="宋体" w:eastAsia="宋体" w:cs="宋体"/>
                <w:sz w:val="24"/>
                <w:szCs w:val="24"/>
                <w:lang w:bidi="en-US"/>
              </w:rPr>
              <w:t>★</w:t>
            </w:r>
            <w:r>
              <w:rPr>
                <w:rFonts w:hint="eastAsia" w:ascii="宋体" w:hAnsi="宋体" w:eastAsia="宋体" w:cs="宋体"/>
                <w:kern w:val="0"/>
                <w:sz w:val="24"/>
                <w:szCs w:val="24"/>
              </w:rPr>
              <w:t>8</w:t>
            </w:r>
          </w:p>
        </w:tc>
        <w:tc>
          <w:tcPr>
            <w:tcW w:w="1530" w:type="dxa"/>
            <w:vAlign w:val="center"/>
          </w:tcPr>
          <w:p w14:paraId="073B5425">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条码扫描引擎</w:t>
            </w:r>
          </w:p>
        </w:tc>
        <w:tc>
          <w:tcPr>
            <w:tcW w:w="6495" w:type="dxa"/>
            <w:vAlign w:val="center"/>
          </w:tcPr>
          <w:p w14:paraId="0A17BC7A">
            <w:pPr>
              <w:spacing w:before="60" w:after="60" w:line="240" w:lineRule="atLeast"/>
              <w:rPr>
                <w:rFonts w:ascii="宋体" w:hAnsi="宋体" w:eastAsia="宋体" w:cs="宋体"/>
                <w:color w:val="FF0000"/>
                <w:sz w:val="24"/>
                <w:szCs w:val="24"/>
                <w:lang w:bidi="en-US"/>
              </w:rPr>
            </w:pPr>
            <w:r>
              <w:rPr>
                <w:rFonts w:hint="eastAsia" w:ascii="宋体" w:hAnsi="宋体" w:eastAsia="宋体" w:cs="宋体"/>
                <w:sz w:val="24"/>
                <w:szCs w:val="24"/>
                <w:lang w:bidi="en-US"/>
              </w:rPr>
              <w:t>支持一维码、二维码扫描，支持屏幕扫描，扫描头和PDA为同一品牌；支持污损残缺条码和避光带扫描；</w:t>
            </w:r>
          </w:p>
        </w:tc>
      </w:tr>
      <w:tr w14:paraId="33B5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95" w:type="dxa"/>
            <w:vAlign w:val="center"/>
          </w:tcPr>
          <w:p w14:paraId="7A94DE60">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9</w:t>
            </w:r>
          </w:p>
        </w:tc>
        <w:tc>
          <w:tcPr>
            <w:tcW w:w="1530" w:type="dxa"/>
            <w:vAlign w:val="center"/>
          </w:tcPr>
          <w:p w14:paraId="3C23F645">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rPr>
              <w:t>条码读取</w:t>
            </w:r>
          </w:p>
        </w:tc>
        <w:tc>
          <w:tcPr>
            <w:tcW w:w="6495" w:type="dxa"/>
            <w:vAlign w:val="center"/>
          </w:tcPr>
          <w:p w14:paraId="4AAB9666">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rPr>
              <w:t>支持GS1条码识别，扫描工具同步支持设置GS1应用标识分隔符开关功能（需提供功能截图证明文件）</w:t>
            </w:r>
          </w:p>
        </w:tc>
      </w:tr>
      <w:tr w14:paraId="7CDF8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461183CA">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530" w:type="dxa"/>
            <w:vAlign w:val="center"/>
          </w:tcPr>
          <w:p w14:paraId="28F9B0C1">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rPr>
              <w:t>准心模式</w:t>
            </w:r>
          </w:p>
        </w:tc>
        <w:tc>
          <w:tcPr>
            <w:tcW w:w="6495" w:type="dxa"/>
            <w:vAlign w:val="center"/>
          </w:tcPr>
          <w:p w14:paraId="0DFEA3D3">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可实现PDA准心扫描，防止相邻条码的误读（需提供功能截图证明文件）</w:t>
            </w:r>
          </w:p>
        </w:tc>
      </w:tr>
      <w:tr w14:paraId="0D15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3F3521C0">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530" w:type="dxa"/>
            <w:vAlign w:val="center"/>
          </w:tcPr>
          <w:p w14:paraId="745C99AA">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扫描按键</w:t>
            </w:r>
          </w:p>
        </w:tc>
        <w:tc>
          <w:tcPr>
            <w:tcW w:w="6495" w:type="dxa"/>
            <w:vAlign w:val="center"/>
          </w:tcPr>
          <w:p w14:paraId="1F800393">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同时支持左右两侧实体扫描按键及屏幕虚拟扫描按键（需提供屏幕虚拟扫描按键功能设置截图证明文件）</w:t>
            </w:r>
          </w:p>
        </w:tc>
      </w:tr>
      <w:tr w14:paraId="1BA0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3D039456">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530" w:type="dxa"/>
            <w:vAlign w:val="center"/>
          </w:tcPr>
          <w:p w14:paraId="4D5E89B3">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网络连接</w:t>
            </w:r>
          </w:p>
        </w:tc>
        <w:tc>
          <w:tcPr>
            <w:tcW w:w="6495" w:type="dxa"/>
            <w:vAlign w:val="center"/>
          </w:tcPr>
          <w:p w14:paraId="3ED5656E">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IEEE 802.11a/b/g/n/ac，支持2.4G及5G频段</w:t>
            </w:r>
          </w:p>
        </w:tc>
      </w:tr>
      <w:tr w14:paraId="1EFB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25A273EA">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13</w:t>
            </w:r>
          </w:p>
        </w:tc>
        <w:tc>
          <w:tcPr>
            <w:tcW w:w="1530" w:type="dxa"/>
            <w:vAlign w:val="center"/>
          </w:tcPr>
          <w:p w14:paraId="6445985F">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无线网络安全性</w:t>
            </w:r>
          </w:p>
        </w:tc>
        <w:tc>
          <w:tcPr>
            <w:tcW w:w="6495" w:type="dxa"/>
            <w:vAlign w:val="center"/>
          </w:tcPr>
          <w:p w14:paraId="5CF34F79">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 xml:space="preserve">WEP, 802.1x, TKIP, AES, LEAP, PEAPv0, PEAPv1, EAP-M, SCHAPv2 </w:t>
            </w:r>
          </w:p>
          <w:p w14:paraId="7D3CC26D">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EAP-GTC, EAP-TLS, EAP-TTLS, WPA-PSK, WPA2</w:t>
            </w:r>
          </w:p>
        </w:tc>
      </w:tr>
      <w:tr w14:paraId="1238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39CAC666">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14</w:t>
            </w:r>
          </w:p>
        </w:tc>
        <w:tc>
          <w:tcPr>
            <w:tcW w:w="1530" w:type="dxa"/>
            <w:vAlign w:val="center"/>
          </w:tcPr>
          <w:p w14:paraId="332A1AB6">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蓝牙</w:t>
            </w:r>
          </w:p>
        </w:tc>
        <w:tc>
          <w:tcPr>
            <w:tcW w:w="6495" w:type="dxa"/>
            <w:vAlign w:val="center"/>
          </w:tcPr>
          <w:p w14:paraId="714F81EB">
            <w:pPr>
              <w:rPr>
                <w:rFonts w:ascii="宋体" w:hAnsi="宋体" w:eastAsia="宋体" w:cs="宋体"/>
                <w:sz w:val="24"/>
                <w:szCs w:val="24"/>
                <w:lang w:bidi="en-US"/>
              </w:rPr>
            </w:pPr>
            <w:r>
              <w:rPr>
                <w:rFonts w:hint="eastAsia" w:ascii="宋体" w:hAnsi="宋体" w:eastAsia="宋体" w:cs="宋体"/>
                <w:sz w:val="24"/>
                <w:szCs w:val="24"/>
                <w:lang w:bidi="en-US"/>
              </w:rPr>
              <w:t>Bluetooth Class 5.1</w:t>
            </w:r>
          </w:p>
        </w:tc>
      </w:tr>
      <w:tr w14:paraId="1740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5" w:type="dxa"/>
            <w:vAlign w:val="center"/>
          </w:tcPr>
          <w:p w14:paraId="0BFE82A4">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530" w:type="dxa"/>
            <w:vAlign w:val="center"/>
          </w:tcPr>
          <w:p w14:paraId="3DE671FE">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振动</w:t>
            </w:r>
          </w:p>
        </w:tc>
        <w:tc>
          <w:tcPr>
            <w:tcW w:w="6495" w:type="dxa"/>
            <w:vAlign w:val="center"/>
          </w:tcPr>
          <w:p w14:paraId="4CB001C0">
            <w:pPr>
              <w:rPr>
                <w:rFonts w:ascii="宋体" w:hAnsi="宋体" w:eastAsia="宋体" w:cs="宋体"/>
                <w:sz w:val="24"/>
                <w:szCs w:val="24"/>
                <w:lang w:bidi="en-US"/>
              </w:rPr>
            </w:pPr>
            <w:r>
              <w:rPr>
                <w:rFonts w:hint="eastAsia" w:ascii="宋体" w:hAnsi="宋体" w:eastAsia="宋体" w:cs="宋体"/>
                <w:sz w:val="24"/>
                <w:szCs w:val="24"/>
                <w:lang w:bidi="en-US"/>
              </w:rPr>
              <w:t>自带振动马达</w:t>
            </w:r>
          </w:p>
        </w:tc>
      </w:tr>
      <w:tr w14:paraId="112C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5" w:type="dxa"/>
            <w:vAlign w:val="center"/>
          </w:tcPr>
          <w:p w14:paraId="101FB81F">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16</w:t>
            </w:r>
          </w:p>
        </w:tc>
        <w:tc>
          <w:tcPr>
            <w:tcW w:w="1530" w:type="dxa"/>
            <w:vAlign w:val="center"/>
          </w:tcPr>
          <w:p w14:paraId="2BE733F6">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工业防护等级</w:t>
            </w:r>
          </w:p>
        </w:tc>
        <w:tc>
          <w:tcPr>
            <w:tcW w:w="6495" w:type="dxa"/>
            <w:vAlign w:val="center"/>
          </w:tcPr>
          <w:p w14:paraId="5FC12EC5">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IP67或以上，（提供报告盖章扫描件）</w:t>
            </w:r>
          </w:p>
        </w:tc>
      </w:tr>
      <w:tr w14:paraId="1302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95" w:type="dxa"/>
            <w:vAlign w:val="center"/>
          </w:tcPr>
          <w:p w14:paraId="67942E88">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17</w:t>
            </w:r>
          </w:p>
        </w:tc>
        <w:tc>
          <w:tcPr>
            <w:tcW w:w="1530" w:type="dxa"/>
            <w:vAlign w:val="center"/>
          </w:tcPr>
          <w:p w14:paraId="3ACA01BB">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外壳材料</w:t>
            </w:r>
          </w:p>
        </w:tc>
        <w:tc>
          <w:tcPr>
            <w:tcW w:w="6495" w:type="dxa"/>
            <w:vAlign w:val="center"/>
          </w:tcPr>
          <w:p w14:paraId="72B1331B">
            <w:pPr>
              <w:spacing w:before="60" w:after="60" w:line="240" w:lineRule="atLeast"/>
              <w:rPr>
                <w:rFonts w:ascii="宋体" w:hAnsi="宋体" w:eastAsia="宋体" w:cs="宋体"/>
                <w:sz w:val="24"/>
                <w:szCs w:val="24"/>
                <w:lang w:bidi="en-US"/>
              </w:rPr>
            </w:pPr>
            <w:r>
              <w:rPr>
                <w:rFonts w:hint="eastAsia" w:ascii="宋体" w:hAnsi="宋体" w:eastAsia="宋体" w:cs="宋体"/>
                <w:sz w:val="24"/>
                <w:szCs w:val="24"/>
                <w:lang w:bidi="en-US"/>
              </w:rPr>
              <w:t>白色抑菌材料，可耐受医用酒精、过氧化氢、丙乙醇、聚维酮碘等医院常用消毒剂（含屏幕部分），并提供第三方具有CNAS和CMA资质实验室的耐医用酒精和医用过氧化氢擦拭的检测报告，提供测试报告盖章扫描件</w:t>
            </w:r>
          </w:p>
        </w:tc>
      </w:tr>
      <w:tr w14:paraId="2B1A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5" w:type="dxa"/>
            <w:vAlign w:val="center"/>
          </w:tcPr>
          <w:p w14:paraId="16EFB69E">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18</w:t>
            </w:r>
          </w:p>
        </w:tc>
        <w:tc>
          <w:tcPr>
            <w:tcW w:w="1530" w:type="dxa"/>
            <w:vAlign w:val="center"/>
          </w:tcPr>
          <w:p w14:paraId="053D99A1">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按键</w:t>
            </w:r>
          </w:p>
        </w:tc>
        <w:tc>
          <w:tcPr>
            <w:tcW w:w="6495" w:type="dxa"/>
            <w:vAlign w:val="center"/>
          </w:tcPr>
          <w:p w14:paraId="273B5AE1">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为便于消毒清洗设备正面必须为触控按键，不得有实体按键，提供虚拟扫描按键设置截图</w:t>
            </w:r>
          </w:p>
        </w:tc>
      </w:tr>
      <w:tr w14:paraId="67AD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5" w:type="dxa"/>
            <w:vAlign w:val="center"/>
          </w:tcPr>
          <w:p w14:paraId="655D5002">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19</w:t>
            </w:r>
          </w:p>
        </w:tc>
        <w:tc>
          <w:tcPr>
            <w:tcW w:w="1530" w:type="dxa"/>
            <w:vAlign w:val="center"/>
          </w:tcPr>
          <w:p w14:paraId="47D350DE">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防摔抗震</w:t>
            </w:r>
          </w:p>
        </w:tc>
        <w:tc>
          <w:tcPr>
            <w:tcW w:w="6495" w:type="dxa"/>
            <w:vAlign w:val="center"/>
          </w:tcPr>
          <w:p w14:paraId="10D21CF5">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可承受1.5m高处到地面的多次跌落；（需提供第三方机构出具跌落测试报告盖章扫描件，其委托单位必须为投标产品原厂商）</w:t>
            </w:r>
          </w:p>
        </w:tc>
      </w:tr>
      <w:tr w14:paraId="7291A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5" w:type="dxa"/>
            <w:vAlign w:val="center"/>
          </w:tcPr>
          <w:p w14:paraId="0B138B9B">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1530" w:type="dxa"/>
            <w:vAlign w:val="center"/>
          </w:tcPr>
          <w:p w14:paraId="07DF7C99">
            <w:pPr>
              <w:rPr>
                <w:rFonts w:ascii="宋体" w:hAnsi="宋体" w:eastAsia="宋体" w:cs="宋体"/>
                <w:sz w:val="24"/>
                <w:szCs w:val="24"/>
              </w:rPr>
            </w:pPr>
            <w:r>
              <w:rPr>
                <w:rFonts w:hint="eastAsia" w:ascii="宋体" w:hAnsi="宋体" w:eastAsia="宋体" w:cs="宋体"/>
                <w:sz w:val="24"/>
                <w:szCs w:val="24"/>
              </w:rPr>
              <w:t>抗滚落能力</w:t>
            </w:r>
          </w:p>
        </w:tc>
        <w:tc>
          <w:tcPr>
            <w:tcW w:w="6495" w:type="dxa"/>
            <w:vAlign w:val="center"/>
          </w:tcPr>
          <w:p w14:paraId="23BBB168">
            <w:pPr>
              <w:rPr>
                <w:rFonts w:ascii="宋体" w:hAnsi="宋体" w:eastAsia="宋体" w:cs="宋体"/>
                <w:sz w:val="24"/>
                <w:szCs w:val="24"/>
              </w:rPr>
            </w:pPr>
            <w:r>
              <w:rPr>
                <w:rFonts w:hint="eastAsia" w:ascii="宋体" w:hAnsi="宋体" w:eastAsia="宋体" w:cs="宋体"/>
                <w:sz w:val="24"/>
                <w:szCs w:val="24"/>
              </w:rPr>
              <w:t>500x0.5 m范围内的滚落</w:t>
            </w:r>
          </w:p>
        </w:tc>
      </w:tr>
      <w:tr w14:paraId="09D5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5" w:type="dxa"/>
            <w:vAlign w:val="center"/>
          </w:tcPr>
          <w:p w14:paraId="58187E4F">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21</w:t>
            </w:r>
          </w:p>
        </w:tc>
        <w:tc>
          <w:tcPr>
            <w:tcW w:w="1530" w:type="dxa"/>
            <w:vAlign w:val="center"/>
          </w:tcPr>
          <w:p w14:paraId="3EB280BB">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重量</w:t>
            </w:r>
          </w:p>
        </w:tc>
        <w:tc>
          <w:tcPr>
            <w:tcW w:w="6495" w:type="dxa"/>
            <w:vAlign w:val="center"/>
          </w:tcPr>
          <w:p w14:paraId="61014C37">
            <w:pPr>
              <w:spacing w:line="240" w:lineRule="atLeast"/>
              <w:rPr>
                <w:rFonts w:ascii="宋体" w:hAnsi="宋体" w:eastAsia="宋体" w:cs="宋体"/>
                <w:sz w:val="24"/>
                <w:szCs w:val="24"/>
                <w:lang w:bidi="en-US"/>
              </w:rPr>
            </w:pPr>
            <w:r>
              <w:rPr>
                <w:rFonts w:hint="eastAsia" w:ascii="宋体" w:hAnsi="宋体" w:eastAsia="宋体" w:cs="宋体"/>
                <w:sz w:val="24"/>
                <w:szCs w:val="24"/>
              </w:rPr>
              <w:t>≤258克（带电池）</w:t>
            </w:r>
          </w:p>
        </w:tc>
      </w:tr>
      <w:tr w14:paraId="4DC8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95" w:type="dxa"/>
            <w:vAlign w:val="center"/>
          </w:tcPr>
          <w:p w14:paraId="3E9366B3">
            <w:pPr>
              <w:spacing w:line="240" w:lineRule="atLeast"/>
              <w:jc w:val="center"/>
              <w:rPr>
                <w:rFonts w:ascii="宋体" w:hAnsi="宋体" w:eastAsia="宋体" w:cs="宋体"/>
                <w:kern w:val="0"/>
                <w:sz w:val="24"/>
                <w:szCs w:val="24"/>
              </w:rPr>
            </w:pPr>
            <w:r>
              <w:rPr>
                <w:rFonts w:hint="eastAsia" w:ascii="Times New Roman" w:hAnsi="Times New Roman" w:eastAsia="宋体" w:cs="Times New Roman"/>
                <w:kern w:val="0"/>
                <w:sz w:val="24"/>
                <w:szCs w:val="24"/>
                <w:lang w:val="zh-CN"/>
              </w:rPr>
              <w:t>▲</w:t>
            </w:r>
            <w:r>
              <w:rPr>
                <w:rFonts w:hint="eastAsia" w:ascii="宋体" w:hAnsi="宋体" w:eastAsia="宋体" w:cs="宋体"/>
                <w:kern w:val="0"/>
                <w:sz w:val="24"/>
                <w:szCs w:val="24"/>
              </w:rPr>
              <w:t>22</w:t>
            </w:r>
          </w:p>
        </w:tc>
        <w:tc>
          <w:tcPr>
            <w:tcW w:w="1530" w:type="dxa"/>
            <w:vAlign w:val="center"/>
          </w:tcPr>
          <w:p w14:paraId="37D7C030">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无故障时间</w:t>
            </w:r>
          </w:p>
        </w:tc>
        <w:tc>
          <w:tcPr>
            <w:tcW w:w="6495" w:type="dxa"/>
            <w:vAlign w:val="center"/>
          </w:tcPr>
          <w:p w14:paraId="6AF4D624">
            <w:pPr>
              <w:spacing w:line="240" w:lineRule="atLeast"/>
              <w:rPr>
                <w:rFonts w:ascii="宋体" w:hAnsi="宋体" w:eastAsia="宋体" w:cs="宋体"/>
                <w:sz w:val="24"/>
                <w:szCs w:val="24"/>
              </w:rPr>
            </w:pPr>
            <w:r>
              <w:rPr>
                <w:rFonts w:hint="eastAsia" w:ascii="宋体" w:hAnsi="宋体" w:eastAsia="宋体" w:cs="宋体"/>
                <w:sz w:val="24"/>
                <w:szCs w:val="24"/>
              </w:rPr>
              <w:t>平均无故障时间不低于20000小时，并提供第三方检测报告盖章扫描件</w:t>
            </w:r>
          </w:p>
        </w:tc>
      </w:tr>
      <w:tr w14:paraId="3C48D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vAlign w:val="center"/>
          </w:tcPr>
          <w:p w14:paraId="688DF7DF">
            <w:pPr>
              <w:spacing w:line="240" w:lineRule="atLeast"/>
              <w:jc w:val="center"/>
              <w:rPr>
                <w:rFonts w:ascii="宋体" w:hAnsi="宋体" w:eastAsia="宋体" w:cs="宋体"/>
                <w:kern w:val="0"/>
                <w:sz w:val="24"/>
                <w:szCs w:val="24"/>
              </w:rPr>
            </w:pPr>
            <w:r>
              <w:rPr>
                <w:rFonts w:hint="eastAsia" w:ascii="宋体" w:hAnsi="宋体" w:eastAsia="宋体" w:cs="宋体"/>
                <w:sz w:val="24"/>
                <w:szCs w:val="24"/>
                <w:lang w:bidi="en-US"/>
              </w:rPr>
              <w:t>★</w:t>
            </w:r>
            <w:r>
              <w:rPr>
                <w:rFonts w:hint="eastAsia" w:ascii="宋体" w:hAnsi="宋体" w:eastAsia="宋体" w:cs="宋体"/>
                <w:kern w:val="0"/>
                <w:sz w:val="24"/>
                <w:szCs w:val="24"/>
              </w:rPr>
              <w:t>23</w:t>
            </w:r>
          </w:p>
        </w:tc>
        <w:tc>
          <w:tcPr>
            <w:tcW w:w="1530" w:type="dxa"/>
            <w:vMerge w:val="restart"/>
            <w:vAlign w:val="center"/>
          </w:tcPr>
          <w:p w14:paraId="296B058C">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认证</w:t>
            </w:r>
          </w:p>
        </w:tc>
        <w:tc>
          <w:tcPr>
            <w:tcW w:w="6495" w:type="dxa"/>
            <w:vAlign w:val="center"/>
          </w:tcPr>
          <w:p w14:paraId="09C0960B">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CCC认证，</w:t>
            </w:r>
            <w:r>
              <w:rPr>
                <w:rFonts w:hint="eastAsia" w:ascii="宋体" w:hAnsi="宋体" w:eastAsia="宋体" w:cs="宋体"/>
                <w:sz w:val="24"/>
                <w:szCs w:val="24"/>
              </w:rPr>
              <w:t>无线电发射设备型号核准证，WIFI联盟，电池UN38.3认证，提供测试报告扫描件，电池空运和海运报告，并加盖公章扫描件</w:t>
            </w:r>
          </w:p>
        </w:tc>
      </w:tr>
      <w:tr w14:paraId="55923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vAlign w:val="center"/>
          </w:tcPr>
          <w:p w14:paraId="507C5A44">
            <w:pPr>
              <w:spacing w:line="240" w:lineRule="atLeast"/>
              <w:jc w:val="center"/>
              <w:rPr>
                <w:rFonts w:ascii="宋体" w:hAnsi="宋体" w:eastAsia="宋体" w:cs="宋体"/>
                <w:kern w:val="0"/>
                <w:sz w:val="24"/>
                <w:szCs w:val="24"/>
              </w:rPr>
            </w:pPr>
            <w:r>
              <w:rPr>
                <w:rFonts w:hint="eastAsia" w:ascii="宋体" w:hAnsi="宋体" w:eastAsia="宋体" w:cs="宋体"/>
                <w:sz w:val="24"/>
                <w:szCs w:val="24"/>
                <w:lang w:bidi="en-US"/>
              </w:rPr>
              <w:t>24</w:t>
            </w:r>
          </w:p>
        </w:tc>
        <w:tc>
          <w:tcPr>
            <w:tcW w:w="1530" w:type="dxa"/>
            <w:vMerge w:val="continue"/>
            <w:vAlign w:val="center"/>
          </w:tcPr>
          <w:p w14:paraId="4D9FD5B8">
            <w:pPr>
              <w:spacing w:line="240" w:lineRule="atLeast"/>
              <w:rPr>
                <w:rFonts w:ascii="宋体" w:hAnsi="宋体" w:eastAsia="宋体" w:cs="宋体"/>
                <w:sz w:val="24"/>
                <w:szCs w:val="24"/>
              </w:rPr>
            </w:pPr>
          </w:p>
        </w:tc>
        <w:tc>
          <w:tcPr>
            <w:tcW w:w="6495" w:type="dxa"/>
            <w:vAlign w:val="center"/>
          </w:tcPr>
          <w:p w14:paraId="07D6C6B8">
            <w:pPr>
              <w:spacing w:line="240" w:lineRule="atLeast"/>
              <w:rPr>
                <w:rFonts w:ascii="宋体" w:hAnsi="宋体" w:eastAsia="宋体" w:cs="宋体"/>
                <w:color w:val="FF0000"/>
                <w:sz w:val="24"/>
                <w:szCs w:val="24"/>
              </w:rPr>
            </w:pPr>
            <w:r>
              <w:rPr>
                <w:rFonts w:hint="eastAsia" w:ascii="宋体" w:hAnsi="宋体" w:eastAsia="宋体" w:cs="宋体"/>
                <w:sz w:val="24"/>
                <w:szCs w:val="24"/>
                <w:lang w:bidi="en-US"/>
              </w:rPr>
              <w:t>投标文件中必须需提供终端原厂产品彩页盖章扫描件</w:t>
            </w:r>
          </w:p>
        </w:tc>
      </w:tr>
      <w:tr w14:paraId="4D10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5" w:type="dxa"/>
            <w:vAlign w:val="center"/>
          </w:tcPr>
          <w:p w14:paraId="6452C671">
            <w:pPr>
              <w:spacing w:line="240" w:lineRule="atLeast"/>
              <w:jc w:val="center"/>
              <w:rPr>
                <w:rFonts w:ascii="宋体" w:hAnsi="宋体" w:eastAsia="宋体" w:cs="宋体"/>
                <w:kern w:val="0"/>
                <w:sz w:val="24"/>
                <w:szCs w:val="24"/>
              </w:rPr>
            </w:pPr>
            <w:r>
              <w:rPr>
                <w:rFonts w:hint="eastAsia" w:ascii="宋体" w:hAnsi="宋体" w:eastAsia="宋体" w:cs="宋体"/>
                <w:sz w:val="24"/>
                <w:szCs w:val="24"/>
                <w:lang w:bidi="en-US"/>
              </w:rPr>
              <w:t>★25</w:t>
            </w:r>
          </w:p>
        </w:tc>
        <w:tc>
          <w:tcPr>
            <w:tcW w:w="1530" w:type="dxa"/>
            <w:vMerge w:val="continue"/>
            <w:vAlign w:val="center"/>
          </w:tcPr>
          <w:p w14:paraId="5693D529">
            <w:pPr>
              <w:spacing w:line="240" w:lineRule="atLeast"/>
              <w:rPr>
                <w:rFonts w:ascii="宋体" w:hAnsi="宋体" w:eastAsia="宋体" w:cs="宋体"/>
                <w:sz w:val="24"/>
                <w:szCs w:val="24"/>
              </w:rPr>
            </w:pPr>
          </w:p>
        </w:tc>
        <w:tc>
          <w:tcPr>
            <w:tcW w:w="6495" w:type="dxa"/>
            <w:vAlign w:val="center"/>
          </w:tcPr>
          <w:p w14:paraId="00656642">
            <w:pPr>
              <w:spacing w:line="240" w:lineRule="atLeast"/>
              <w:rPr>
                <w:rFonts w:ascii="宋体" w:hAnsi="宋体" w:eastAsia="宋体" w:cs="宋体"/>
                <w:sz w:val="24"/>
                <w:szCs w:val="24"/>
              </w:rPr>
            </w:pPr>
            <w:r>
              <w:rPr>
                <w:rFonts w:hint="eastAsia" w:ascii="宋体" w:hAnsi="宋体" w:eastAsia="宋体" w:cs="宋体"/>
                <w:sz w:val="24"/>
                <w:szCs w:val="24"/>
                <w:lang w:bidi="en-US"/>
              </w:rPr>
              <w:t>原厂三年主机全保服务（包含人为损坏）</w:t>
            </w:r>
          </w:p>
        </w:tc>
      </w:tr>
      <w:tr w14:paraId="4ADBC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104C7FFA">
            <w:pPr>
              <w:spacing w:line="240" w:lineRule="atLeast"/>
              <w:jc w:val="center"/>
              <w:rPr>
                <w:rFonts w:ascii="宋体" w:hAnsi="宋体" w:eastAsia="宋体" w:cs="宋体"/>
                <w:kern w:val="0"/>
                <w:sz w:val="24"/>
                <w:szCs w:val="24"/>
              </w:rPr>
            </w:pPr>
            <w:r>
              <w:rPr>
                <w:rFonts w:hint="eastAsia" w:ascii="宋体" w:hAnsi="宋体" w:eastAsia="宋体" w:cs="宋体"/>
                <w:sz w:val="24"/>
                <w:szCs w:val="24"/>
                <w:lang w:bidi="en-US"/>
              </w:rPr>
              <w:t>26</w:t>
            </w:r>
          </w:p>
        </w:tc>
        <w:tc>
          <w:tcPr>
            <w:tcW w:w="1530" w:type="dxa"/>
            <w:vAlign w:val="center"/>
          </w:tcPr>
          <w:p w14:paraId="61D64A4C">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操作温度</w:t>
            </w:r>
          </w:p>
        </w:tc>
        <w:tc>
          <w:tcPr>
            <w:tcW w:w="6495" w:type="dxa"/>
            <w:vAlign w:val="center"/>
          </w:tcPr>
          <w:p w14:paraId="74ED3374">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-20°C 至+50°C</w:t>
            </w:r>
          </w:p>
        </w:tc>
      </w:tr>
      <w:tr w14:paraId="5918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6D77960C">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27</w:t>
            </w:r>
          </w:p>
        </w:tc>
        <w:tc>
          <w:tcPr>
            <w:tcW w:w="1530" w:type="dxa"/>
            <w:vAlign w:val="center"/>
          </w:tcPr>
          <w:p w14:paraId="1FC436DC">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存储温度</w:t>
            </w:r>
          </w:p>
        </w:tc>
        <w:tc>
          <w:tcPr>
            <w:tcW w:w="6495" w:type="dxa"/>
            <w:vAlign w:val="center"/>
          </w:tcPr>
          <w:p w14:paraId="457949FF">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-4°F 至 148°F -20°C 至 +60°C</w:t>
            </w:r>
          </w:p>
        </w:tc>
      </w:tr>
      <w:tr w14:paraId="4D11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208CCB16">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28</w:t>
            </w:r>
          </w:p>
        </w:tc>
        <w:tc>
          <w:tcPr>
            <w:tcW w:w="1530" w:type="dxa"/>
            <w:vAlign w:val="center"/>
          </w:tcPr>
          <w:p w14:paraId="5457DC37">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湿度</w:t>
            </w:r>
          </w:p>
        </w:tc>
        <w:tc>
          <w:tcPr>
            <w:tcW w:w="6495" w:type="dxa"/>
            <w:vAlign w:val="center"/>
          </w:tcPr>
          <w:p w14:paraId="49A7FFEC">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湿度5%至90% （无冷凝）</w:t>
            </w:r>
          </w:p>
        </w:tc>
      </w:tr>
      <w:tr w14:paraId="26AC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42F21471">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29</w:t>
            </w:r>
          </w:p>
        </w:tc>
        <w:tc>
          <w:tcPr>
            <w:tcW w:w="1530" w:type="dxa"/>
            <w:vAlign w:val="center"/>
          </w:tcPr>
          <w:p w14:paraId="5C071428">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充电底座和手绳</w:t>
            </w:r>
          </w:p>
        </w:tc>
        <w:tc>
          <w:tcPr>
            <w:tcW w:w="6495" w:type="dxa"/>
            <w:vAlign w:val="center"/>
          </w:tcPr>
          <w:p w14:paraId="169D2BF5">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每台配置单充底座和手绳</w:t>
            </w:r>
          </w:p>
        </w:tc>
      </w:tr>
      <w:tr w14:paraId="4943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1B532A22">
            <w:pPr>
              <w:spacing w:line="240" w:lineRule="atLeast"/>
              <w:jc w:val="center"/>
              <w:rPr>
                <w:rFonts w:ascii="宋体" w:hAnsi="宋体" w:eastAsia="宋体" w:cs="宋体"/>
                <w:sz w:val="24"/>
                <w:szCs w:val="24"/>
                <w:lang w:bidi="en-US"/>
              </w:rPr>
            </w:pPr>
            <w:bookmarkStart w:id="10" w:name="_Hlk143801072"/>
            <w:r>
              <w:rPr>
                <w:rFonts w:hint="eastAsia" w:ascii="宋体" w:hAnsi="宋体" w:eastAsia="宋体" w:cs="宋体"/>
                <w:sz w:val="24"/>
                <w:szCs w:val="24"/>
                <w:lang w:bidi="en-US"/>
              </w:rPr>
              <w:t>30</w:t>
            </w:r>
          </w:p>
        </w:tc>
        <w:tc>
          <w:tcPr>
            <w:tcW w:w="1530" w:type="dxa"/>
            <w:vAlign w:val="center"/>
          </w:tcPr>
          <w:p w14:paraId="60842B59">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连续扫描</w:t>
            </w:r>
          </w:p>
        </w:tc>
        <w:tc>
          <w:tcPr>
            <w:tcW w:w="6495" w:type="dxa"/>
            <w:vAlign w:val="center"/>
          </w:tcPr>
          <w:p w14:paraId="497FDCBC">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可支持条码屏幕自动连续扫描，速度分快速、中速、慢速（需提供功能截图证明文件）</w:t>
            </w:r>
          </w:p>
        </w:tc>
      </w:tr>
      <w:tr w14:paraId="1239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71085ECD">
            <w:pPr>
              <w:spacing w:line="240" w:lineRule="atLeast"/>
              <w:jc w:val="center"/>
              <w:rPr>
                <w:rFonts w:ascii="宋体" w:hAnsi="宋体" w:eastAsia="宋体" w:cs="宋体"/>
                <w:sz w:val="24"/>
                <w:szCs w:val="24"/>
                <w:lang w:bidi="en-US"/>
              </w:rPr>
            </w:pPr>
            <w:r>
              <w:rPr>
                <w:rFonts w:hint="eastAsia" w:ascii="Times New Roman" w:hAnsi="Times New Roman" w:eastAsia="宋体" w:cs="Times New Roman"/>
                <w:kern w:val="0"/>
                <w:sz w:val="24"/>
                <w:szCs w:val="24"/>
                <w:lang w:val="zh-CN"/>
              </w:rPr>
              <w:t>▲</w:t>
            </w:r>
            <w:r>
              <w:rPr>
                <w:rFonts w:hint="eastAsia" w:ascii="宋体" w:hAnsi="宋体" w:eastAsia="宋体" w:cs="宋体"/>
                <w:sz w:val="24"/>
                <w:szCs w:val="24"/>
                <w:lang w:bidi="en-US"/>
              </w:rPr>
              <w:t>31</w:t>
            </w:r>
          </w:p>
        </w:tc>
        <w:tc>
          <w:tcPr>
            <w:tcW w:w="1530" w:type="dxa"/>
            <w:vAlign w:val="center"/>
          </w:tcPr>
          <w:p w14:paraId="6929DF7F">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个性化桌面</w:t>
            </w:r>
          </w:p>
        </w:tc>
        <w:tc>
          <w:tcPr>
            <w:tcW w:w="6495" w:type="dxa"/>
            <w:vAlign w:val="center"/>
          </w:tcPr>
          <w:p w14:paraId="06700340">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通过扫描二维码快速实现个性化桌面设置，满足不同的应用场景要求。（需提供个性化桌面著作权原厂商盖章扫描件）</w:t>
            </w:r>
          </w:p>
        </w:tc>
      </w:tr>
      <w:tr w14:paraId="03D9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62DC57FC">
            <w:pPr>
              <w:spacing w:line="240" w:lineRule="atLeast"/>
              <w:jc w:val="center"/>
              <w:rPr>
                <w:rFonts w:ascii="宋体" w:hAnsi="宋体" w:eastAsia="宋体" w:cs="宋体"/>
                <w:sz w:val="24"/>
                <w:szCs w:val="24"/>
                <w:lang w:bidi="en-US"/>
              </w:rPr>
            </w:pPr>
            <w:r>
              <w:rPr>
                <w:rFonts w:hint="eastAsia" w:ascii="宋体" w:hAnsi="宋体" w:eastAsia="宋体" w:cs="宋体"/>
                <w:sz w:val="24"/>
                <w:szCs w:val="24"/>
                <w:lang w:bidi="en-US"/>
              </w:rPr>
              <w:t>32</w:t>
            </w:r>
          </w:p>
        </w:tc>
        <w:tc>
          <w:tcPr>
            <w:tcW w:w="1530" w:type="dxa"/>
            <w:vAlign w:val="center"/>
          </w:tcPr>
          <w:p w14:paraId="3A2856E2">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网络安全管理</w:t>
            </w:r>
          </w:p>
        </w:tc>
        <w:tc>
          <w:tcPr>
            <w:tcW w:w="6495" w:type="dxa"/>
            <w:vAlign w:val="center"/>
          </w:tcPr>
          <w:p w14:paraId="3899EB00">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不借助任何第三方软件实现添加网络白（黑）名单功能，屏蔽非法网络，确保设备院内医疗使用。（需提供功能截图证明文件）</w:t>
            </w:r>
          </w:p>
        </w:tc>
      </w:tr>
      <w:tr w14:paraId="7192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13F4A173">
            <w:pPr>
              <w:spacing w:line="240" w:lineRule="atLeast"/>
              <w:jc w:val="center"/>
              <w:rPr>
                <w:rFonts w:ascii="宋体" w:hAnsi="宋体" w:eastAsia="宋体" w:cs="宋体"/>
                <w:sz w:val="24"/>
                <w:szCs w:val="24"/>
                <w:lang w:bidi="en-US"/>
              </w:rPr>
            </w:pPr>
            <w:r>
              <w:rPr>
                <w:rFonts w:hint="eastAsia" w:ascii="Times New Roman" w:hAnsi="Times New Roman" w:eastAsia="宋体" w:cs="Times New Roman"/>
                <w:kern w:val="0"/>
                <w:sz w:val="24"/>
                <w:szCs w:val="24"/>
                <w:lang w:val="zh-CN"/>
              </w:rPr>
              <w:t>▲</w:t>
            </w:r>
            <w:r>
              <w:rPr>
                <w:rFonts w:hint="eastAsia" w:ascii="宋体" w:hAnsi="宋体" w:eastAsia="宋体" w:cs="宋体"/>
                <w:sz w:val="24"/>
                <w:szCs w:val="24"/>
                <w:lang w:bidi="en-US"/>
              </w:rPr>
              <w:t>33</w:t>
            </w:r>
          </w:p>
        </w:tc>
        <w:tc>
          <w:tcPr>
            <w:tcW w:w="1530" w:type="dxa"/>
            <w:vAlign w:val="center"/>
          </w:tcPr>
          <w:p w14:paraId="2AE26C8F">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防腐蚀测试</w:t>
            </w:r>
          </w:p>
        </w:tc>
        <w:tc>
          <w:tcPr>
            <w:tcW w:w="6495" w:type="dxa"/>
            <w:vAlign w:val="center"/>
          </w:tcPr>
          <w:p w14:paraId="4B6B61C5">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投标产品通过GB/T2423.17-2008防腐（盐雾）检测（需提供第三方机构出具的测试报告或证书并加盖原厂商公章，其委托单位必须为投标产品原厂商，并且证书型号与投标型号必须一致）</w:t>
            </w:r>
          </w:p>
        </w:tc>
      </w:tr>
      <w:tr w14:paraId="3549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494E3A44">
            <w:pPr>
              <w:spacing w:line="240" w:lineRule="atLeast"/>
              <w:jc w:val="center"/>
              <w:rPr>
                <w:rFonts w:ascii="宋体" w:hAnsi="宋体" w:eastAsia="宋体" w:cs="宋体"/>
                <w:sz w:val="24"/>
                <w:szCs w:val="24"/>
                <w:lang w:bidi="en-US"/>
              </w:rPr>
            </w:pPr>
            <w:r>
              <w:rPr>
                <w:rFonts w:hint="eastAsia" w:ascii="Times New Roman" w:hAnsi="Times New Roman" w:eastAsia="宋体" w:cs="Times New Roman"/>
                <w:kern w:val="0"/>
                <w:sz w:val="24"/>
                <w:szCs w:val="24"/>
                <w:lang w:val="zh-CN"/>
              </w:rPr>
              <w:t>▲</w:t>
            </w:r>
            <w:r>
              <w:rPr>
                <w:rFonts w:hint="eastAsia" w:ascii="宋体" w:hAnsi="宋体" w:eastAsia="宋体" w:cs="宋体"/>
                <w:sz w:val="24"/>
                <w:szCs w:val="24"/>
                <w:lang w:bidi="en-US"/>
              </w:rPr>
              <w:t>34</w:t>
            </w:r>
          </w:p>
        </w:tc>
        <w:tc>
          <w:tcPr>
            <w:tcW w:w="1530" w:type="dxa"/>
            <w:vAlign w:val="center"/>
          </w:tcPr>
          <w:p w14:paraId="591E295B">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医用电气安全</w:t>
            </w:r>
          </w:p>
        </w:tc>
        <w:tc>
          <w:tcPr>
            <w:tcW w:w="6495" w:type="dxa"/>
            <w:vAlign w:val="center"/>
          </w:tcPr>
          <w:p w14:paraId="75255C0D">
            <w:pPr>
              <w:spacing w:line="240" w:lineRule="atLeast"/>
              <w:rPr>
                <w:rFonts w:ascii="宋体" w:hAnsi="宋体" w:eastAsia="宋体" w:cs="宋体"/>
                <w:sz w:val="24"/>
                <w:szCs w:val="24"/>
                <w:lang w:bidi="en-US"/>
              </w:rPr>
            </w:pPr>
            <w:r>
              <w:rPr>
                <w:rFonts w:hint="eastAsia" w:ascii="宋体" w:hAnsi="宋体" w:eastAsia="宋体" w:cs="宋体"/>
                <w:color w:val="000000"/>
                <w:kern w:val="0"/>
                <w:sz w:val="24"/>
                <w:szCs w:val="24"/>
                <w:lang w:bidi="ar"/>
              </w:rPr>
              <w:t>投标产品通过2023年8月最新标准</w:t>
            </w:r>
            <w:r>
              <w:rPr>
                <w:rFonts w:hint="eastAsia" w:ascii="宋体" w:hAnsi="宋体" w:eastAsia="宋体" w:cs="宋体"/>
                <w:sz w:val="24"/>
                <w:szCs w:val="24"/>
              </w:rPr>
              <w:t>YY 9706.102-2021</w:t>
            </w:r>
            <w:r>
              <w:rPr>
                <w:rFonts w:hint="eastAsia" w:ascii="宋体" w:hAnsi="宋体" w:eastAsia="宋体" w:cs="宋体"/>
                <w:color w:val="4472C4"/>
                <w:kern w:val="0"/>
                <w:sz w:val="24"/>
                <w:szCs w:val="24"/>
                <w:lang w:bidi="ar"/>
              </w:rPr>
              <w:t xml:space="preserve"> </w:t>
            </w:r>
            <w:r>
              <w:rPr>
                <w:rFonts w:hint="eastAsia" w:ascii="宋体" w:hAnsi="宋体" w:eastAsia="宋体" w:cs="宋体"/>
                <w:color w:val="000000"/>
                <w:kern w:val="0"/>
                <w:sz w:val="24"/>
                <w:szCs w:val="24"/>
                <w:lang w:bidi="ar"/>
              </w:rPr>
              <w:t>医用电气安全检测，需提供第三方CNAS实验室出具检测报告，其委托单位必须为投标产品原厂商，提供盖章扫描件</w:t>
            </w:r>
          </w:p>
        </w:tc>
      </w:tr>
      <w:tr w14:paraId="0C5A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95" w:type="dxa"/>
            <w:vAlign w:val="center"/>
          </w:tcPr>
          <w:p w14:paraId="430D4A82">
            <w:pPr>
              <w:spacing w:line="240" w:lineRule="atLeast"/>
              <w:jc w:val="center"/>
              <w:rPr>
                <w:rFonts w:ascii="宋体" w:hAnsi="宋体" w:eastAsia="宋体" w:cs="宋体"/>
                <w:sz w:val="24"/>
                <w:szCs w:val="24"/>
                <w:lang w:bidi="en-US"/>
              </w:rPr>
            </w:pPr>
            <w:r>
              <w:rPr>
                <w:rFonts w:hint="eastAsia" w:ascii="Times New Roman" w:hAnsi="Times New Roman" w:eastAsia="宋体" w:cs="Times New Roman"/>
                <w:kern w:val="0"/>
                <w:sz w:val="24"/>
                <w:szCs w:val="24"/>
                <w:lang w:val="zh-CN"/>
              </w:rPr>
              <w:t>▲</w:t>
            </w:r>
            <w:r>
              <w:rPr>
                <w:rFonts w:hint="eastAsia" w:ascii="宋体" w:hAnsi="宋体" w:eastAsia="宋体" w:cs="宋体"/>
                <w:sz w:val="24"/>
                <w:szCs w:val="24"/>
                <w:lang w:bidi="en-US"/>
              </w:rPr>
              <w:t>35</w:t>
            </w:r>
          </w:p>
        </w:tc>
        <w:tc>
          <w:tcPr>
            <w:tcW w:w="1530" w:type="dxa"/>
            <w:vAlign w:val="center"/>
          </w:tcPr>
          <w:p w14:paraId="6FF03E08">
            <w:pPr>
              <w:spacing w:line="240" w:lineRule="atLeast"/>
              <w:rPr>
                <w:rFonts w:ascii="宋体" w:hAnsi="宋体" w:eastAsia="宋体" w:cs="宋体"/>
                <w:sz w:val="24"/>
                <w:szCs w:val="24"/>
                <w:lang w:bidi="en-US"/>
              </w:rPr>
            </w:pPr>
            <w:r>
              <w:rPr>
                <w:rFonts w:hint="eastAsia" w:ascii="宋体" w:hAnsi="宋体" w:eastAsia="宋体" w:cs="宋体"/>
                <w:sz w:val="24"/>
                <w:szCs w:val="24"/>
                <w:lang w:bidi="en-US"/>
              </w:rPr>
              <w:t>远程管理软件</w:t>
            </w:r>
          </w:p>
        </w:tc>
        <w:tc>
          <w:tcPr>
            <w:tcW w:w="6495" w:type="dxa"/>
            <w:vAlign w:val="center"/>
          </w:tcPr>
          <w:p w14:paraId="6E88ACD1">
            <w:pPr>
              <w:spacing w:line="240" w:lineRule="atLeas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提供同品牌的PDA远程管理软件，提供软件著作权盖章扫描件</w:t>
            </w:r>
          </w:p>
        </w:tc>
      </w:tr>
      <w:bookmarkEnd w:id="10"/>
    </w:tbl>
    <w:p w14:paraId="660FC08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cs="宋体"/>
          <w:b/>
          <w:bCs/>
          <w:color w:val="auto"/>
          <w:szCs w:val="24"/>
          <w:highlight w:val="none"/>
          <w:shd w:val="clear" w:color="auto" w:fill="FFFFFF"/>
          <w:lang w:eastAsia="zh-CN"/>
        </w:rPr>
      </w:pPr>
      <w:r>
        <w:rPr>
          <w:rFonts w:hint="eastAsia" w:ascii="Times New Roman" w:hAnsi="Times New Roman" w:cs="宋体"/>
          <w:b/>
          <w:bCs/>
          <w:color w:val="auto"/>
          <w:szCs w:val="24"/>
          <w:highlight w:val="none"/>
          <w:shd w:val="clear" w:color="auto" w:fill="FFFFFF"/>
          <w:lang w:eastAsia="zh-CN"/>
        </w:rPr>
        <w:t>四、采购标的数量、采购项目交付或者实施的时间和地点</w:t>
      </w:r>
    </w:p>
    <w:tbl>
      <w:tblPr>
        <w:tblStyle w:val="26"/>
        <w:tblW w:w="90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560"/>
        <w:gridCol w:w="1518"/>
        <w:gridCol w:w="4808"/>
        <w:gridCol w:w="821"/>
        <w:gridCol w:w="1357"/>
      </w:tblGrid>
      <w:tr w14:paraId="5ED56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8F32E5">
            <w:pPr>
              <w:widowControl/>
              <w:jc w:val="center"/>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序号</w:t>
            </w:r>
          </w:p>
        </w:tc>
        <w:tc>
          <w:tcPr>
            <w:tcW w:w="1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EE84EE">
            <w:pPr>
              <w:widowControl/>
              <w:jc w:val="center"/>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设备名称</w:t>
            </w:r>
          </w:p>
        </w:tc>
        <w:tc>
          <w:tcPr>
            <w:tcW w:w="480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946EA6">
            <w:pPr>
              <w:widowControl/>
              <w:jc w:val="center"/>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配置参数</w:t>
            </w:r>
            <w:r>
              <w:rPr>
                <w:rFonts w:ascii="Times New Roman" w:hAnsi="Times New Roman" w:eastAsia="宋体" w:cs="Times New Roman"/>
                <w:b/>
                <w:bCs/>
                <w:kern w:val="0"/>
                <w:sz w:val="24"/>
                <w:szCs w:val="24"/>
                <w:lang w:val="zh-CN"/>
              </w:rPr>
              <w:t>要求</w:t>
            </w:r>
          </w:p>
        </w:tc>
        <w:tc>
          <w:tcPr>
            <w:tcW w:w="8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FFF547">
            <w:pPr>
              <w:widowControl/>
              <w:jc w:val="center"/>
              <w:rPr>
                <w:rFonts w:ascii="Times New Roman" w:hAnsi="Times New Roman" w:eastAsia="宋体" w:cs="Times New Roman"/>
                <w:b/>
                <w:bCs/>
                <w:kern w:val="0"/>
                <w:sz w:val="24"/>
                <w:szCs w:val="24"/>
                <w:lang w:val="zh-CN"/>
              </w:rPr>
            </w:pPr>
            <w:r>
              <w:rPr>
                <w:rFonts w:ascii="Times New Roman" w:hAnsi="Times New Roman" w:eastAsia="宋体" w:cs="Times New Roman"/>
                <w:b/>
                <w:bCs/>
                <w:kern w:val="0"/>
                <w:sz w:val="24"/>
                <w:szCs w:val="24"/>
                <w:lang w:val="zh-CN"/>
              </w:rPr>
              <w:t>数量</w:t>
            </w:r>
          </w:p>
        </w:tc>
        <w:tc>
          <w:tcPr>
            <w:tcW w:w="1357" w:type="dxa"/>
            <w:tcBorders>
              <w:top w:val="single" w:color="auto" w:sz="6" w:space="0"/>
              <w:left w:val="nil"/>
              <w:bottom w:val="single" w:color="auto" w:sz="6" w:space="0"/>
              <w:right w:val="single" w:color="auto" w:sz="6" w:space="0"/>
            </w:tcBorders>
            <w:shd w:val="clear" w:color="auto" w:fill="FFFFFF"/>
            <w:vAlign w:val="center"/>
          </w:tcPr>
          <w:p w14:paraId="3B9FA8D2">
            <w:pPr>
              <w:widowControl/>
              <w:jc w:val="center"/>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color w:val="auto"/>
                <w:kern w:val="0"/>
                <w:sz w:val="24"/>
                <w:szCs w:val="24"/>
                <w:lang w:val="zh-CN"/>
              </w:rPr>
              <w:t>建议</w:t>
            </w:r>
            <w:r>
              <w:rPr>
                <w:rFonts w:ascii="Times New Roman" w:hAnsi="Times New Roman" w:eastAsia="宋体" w:cs="Times New Roman"/>
                <w:b/>
                <w:bCs/>
                <w:color w:val="auto"/>
                <w:kern w:val="0"/>
                <w:sz w:val="24"/>
                <w:szCs w:val="24"/>
                <w:lang w:val="zh-CN"/>
              </w:rPr>
              <w:t>品牌</w:t>
            </w:r>
          </w:p>
        </w:tc>
      </w:tr>
      <w:tr w14:paraId="60287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jc w:val="center"/>
        </w:trPr>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27A768">
            <w:pPr>
              <w:widowControl/>
              <w:jc w:val="center"/>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1</w:t>
            </w:r>
          </w:p>
        </w:tc>
        <w:tc>
          <w:tcPr>
            <w:tcW w:w="1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ECC9D3">
            <w:pPr>
              <w:widowControl/>
              <w:jc w:val="center"/>
              <w:rPr>
                <w:rFonts w:ascii="Times New Roman" w:hAnsi="Times New Roman" w:eastAsia="宋体" w:cs="Times New Roman"/>
                <w:kern w:val="0"/>
                <w:sz w:val="24"/>
                <w:szCs w:val="24"/>
                <w:lang w:val="zh-CN"/>
              </w:rPr>
            </w:pPr>
            <w:r>
              <w:rPr>
                <w:rFonts w:ascii="Times New Roman" w:hAnsi="Times New Roman" w:eastAsia="宋体" w:cs="Times New Roman"/>
                <w:kern w:val="0"/>
                <w:sz w:val="24"/>
                <w:szCs w:val="24"/>
                <w:lang w:val="zh-CN"/>
              </w:rPr>
              <w:t>手持式PDA</w:t>
            </w:r>
            <w:r>
              <w:rPr>
                <w:rFonts w:hint="eastAsia" w:ascii="Times New Roman" w:hAnsi="Times New Roman" w:eastAsia="宋体" w:cs="Times New Roman"/>
                <w:kern w:val="0"/>
                <w:sz w:val="24"/>
                <w:szCs w:val="24"/>
                <w:lang w:val="zh-CN"/>
              </w:rPr>
              <w:t>终端设备</w:t>
            </w:r>
          </w:p>
        </w:tc>
        <w:tc>
          <w:tcPr>
            <w:tcW w:w="480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F9FED7">
            <w:pPr>
              <w:widowControl/>
              <w:jc w:val="left"/>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Android 1</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val="zh-CN"/>
              </w:rPr>
              <w:t>.0及以上，八核处理器、主频≥</w:t>
            </w:r>
            <w:r>
              <w:rPr>
                <w:rFonts w:hint="eastAsia" w:ascii="Times New Roman" w:hAnsi="Times New Roman" w:eastAsia="宋体" w:cs="Times New Roman"/>
                <w:kern w:val="0"/>
                <w:sz w:val="24"/>
                <w:szCs w:val="24"/>
              </w:rPr>
              <w:t>2</w:t>
            </w:r>
            <w:r>
              <w:rPr>
                <w:rFonts w:hint="eastAsia" w:ascii="Times New Roman" w:hAnsi="Times New Roman" w:eastAsia="宋体" w:cs="Times New Roman"/>
                <w:kern w:val="0"/>
                <w:sz w:val="24"/>
                <w:szCs w:val="24"/>
                <w:lang w:val="zh-CN"/>
              </w:rPr>
              <w:t>.</w:t>
            </w:r>
            <w:r>
              <w:rPr>
                <w:rFonts w:hint="eastAsia" w:ascii="Times New Roman" w:hAnsi="Times New Roman" w:eastAsia="宋体" w:cs="Times New Roman"/>
                <w:kern w:val="0"/>
                <w:sz w:val="24"/>
                <w:szCs w:val="24"/>
              </w:rPr>
              <w:t>0</w:t>
            </w:r>
            <w:r>
              <w:rPr>
                <w:rFonts w:hint="eastAsia" w:ascii="Times New Roman" w:hAnsi="Times New Roman" w:eastAsia="宋体" w:cs="Times New Roman"/>
                <w:kern w:val="0"/>
                <w:sz w:val="24"/>
                <w:szCs w:val="24"/>
                <w:lang w:val="zh-CN"/>
              </w:rPr>
              <w:t>GHz（高通）；内存≥</w:t>
            </w: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val="zh-CN"/>
              </w:rPr>
              <w:t>GB；存储≥</w:t>
            </w:r>
            <w:r>
              <w:rPr>
                <w:rFonts w:hint="eastAsia" w:ascii="Times New Roman" w:hAnsi="Times New Roman" w:eastAsia="宋体" w:cs="Times New Roman"/>
                <w:kern w:val="0"/>
                <w:sz w:val="24"/>
                <w:szCs w:val="24"/>
              </w:rPr>
              <w:t>32</w:t>
            </w:r>
            <w:r>
              <w:rPr>
                <w:rFonts w:hint="eastAsia" w:ascii="Times New Roman" w:hAnsi="Times New Roman" w:eastAsia="宋体" w:cs="Times New Roman"/>
                <w:kern w:val="0"/>
                <w:sz w:val="24"/>
                <w:szCs w:val="24"/>
                <w:lang w:val="zh-CN"/>
              </w:rPr>
              <w:t>GB, 电池≥4</w:t>
            </w:r>
            <w:r>
              <w:rPr>
                <w:rFonts w:hint="eastAsia" w:ascii="Times New Roman" w:hAnsi="Times New Roman" w:eastAsia="宋体" w:cs="Times New Roman"/>
                <w:kern w:val="0"/>
                <w:sz w:val="24"/>
                <w:szCs w:val="24"/>
              </w:rPr>
              <w:t>5</w:t>
            </w:r>
            <w:r>
              <w:rPr>
                <w:rFonts w:hint="eastAsia" w:ascii="Times New Roman" w:hAnsi="Times New Roman" w:eastAsia="宋体" w:cs="Times New Roman"/>
                <w:kern w:val="0"/>
                <w:sz w:val="24"/>
                <w:szCs w:val="24"/>
                <w:lang w:val="zh-CN"/>
              </w:rPr>
              <w:t>00mAh，屏幕≥5.</w:t>
            </w:r>
            <w:r>
              <w:rPr>
                <w:rFonts w:hint="eastAsia" w:ascii="Times New Roman" w:hAnsi="Times New Roman" w:eastAsia="宋体" w:cs="Times New Roman"/>
                <w:kern w:val="0"/>
                <w:sz w:val="24"/>
                <w:szCs w:val="24"/>
              </w:rPr>
              <w:t>5</w:t>
            </w:r>
            <w:r>
              <w:rPr>
                <w:rFonts w:hint="eastAsia" w:ascii="Times New Roman" w:hAnsi="Times New Roman" w:eastAsia="宋体" w:cs="Times New Roman"/>
                <w:kern w:val="0"/>
                <w:sz w:val="24"/>
                <w:szCs w:val="24"/>
                <w:lang w:val="zh-CN"/>
              </w:rPr>
              <w:t>寸彩色。提供原厂三年主机全保服务（包含人为损坏）</w:t>
            </w:r>
          </w:p>
        </w:tc>
        <w:tc>
          <w:tcPr>
            <w:tcW w:w="8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CF5475">
            <w:pPr>
              <w:widowControl/>
              <w:jc w:val="center"/>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30台</w:t>
            </w:r>
          </w:p>
        </w:tc>
        <w:tc>
          <w:tcPr>
            <w:tcW w:w="1357" w:type="dxa"/>
            <w:tcBorders>
              <w:top w:val="single" w:color="auto" w:sz="6" w:space="0"/>
              <w:left w:val="nil"/>
              <w:bottom w:val="single" w:color="auto" w:sz="6" w:space="0"/>
              <w:right w:val="single" w:color="auto" w:sz="6" w:space="0"/>
            </w:tcBorders>
            <w:shd w:val="clear" w:color="auto" w:fill="FFFFFF"/>
            <w:vAlign w:val="center"/>
          </w:tcPr>
          <w:p w14:paraId="36EDC047">
            <w:pPr>
              <w:widowControl/>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优尼泰克、希姆通、霍尼韦尔</w:t>
            </w:r>
          </w:p>
        </w:tc>
      </w:tr>
    </w:tbl>
    <w:p w14:paraId="7F8ECC5A">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zh-CN"/>
        </w:rPr>
        <w:t>1、成交结果公告发布之日起3个工作日内，成交供应商须按要求</w:t>
      </w:r>
      <w:r>
        <w:rPr>
          <w:rFonts w:hint="eastAsia" w:ascii="Times New Roman" w:hAnsi="Times New Roman" w:eastAsia="宋体" w:cs="宋体"/>
          <w:color w:val="FF0000"/>
          <w:sz w:val="24"/>
          <w:szCs w:val="24"/>
          <w:highlight w:val="none"/>
          <w:lang w:val="zh-CN"/>
        </w:rPr>
        <w:t>将相关证明材料的原件提供给采购单位，且所有原件须同时加盖生产厂家和成交供应商的公章</w:t>
      </w:r>
      <w:r>
        <w:rPr>
          <w:rFonts w:hint="eastAsia" w:ascii="Times New Roman" w:hAnsi="Times New Roman" w:eastAsia="宋体" w:cs="宋体"/>
          <w:color w:val="auto"/>
          <w:sz w:val="24"/>
          <w:szCs w:val="24"/>
          <w:highlight w:val="none"/>
          <w:lang w:val="zh-CN"/>
        </w:rPr>
        <w:t>，并同时将所投产品（1台）交采购单位进行功能性测试。</w:t>
      </w:r>
      <w:r>
        <w:rPr>
          <w:rFonts w:hint="eastAsia" w:ascii="Times New Roman" w:hAnsi="Times New Roman" w:eastAsia="宋体" w:cs="宋体"/>
          <w:color w:val="auto"/>
          <w:sz w:val="24"/>
          <w:szCs w:val="24"/>
          <w:highlight w:val="none"/>
        </w:rPr>
        <w:t xml:space="preserve"> </w:t>
      </w:r>
    </w:p>
    <w:p w14:paraId="21A71DD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2、如成交供应商的产品未提供或未通过采购单位的功能性测试的、未提交或提交的资料未达到项目需求及采购人要求的，将视作自动放弃成交资格处理，采购单位有权选择排名第二的供应商或者重新组织采购。</w:t>
      </w:r>
    </w:p>
    <w:p w14:paraId="392A05D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3、成交供应商在成交后签订合同前需提供</w:t>
      </w:r>
      <w:r>
        <w:rPr>
          <w:rFonts w:hint="eastAsia" w:ascii="Times New Roman" w:hAnsi="Times New Roman" w:eastAsia="宋体" w:cs="宋体"/>
          <w:color w:val="FF0000"/>
          <w:sz w:val="24"/>
          <w:szCs w:val="24"/>
          <w:highlight w:val="none"/>
          <w:lang w:val="zh-CN"/>
        </w:rPr>
        <w:t>PDA产品原厂针对本次项目的原厂授权函及质保的售后服务承诺函原件并加盖原厂公章</w:t>
      </w:r>
      <w:r>
        <w:rPr>
          <w:rFonts w:hint="eastAsia" w:ascii="Times New Roman" w:hAnsi="Times New Roman" w:eastAsia="宋体" w:cs="宋体"/>
          <w:color w:val="auto"/>
          <w:sz w:val="24"/>
          <w:szCs w:val="24"/>
          <w:highlight w:val="none"/>
          <w:lang w:val="zh-CN"/>
        </w:rPr>
        <w:t>，此项为签合同必备条件，未提供可拒签合同。</w:t>
      </w:r>
    </w:p>
    <w:p w14:paraId="37862BAF">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五、</w:t>
      </w:r>
      <w:r>
        <w:rPr>
          <w:rFonts w:hint="eastAsia" w:ascii="Times New Roman" w:hAnsi="Times New Roman" w:eastAsia="宋体" w:cs="宋体"/>
          <w:b/>
          <w:bCs/>
          <w:color w:val="auto"/>
          <w:szCs w:val="24"/>
          <w:highlight w:val="none"/>
          <w:shd w:val="clear" w:color="auto" w:fill="FFFFFF"/>
        </w:rPr>
        <w:t>采购标的需满足的服务标准、期限、效率等要求</w:t>
      </w:r>
    </w:p>
    <w:p w14:paraId="22045EC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1、合同签订日期：自中标（成交）通知书发出之日起30日内按时签约。</w:t>
      </w:r>
    </w:p>
    <w:p w14:paraId="53A827B1">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2、供货期：合同签订之日起10个工作日内安装调试完成。</w:t>
      </w:r>
    </w:p>
    <w:p w14:paraId="1E19F7D1">
      <w:pPr>
        <w:pageBreakBefore w:val="0"/>
        <w:kinsoku/>
        <w:wordWrap/>
        <w:overflowPunct/>
        <w:topLinePunct w:val="0"/>
        <w:bidi w:val="0"/>
        <w:spacing w:line="360" w:lineRule="auto"/>
        <w:ind w:firstLine="482"/>
        <w:textAlignment w:val="auto"/>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en-US" w:eastAsia="zh-CN"/>
        </w:rPr>
        <w:t>3</w:t>
      </w:r>
      <w:r>
        <w:rPr>
          <w:rFonts w:ascii="Times New Roman" w:hAnsi="Times New Roman" w:eastAsia="宋体"/>
          <w:b/>
          <w:color w:val="auto"/>
          <w:sz w:val="24"/>
          <w:szCs w:val="24"/>
          <w:highlight w:val="none"/>
        </w:rPr>
        <w:t>、</w:t>
      </w:r>
      <w:r>
        <w:rPr>
          <w:rFonts w:ascii="Times New Roman" w:hAnsi="Times New Roman" w:eastAsia="宋体"/>
          <w:b/>
          <w:color w:val="auto"/>
          <w:sz w:val="24"/>
          <w:szCs w:val="24"/>
          <w:highlight w:val="none"/>
          <w:lang w:val="zh-CN"/>
        </w:rPr>
        <w:t>产品要求：</w:t>
      </w:r>
    </w:p>
    <w:p w14:paraId="161C4823">
      <w:pPr>
        <w:pageBreakBefore w:val="0"/>
        <w:kinsoku/>
        <w:wordWrap/>
        <w:overflowPunct/>
        <w:topLinePunct w:val="0"/>
        <w:bidi w:val="0"/>
        <w:spacing w:line="360" w:lineRule="auto"/>
        <w:ind w:firstLine="480"/>
        <w:textAlignment w:val="auto"/>
        <w:rPr>
          <w:rFonts w:hint="eastAsia"/>
          <w:color w:val="auto"/>
          <w:lang w:val="zh-CN"/>
        </w:rPr>
      </w:pPr>
      <w:r>
        <w:rPr>
          <w:rFonts w:ascii="Times New Roman" w:hAnsi="Times New Roman" w:eastAsia="宋体"/>
          <w:color w:val="auto"/>
          <w:sz w:val="24"/>
          <w:szCs w:val="24"/>
          <w:highlight w:val="none"/>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14:paraId="27F4992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en-US" w:eastAsia="zh-CN"/>
        </w:rPr>
        <w:t>4</w:t>
      </w:r>
      <w:r>
        <w:rPr>
          <w:rFonts w:hint="eastAsia" w:ascii="Times New Roman" w:hAnsi="Times New Roman" w:eastAsia="宋体" w:cs="宋体"/>
          <w:color w:val="auto"/>
          <w:sz w:val="24"/>
          <w:szCs w:val="24"/>
          <w:highlight w:val="none"/>
          <w:lang w:val="zh-CN"/>
        </w:rPr>
        <w:t>、交货要求：所有货品必须原包装进场，配置符合采购要求，外观无损坏，原厂封装无拆封，并运送及安装到用户指定地点。</w:t>
      </w:r>
    </w:p>
    <w:p w14:paraId="443420ED">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lang w:val="zh-CN"/>
        </w:rPr>
        <w:t>、质保期：提供原厂三年主机全保服务（包含人为损坏）。</w:t>
      </w:r>
    </w:p>
    <w:p w14:paraId="22328DB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en-US" w:eastAsia="zh-CN"/>
        </w:rPr>
        <w:t>6</w:t>
      </w:r>
      <w:r>
        <w:rPr>
          <w:rFonts w:hint="eastAsia" w:ascii="Times New Roman" w:hAnsi="Times New Roman" w:eastAsia="宋体" w:cs="宋体"/>
          <w:color w:val="auto"/>
          <w:sz w:val="24"/>
          <w:szCs w:val="24"/>
          <w:highlight w:val="none"/>
          <w:lang w:val="zh-CN"/>
        </w:rPr>
        <w:t>、安装、售后服务要求：成交供应商必须负责安装、调试直至合格交付使用。</w:t>
      </w:r>
    </w:p>
    <w:p w14:paraId="3954DED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en-US" w:eastAsia="zh-CN"/>
        </w:rPr>
        <w:t>7</w:t>
      </w:r>
      <w:r>
        <w:rPr>
          <w:rFonts w:hint="eastAsia" w:ascii="Times New Roman" w:hAnsi="Times New Roman" w:eastAsia="宋体" w:cs="宋体"/>
          <w:color w:val="auto"/>
          <w:sz w:val="24"/>
          <w:szCs w:val="24"/>
          <w:highlight w:val="none"/>
          <w:lang w:val="zh-CN"/>
        </w:rPr>
        <w:t>、其他售后服务要求：成交供应商必须负责所采购设备的运输，负责进场卸货、安装、调试、检测，培训，合格交付使用，并提供</w:t>
      </w:r>
      <w:r>
        <w:rPr>
          <w:rFonts w:hint="eastAsia" w:ascii="Times New Roman" w:hAnsi="Times New Roman" w:eastAsia="宋体" w:cs="宋体"/>
          <w:color w:val="FF0000"/>
          <w:sz w:val="24"/>
          <w:szCs w:val="24"/>
          <w:highlight w:val="none"/>
          <w:lang w:val="zh-CN"/>
        </w:rPr>
        <w:t>采购文件</w:t>
      </w:r>
      <w:r>
        <w:rPr>
          <w:rFonts w:hint="eastAsia" w:ascii="Times New Roman" w:hAnsi="Times New Roman" w:eastAsia="宋体" w:cs="宋体"/>
          <w:color w:val="auto"/>
          <w:sz w:val="24"/>
          <w:szCs w:val="24"/>
          <w:highlight w:val="none"/>
          <w:lang w:val="zh-CN"/>
        </w:rPr>
        <w:t>要求年限的免费保修。自验收报告签署之日起，在发生故障后2小时内派出工程师到达现场进行维护，24小时内排除故障。</w:t>
      </w:r>
    </w:p>
    <w:p w14:paraId="72218141">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六、</w:t>
      </w:r>
      <w:r>
        <w:rPr>
          <w:rFonts w:hint="eastAsia" w:ascii="Times New Roman" w:hAnsi="Times New Roman" w:eastAsia="宋体" w:cs="宋体"/>
          <w:b/>
          <w:bCs/>
          <w:color w:val="auto"/>
          <w:szCs w:val="24"/>
          <w:highlight w:val="none"/>
          <w:shd w:val="clear" w:color="auto" w:fill="FFFFFF"/>
        </w:rPr>
        <w:t>采购标的验收标准</w:t>
      </w:r>
    </w:p>
    <w:p w14:paraId="3854E8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采购单位按合同约定积极配合供应商履约，按合同约定及时组织相关专业技术人员进行验收，并出具验收报告，验收合格的作为支付款项的依据。</w:t>
      </w:r>
    </w:p>
    <w:p w14:paraId="5E2C318B">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七、</w:t>
      </w:r>
      <w:r>
        <w:rPr>
          <w:rFonts w:hint="eastAsia" w:ascii="Times New Roman" w:hAnsi="Times New Roman" w:eastAsia="宋体" w:cs="宋体"/>
          <w:b/>
          <w:bCs/>
          <w:color w:val="auto"/>
          <w:szCs w:val="24"/>
          <w:highlight w:val="none"/>
          <w:shd w:val="clear" w:color="auto" w:fill="FFFFFF"/>
        </w:rPr>
        <w:t>采购标的其他技术、服务等要求</w:t>
      </w:r>
    </w:p>
    <w:p w14:paraId="3CB7442F">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lang w:val="zh-CN"/>
        </w:rPr>
      </w:pPr>
      <w:r>
        <w:rPr>
          <w:rFonts w:hint="eastAsia" w:ascii="Times New Roman" w:hAnsi="Times New Roman" w:eastAsia="宋体" w:cs="宋体"/>
          <w:color w:val="auto"/>
          <w:sz w:val="24"/>
          <w:szCs w:val="24"/>
          <w:highlight w:val="none"/>
          <w:lang w:val="zh-CN"/>
        </w:rPr>
        <w:t>质量保证期内提供工程师免费上门安装、调试、更换所供设备的所有零、部件，设备所有软件系统、相关数据库均提供免费升级服务；提供完备的软件、技术资料和用户维护手册。</w:t>
      </w:r>
    </w:p>
    <w:p w14:paraId="7EC120E8">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cs="宋体"/>
          <w:b/>
          <w:bCs/>
          <w:color w:val="auto"/>
          <w:szCs w:val="24"/>
          <w:highlight w:val="none"/>
          <w:shd w:val="clear" w:color="auto" w:fill="FFFFFF"/>
          <w:lang w:eastAsia="zh-CN"/>
        </w:rPr>
        <w:t>八、</w:t>
      </w:r>
      <w:r>
        <w:rPr>
          <w:rFonts w:hint="eastAsia" w:ascii="Times New Roman" w:hAnsi="Times New Roman" w:eastAsia="宋体" w:cs="宋体"/>
          <w:b/>
          <w:bCs/>
          <w:color w:val="auto"/>
          <w:szCs w:val="24"/>
          <w:highlight w:val="none"/>
          <w:shd w:val="clear" w:color="auto" w:fill="FFFFFF"/>
        </w:rPr>
        <w:t>付款条件</w:t>
      </w:r>
    </w:p>
    <w:p w14:paraId="718DAD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sz w:val="24"/>
          <w:szCs w:val="24"/>
          <w:highlight w:val="none"/>
          <w:lang w:val="zh-CN"/>
        </w:rPr>
        <w:t>项目实施完毕验收合格后15个工作日内，支付合同全款的</w:t>
      </w:r>
      <w:r>
        <w:rPr>
          <w:rFonts w:hint="eastAsia" w:ascii="Times New Roman" w:hAnsi="Times New Roman" w:eastAsia="宋体" w:cs="宋体"/>
          <w:color w:val="auto"/>
          <w:sz w:val="24"/>
          <w:szCs w:val="24"/>
          <w:highlight w:val="none"/>
          <w:lang w:val="en-US" w:eastAsia="zh-CN"/>
        </w:rPr>
        <w:t>8</w:t>
      </w:r>
      <w:r>
        <w:rPr>
          <w:rFonts w:hint="eastAsia" w:ascii="Times New Roman" w:hAnsi="Times New Roman" w:eastAsia="宋体" w:cs="宋体"/>
          <w:color w:val="auto"/>
          <w:sz w:val="24"/>
          <w:szCs w:val="24"/>
          <w:highlight w:val="none"/>
          <w:lang w:val="zh-CN"/>
        </w:rPr>
        <w:t>0%；余款</w:t>
      </w: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lang w:val="zh-CN"/>
        </w:rPr>
        <w:t>0%在质保期满后15个工作日内付清。</w:t>
      </w:r>
      <w:r>
        <w:rPr>
          <w:rFonts w:hint="eastAsia" w:cs="宋体"/>
          <w:color w:val="auto"/>
          <w:kern w:val="2"/>
          <w:sz w:val="24"/>
          <w:szCs w:val="24"/>
          <w:highlight w:val="none"/>
          <w:lang w:val="en-US" w:eastAsia="zh-CN" w:bidi="ar-SA"/>
        </w:rPr>
        <w:t>成交供应商提供正规税务发票。</w:t>
      </w:r>
    </w:p>
    <w:p w14:paraId="469E48FE">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1" w:name="_Toc37322565"/>
      <w:bookmarkStart w:id="12" w:name="_Toc43217893"/>
      <w:bookmarkStart w:id="13" w:name="_Toc85627670"/>
      <w:bookmarkStart w:id="14" w:name="_Toc182848996"/>
      <w:bookmarkStart w:id="15" w:name="_Toc38121794"/>
      <w:r>
        <w:rPr>
          <w:rFonts w:hint="eastAsia" w:ascii="Times New Roman" w:hAnsi="Times New Roman" w:eastAsia="宋体" w:cs="宋体"/>
          <w:color w:val="auto"/>
          <w:w w:val="80"/>
          <w:sz w:val="48"/>
          <w:szCs w:val="44"/>
          <w:highlight w:val="none"/>
        </w:rPr>
        <w:t xml:space="preserve"> 评审方法和程序</w:t>
      </w:r>
      <w:bookmarkEnd w:id="11"/>
      <w:bookmarkEnd w:id="12"/>
      <w:bookmarkEnd w:id="13"/>
      <w:bookmarkEnd w:id="14"/>
      <w:bookmarkEnd w:id="15"/>
    </w:p>
    <w:p w14:paraId="42F7245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6" w:name="_Toc363573857"/>
      <w:bookmarkEnd w:id="16"/>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w:t>
      </w:r>
      <w:r>
        <w:rPr>
          <w:rFonts w:hint="eastAsia" w:ascii="Times New Roman" w:hAnsi="Times New Roman" w:eastAsia="宋体" w:cs="宋体"/>
          <w:color w:val="auto"/>
          <w:sz w:val="24"/>
          <w:szCs w:val="24"/>
          <w:highlight w:val="none"/>
          <w:lang w:eastAsia="zh-CN"/>
        </w:rPr>
        <w:t>商务</w:t>
      </w:r>
      <w:r>
        <w:rPr>
          <w:rFonts w:hint="eastAsia" w:ascii="Times New Roman" w:hAnsi="Times New Roman" w:eastAsia="宋体" w:cs="宋体"/>
          <w:color w:val="auto"/>
          <w:sz w:val="24"/>
          <w:szCs w:val="24"/>
          <w:highlight w:val="none"/>
        </w:rPr>
        <w:t>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商务</w:t>
      </w: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70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30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w:t>
      </w:r>
      <w:r>
        <w:rPr>
          <w:rFonts w:hint="eastAsia" w:ascii="Times New Roman" w:hAnsi="Times New Roman" w:eastAsia="宋体" w:cs="宋体"/>
          <w:color w:val="auto"/>
          <w:sz w:val="24"/>
          <w:szCs w:val="24"/>
          <w:highlight w:val="none"/>
          <w:lang w:eastAsia="zh-CN"/>
        </w:rPr>
        <w:t>商务</w:t>
      </w:r>
      <w:r>
        <w:rPr>
          <w:rFonts w:hint="eastAsia" w:ascii="Times New Roman" w:hAnsi="Times New Roman" w:eastAsia="宋体" w:cs="宋体"/>
          <w:color w:val="auto"/>
          <w:sz w:val="24"/>
          <w:szCs w:val="24"/>
          <w:highlight w:val="none"/>
        </w:rPr>
        <w:t>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70</w:t>
      </w:r>
      <w:r>
        <w:rPr>
          <w:rFonts w:hint="eastAsia" w:ascii="Times New Roman" w:hAnsi="Times New Roman" w:eastAsia="宋体" w:cs="宋体"/>
          <w:b/>
          <w:bCs/>
          <w:color w:val="auto"/>
          <w:szCs w:val="24"/>
          <w:highlight w:val="none"/>
          <w:shd w:val="clear" w:color="auto" w:fill="FFFFFF"/>
        </w:rPr>
        <w:t>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276"/>
        <w:gridCol w:w="796"/>
        <w:gridCol w:w="5346"/>
      </w:tblGrid>
      <w:tr w14:paraId="7B1C3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tcBorders>
              <w:top w:val="single" w:color="auto" w:sz="4" w:space="0"/>
              <w:left w:val="single" w:color="auto" w:sz="4" w:space="0"/>
              <w:bottom w:val="single" w:color="auto" w:sz="4" w:space="0"/>
              <w:right w:val="single" w:color="auto" w:sz="4" w:space="0"/>
            </w:tcBorders>
            <w:vAlign w:val="center"/>
          </w:tcPr>
          <w:p w14:paraId="4FED8CAA">
            <w:pPr>
              <w:adjustRightInd w:val="0"/>
              <w:snapToGrid w:val="0"/>
              <w:spacing w:line="360" w:lineRule="exact"/>
              <w:jc w:val="left"/>
              <w:rPr>
                <w:rFonts w:ascii="Times New Roman" w:hAnsi="Times New Roman" w:eastAsia="宋体" w:cs="宋体"/>
                <w:b/>
                <w:bCs/>
                <w:sz w:val="24"/>
                <w:szCs w:val="24"/>
              </w:rPr>
            </w:pPr>
            <w:r>
              <w:rPr>
                <w:rFonts w:hint="eastAsia" w:ascii="Times New Roman" w:hAnsi="Times New Roman" w:eastAsia="宋体" w:cs="宋体"/>
                <w:b/>
                <w:bCs/>
                <w:sz w:val="24"/>
                <w:szCs w:val="24"/>
              </w:rPr>
              <w:t>项目</w:t>
            </w:r>
          </w:p>
        </w:tc>
        <w:tc>
          <w:tcPr>
            <w:tcW w:w="713" w:type="pct"/>
            <w:tcBorders>
              <w:top w:val="single" w:color="auto" w:sz="4" w:space="0"/>
              <w:left w:val="single" w:color="auto" w:sz="4" w:space="0"/>
              <w:bottom w:val="single" w:color="auto" w:sz="4" w:space="0"/>
              <w:right w:val="single" w:color="auto" w:sz="4" w:space="0"/>
            </w:tcBorders>
            <w:vAlign w:val="center"/>
          </w:tcPr>
          <w:p w14:paraId="24F1F8BB">
            <w:pPr>
              <w:adjustRightInd w:val="0"/>
              <w:snapToGrid w:val="0"/>
              <w:spacing w:line="360" w:lineRule="exact"/>
              <w:jc w:val="left"/>
              <w:rPr>
                <w:rFonts w:ascii="Times New Roman" w:hAnsi="Times New Roman" w:eastAsia="宋体" w:cs="宋体"/>
                <w:b/>
                <w:bCs/>
                <w:sz w:val="24"/>
                <w:szCs w:val="24"/>
              </w:rPr>
            </w:pPr>
            <w:r>
              <w:rPr>
                <w:rFonts w:hint="eastAsia" w:ascii="Times New Roman" w:hAnsi="Times New Roman" w:eastAsia="宋体" w:cs="宋体"/>
                <w:b/>
                <w:bCs/>
                <w:sz w:val="24"/>
                <w:szCs w:val="24"/>
              </w:rPr>
              <w:t>评审内容</w:t>
            </w:r>
          </w:p>
        </w:tc>
        <w:tc>
          <w:tcPr>
            <w:tcW w:w="445" w:type="pct"/>
            <w:tcBorders>
              <w:top w:val="single" w:color="auto" w:sz="4" w:space="0"/>
              <w:left w:val="single" w:color="auto" w:sz="4" w:space="0"/>
              <w:bottom w:val="single" w:color="auto" w:sz="4" w:space="0"/>
              <w:right w:val="single" w:color="auto" w:sz="4" w:space="0"/>
            </w:tcBorders>
            <w:vAlign w:val="center"/>
          </w:tcPr>
          <w:p w14:paraId="226A1C48">
            <w:pPr>
              <w:adjustRightInd w:val="0"/>
              <w:snapToGrid w:val="0"/>
              <w:spacing w:line="360" w:lineRule="exact"/>
              <w:jc w:val="left"/>
              <w:rPr>
                <w:rFonts w:ascii="Times New Roman" w:hAnsi="Times New Roman" w:eastAsia="宋体" w:cs="宋体"/>
                <w:b/>
                <w:bCs/>
                <w:sz w:val="24"/>
                <w:szCs w:val="24"/>
              </w:rPr>
            </w:pPr>
            <w:r>
              <w:rPr>
                <w:rFonts w:hint="eastAsia" w:ascii="Times New Roman" w:hAnsi="Times New Roman" w:eastAsia="宋体" w:cs="宋体"/>
                <w:b/>
                <w:bCs/>
                <w:sz w:val="24"/>
                <w:szCs w:val="24"/>
              </w:rPr>
              <w:t>分值</w:t>
            </w:r>
          </w:p>
        </w:tc>
        <w:tc>
          <w:tcPr>
            <w:tcW w:w="2987" w:type="pct"/>
            <w:tcBorders>
              <w:top w:val="single" w:color="auto" w:sz="4" w:space="0"/>
              <w:left w:val="single" w:color="auto" w:sz="4" w:space="0"/>
              <w:bottom w:val="single" w:color="auto" w:sz="4" w:space="0"/>
              <w:right w:val="single" w:color="auto" w:sz="4" w:space="0"/>
            </w:tcBorders>
            <w:vAlign w:val="center"/>
          </w:tcPr>
          <w:p w14:paraId="30E43CDF">
            <w:pPr>
              <w:adjustRightInd w:val="0"/>
              <w:snapToGrid w:val="0"/>
              <w:spacing w:line="360" w:lineRule="exact"/>
              <w:jc w:val="left"/>
              <w:rPr>
                <w:rFonts w:ascii="Times New Roman" w:hAnsi="Times New Roman" w:eastAsia="宋体" w:cs="宋体"/>
                <w:b/>
                <w:bCs/>
                <w:sz w:val="24"/>
                <w:szCs w:val="24"/>
              </w:rPr>
            </w:pPr>
            <w:r>
              <w:rPr>
                <w:rFonts w:hint="eastAsia" w:ascii="Times New Roman" w:hAnsi="Times New Roman" w:eastAsia="宋体" w:cs="宋体"/>
                <w:b/>
                <w:bCs/>
                <w:sz w:val="24"/>
                <w:szCs w:val="24"/>
              </w:rPr>
              <w:t>评分标准</w:t>
            </w:r>
          </w:p>
        </w:tc>
      </w:tr>
      <w:tr w14:paraId="1F5E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vMerge w:val="restart"/>
            <w:tcBorders>
              <w:left w:val="single" w:color="auto" w:sz="4" w:space="0"/>
              <w:right w:val="single" w:color="auto" w:sz="4" w:space="0"/>
            </w:tcBorders>
            <w:vAlign w:val="center"/>
          </w:tcPr>
          <w:p w14:paraId="34DCDA7E">
            <w:pPr>
              <w:spacing w:line="360" w:lineRule="exact"/>
              <w:jc w:val="left"/>
              <w:rPr>
                <w:rFonts w:ascii="宋体" w:hAnsi="宋体" w:eastAsia="宋体" w:cs="宋体"/>
                <w:sz w:val="24"/>
                <w:szCs w:val="24"/>
              </w:rPr>
            </w:pPr>
            <w:r>
              <w:rPr>
                <w:rFonts w:hint="eastAsia" w:ascii="宋体" w:hAnsi="宋体" w:eastAsia="宋体" w:cs="宋体"/>
                <w:sz w:val="24"/>
                <w:szCs w:val="24"/>
              </w:rPr>
              <w:t>商务部分（</w:t>
            </w:r>
            <w:r>
              <w:rPr>
                <w:rFonts w:hint="eastAsia" w:ascii="宋体" w:hAnsi="宋体" w:eastAsia="宋体" w:cs="宋体"/>
                <w:sz w:val="24"/>
                <w:szCs w:val="24"/>
                <w:lang w:val="en-US" w:eastAsia="zh-CN"/>
              </w:rPr>
              <w:t>28分</w:t>
            </w:r>
            <w:r>
              <w:rPr>
                <w:rFonts w:hint="eastAsia" w:ascii="宋体" w:hAnsi="宋体" w:eastAsia="宋体" w:cs="宋体"/>
                <w:sz w:val="24"/>
                <w:szCs w:val="24"/>
              </w:rPr>
              <w:t>）</w:t>
            </w:r>
          </w:p>
        </w:tc>
        <w:tc>
          <w:tcPr>
            <w:tcW w:w="713" w:type="pct"/>
            <w:tcBorders>
              <w:top w:val="single" w:color="auto" w:sz="4" w:space="0"/>
              <w:left w:val="single" w:color="auto" w:sz="4" w:space="0"/>
              <w:bottom w:val="single" w:color="auto" w:sz="4" w:space="0"/>
              <w:right w:val="single" w:color="auto" w:sz="4" w:space="0"/>
            </w:tcBorders>
            <w:vAlign w:val="center"/>
          </w:tcPr>
          <w:p w14:paraId="421218A9">
            <w:pPr>
              <w:adjustRightInd w:val="0"/>
              <w:snapToGrid w:val="0"/>
              <w:spacing w:line="360" w:lineRule="exact"/>
              <w:jc w:val="left"/>
              <w:rPr>
                <w:rFonts w:ascii="宋体" w:hAnsi="宋体" w:eastAsia="宋体" w:cs="宋体"/>
                <w:sz w:val="24"/>
                <w:szCs w:val="24"/>
              </w:rPr>
            </w:pPr>
            <w:r>
              <w:rPr>
                <w:rFonts w:hint="eastAsia" w:ascii="宋体" w:hAnsi="宋体" w:eastAsia="宋体" w:cs="宋体"/>
                <w:sz w:val="24"/>
                <w:szCs w:val="24"/>
              </w:rPr>
              <w:t>品牌案例</w:t>
            </w:r>
          </w:p>
        </w:tc>
        <w:tc>
          <w:tcPr>
            <w:tcW w:w="445" w:type="pct"/>
            <w:tcBorders>
              <w:top w:val="single" w:color="auto" w:sz="4" w:space="0"/>
              <w:left w:val="single" w:color="auto" w:sz="4" w:space="0"/>
              <w:bottom w:val="single" w:color="auto" w:sz="4" w:space="0"/>
              <w:right w:val="single" w:color="auto" w:sz="4" w:space="0"/>
            </w:tcBorders>
            <w:vAlign w:val="center"/>
          </w:tcPr>
          <w:p w14:paraId="3F1B0B33">
            <w:pPr>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6分</w:t>
            </w:r>
          </w:p>
        </w:tc>
        <w:tc>
          <w:tcPr>
            <w:tcW w:w="2987" w:type="pct"/>
            <w:tcBorders>
              <w:top w:val="single" w:color="auto" w:sz="4" w:space="0"/>
              <w:left w:val="single" w:color="auto" w:sz="4" w:space="0"/>
              <w:bottom w:val="single" w:color="auto" w:sz="4" w:space="0"/>
              <w:right w:val="single" w:color="auto" w:sz="4" w:space="0"/>
            </w:tcBorders>
            <w:vAlign w:val="center"/>
          </w:tcPr>
          <w:p w14:paraId="6BE453CE">
            <w:pPr>
              <w:widowControl/>
              <w:spacing w:line="360" w:lineRule="exact"/>
              <w:jc w:val="lef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供应商需提供2022年以来投标产品的销售案例，每提供一个得2分，满分6分。（提供供货合同复印件、中标通知书或中标公告）</w:t>
            </w:r>
          </w:p>
        </w:tc>
      </w:tr>
      <w:tr w14:paraId="6C9D1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vMerge w:val="continue"/>
            <w:tcBorders>
              <w:left w:val="single" w:color="auto" w:sz="4" w:space="0"/>
              <w:right w:val="single" w:color="auto" w:sz="4" w:space="0"/>
            </w:tcBorders>
            <w:vAlign w:val="center"/>
          </w:tcPr>
          <w:p w14:paraId="62FEC05F">
            <w:pPr>
              <w:spacing w:line="360" w:lineRule="exact"/>
              <w:jc w:val="left"/>
              <w:rPr>
                <w:rFonts w:ascii="宋体" w:hAnsi="宋体" w:eastAsia="宋体" w:cs="宋体"/>
                <w:sz w:val="24"/>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451DE5B8">
            <w:pPr>
              <w:adjustRightInd w:val="0"/>
              <w:snapToGrid w:val="0"/>
              <w:spacing w:line="360" w:lineRule="exact"/>
              <w:jc w:val="center"/>
              <w:rPr>
                <w:rFonts w:ascii="宋体" w:hAnsi="宋体" w:eastAsia="宋体" w:cs="宋体"/>
                <w:kern w:val="0"/>
                <w:sz w:val="24"/>
                <w:szCs w:val="24"/>
              </w:rPr>
            </w:pPr>
            <w:r>
              <w:rPr>
                <w:rFonts w:hint="eastAsia" w:ascii="宋体" w:hAnsi="宋体" w:eastAsia="宋体" w:cs="宋体"/>
                <w:kern w:val="0"/>
                <w:sz w:val="24"/>
                <w:szCs w:val="24"/>
              </w:rPr>
              <w:t>质量保证</w:t>
            </w:r>
          </w:p>
          <w:p w14:paraId="1809CE1F">
            <w:pPr>
              <w:adjustRightInd w:val="0"/>
              <w:snapToGrid w:val="0"/>
              <w:spacing w:line="360" w:lineRule="exact"/>
              <w:jc w:val="center"/>
              <w:rPr>
                <w:rFonts w:ascii="宋体" w:hAnsi="宋体" w:eastAsia="宋体" w:cs="宋体"/>
                <w:sz w:val="24"/>
                <w:szCs w:val="24"/>
              </w:rPr>
            </w:pPr>
            <w:r>
              <w:rPr>
                <w:rFonts w:hint="eastAsia" w:ascii="宋体" w:hAnsi="宋体" w:eastAsia="宋体" w:cs="宋体"/>
                <w:kern w:val="0"/>
                <w:sz w:val="24"/>
                <w:szCs w:val="24"/>
              </w:rPr>
              <w:t>措施</w:t>
            </w:r>
          </w:p>
        </w:tc>
        <w:tc>
          <w:tcPr>
            <w:tcW w:w="445" w:type="pct"/>
            <w:tcBorders>
              <w:top w:val="single" w:color="auto" w:sz="4" w:space="0"/>
              <w:left w:val="single" w:color="auto" w:sz="4" w:space="0"/>
              <w:bottom w:val="single" w:color="auto" w:sz="4" w:space="0"/>
              <w:right w:val="single" w:color="auto" w:sz="4" w:space="0"/>
            </w:tcBorders>
            <w:vAlign w:val="center"/>
          </w:tcPr>
          <w:p w14:paraId="323B6E68">
            <w:pPr>
              <w:adjustRightInd w:val="0"/>
              <w:snapToGrid w:val="0"/>
              <w:spacing w:line="360" w:lineRule="exact"/>
              <w:jc w:val="center"/>
              <w:rPr>
                <w:rFonts w:ascii="宋体" w:hAnsi="宋体" w:eastAsia="宋体" w:cs="宋体"/>
                <w:sz w:val="24"/>
                <w:szCs w:val="24"/>
              </w:rPr>
            </w:pPr>
            <w:r>
              <w:rPr>
                <w:rFonts w:hint="eastAsia" w:ascii="宋体" w:hAnsi="宋体" w:eastAsia="宋体" w:cs="宋体"/>
                <w:color w:val="FF0000"/>
                <w:sz w:val="24"/>
                <w:szCs w:val="24"/>
                <w:lang w:val="en-US" w:eastAsia="zh-CN"/>
              </w:rPr>
              <w:t>8</w:t>
            </w:r>
            <w:r>
              <w:rPr>
                <w:rFonts w:hint="eastAsia" w:ascii="宋体" w:hAnsi="宋体" w:eastAsia="宋体" w:cs="宋体"/>
                <w:color w:val="FF0000"/>
                <w:sz w:val="24"/>
                <w:szCs w:val="24"/>
              </w:rPr>
              <w:t>分</w:t>
            </w:r>
          </w:p>
        </w:tc>
        <w:tc>
          <w:tcPr>
            <w:tcW w:w="2987" w:type="pct"/>
            <w:tcBorders>
              <w:top w:val="single" w:color="auto" w:sz="4" w:space="0"/>
              <w:left w:val="single" w:color="auto" w:sz="4" w:space="0"/>
              <w:bottom w:val="single" w:color="auto" w:sz="4" w:space="0"/>
              <w:right w:val="single" w:color="auto" w:sz="4" w:space="0"/>
            </w:tcBorders>
            <w:vAlign w:val="center"/>
          </w:tcPr>
          <w:p w14:paraId="4C2FEFFB">
            <w:pPr>
              <w:widowControl/>
              <w:spacing w:line="360" w:lineRule="exact"/>
              <w:jc w:val="lef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需结合本次项目制定质量保证措施，措施内容包括但不限于产品质量保证、产品的适用性和兼容性、产品质量检查依据、产品的损坏换新等内容：质量保证措施完善、有详细具体的应对措施，完全满足需求的得</w:t>
            </w:r>
            <w:r>
              <w:rPr>
                <w:rFonts w:hint="eastAsia" w:ascii="宋体" w:hAnsi="宋体" w:eastAsia="宋体" w:cs="宋体"/>
                <w:sz w:val="24"/>
                <w:szCs w:val="24"/>
                <w:lang w:val="en-US" w:eastAsia="zh-CN"/>
              </w:rPr>
              <w:t>8</w:t>
            </w:r>
            <w:r>
              <w:rPr>
                <w:rFonts w:hint="eastAsia" w:ascii="宋体" w:hAnsi="宋体" w:eastAsia="宋体" w:cs="宋体"/>
                <w:sz w:val="24"/>
                <w:szCs w:val="24"/>
              </w:rPr>
              <w:t>分；质量保证措施较为完善、计划较为详细、具体，基本满足需求的得5分；质量保证措施内容简略，无具体的措施的得2分；未提供不得分。</w:t>
            </w:r>
          </w:p>
        </w:tc>
      </w:tr>
      <w:tr w14:paraId="3ED6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vMerge w:val="continue"/>
            <w:tcBorders>
              <w:left w:val="single" w:color="auto" w:sz="4" w:space="0"/>
              <w:right w:val="single" w:color="auto" w:sz="4" w:space="0"/>
            </w:tcBorders>
            <w:vAlign w:val="center"/>
          </w:tcPr>
          <w:p w14:paraId="0A514358">
            <w:pPr>
              <w:spacing w:line="360" w:lineRule="exact"/>
              <w:jc w:val="left"/>
              <w:rPr>
                <w:rFonts w:ascii="宋体" w:hAnsi="宋体" w:eastAsia="宋体" w:cs="宋体"/>
                <w:sz w:val="24"/>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03334760">
            <w:pPr>
              <w:spacing w:line="360" w:lineRule="exact"/>
              <w:jc w:val="left"/>
              <w:rPr>
                <w:rFonts w:ascii="宋体" w:hAnsi="宋体" w:eastAsia="宋体" w:cs="宋体"/>
                <w:sz w:val="24"/>
                <w:szCs w:val="24"/>
              </w:rPr>
            </w:pPr>
            <w:r>
              <w:rPr>
                <w:rFonts w:hint="eastAsia" w:ascii="宋体" w:hAnsi="宋体" w:eastAsia="宋体" w:cs="宋体"/>
                <w:sz w:val="24"/>
                <w:szCs w:val="24"/>
              </w:rPr>
              <w:t>证书响应</w:t>
            </w:r>
          </w:p>
        </w:tc>
        <w:tc>
          <w:tcPr>
            <w:tcW w:w="445" w:type="pct"/>
            <w:tcBorders>
              <w:top w:val="single" w:color="auto" w:sz="4" w:space="0"/>
              <w:left w:val="single" w:color="auto" w:sz="4" w:space="0"/>
              <w:bottom w:val="single" w:color="auto" w:sz="4" w:space="0"/>
              <w:right w:val="single" w:color="auto" w:sz="4" w:space="0"/>
            </w:tcBorders>
            <w:vAlign w:val="center"/>
          </w:tcPr>
          <w:p w14:paraId="43F6D12B">
            <w:pPr>
              <w:spacing w:line="360" w:lineRule="exact"/>
              <w:jc w:val="center"/>
              <w:rPr>
                <w:rFonts w:ascii="宋体" w:hAnsi="宋体" w:eastAsia="宋体" w:cs="宋体"/>
                <w:sz w:val="24"/>
                <w:szCs w:val="24"/>
              </w:rPr>
            </w:pPr>
            <w:r>
              <w:rPr>
                <w:rFonts w:hint="eastAsia" w:ascii="宋体" w:hAnsi="宋体" w:eastAsia="宋体" w:cs="宋体"/>
                <w:sz w:val="24"/>
                <w:szCs w:val="24"/>
              </w:rPr>
              <w:t>4分</w:t>
            </w:r>
          </w:p>
        </w:tc>
        <w:tc>
          <w:tcPr>
            <w:tcW w:w="2987" w:type="pct"/>
            <w:tcBorders>
              <w:top w:val="single" w:color="auto" w:sz="4" w:space="0"/>
              <w:left w:val="single" w:color="auto" w:sz="4" w:space="0"/>
              <w:bottom w:val="single" w:color="auto" w:sz="4" w:space="0"/>
              <w:right w:val="single" w:color="auto" w:sz="4" w:space="0"/>
            </w:tcBorders>
            <w:vAlign w:val="center"/>
          </w:tcPr>
          <w:p w14:paraId="2263E4D0">
            <w:pPr>
              <w:spacing w:line="360" w:lineRule="exact"/>
              <w:jc w:val="lef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w:t>
            </w:r>
            <w:r>
              <w:rPr>
                <w:rFonts w:hint="eastAsia" w:ascii="宋体" w:hAnsi="宋体" w:eastAsia="宋体" w:cs="宋体"/>
                <w:sz w:val="24"/>
                <w:szCs w:val="24"/>
                <w:lang w:eastAsia="zh-CN"/>
              </w:rPr>
              <w:t>响应时</w:t>
            </w:r>
            <w:r>
              <w:rPr>
                <w:rFonts w:hint="eastAsia" w:ascii="宋体" w:hAnsi="宋体" w:eastAsia="宋体" w:cs="宋体"/>
                <w:sz w:val="24"/>
                <w:szCs w:val="24"/>
              </w:rPr>
              <w:t>须提供ISO45001/14001，CE、ROHS认证，工信部颁发电信设备进网许可证。每提供一份证书加1分，满分4分。</w:t>
            </w:r>
          </w:p>
        </w:tc>
      </w:tr>
      <w:tr w14:paraId="1A82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vMerge w:val="continue"/>
            <w:tcBorders>
              <w:left w:val="single" w:color="auto" w:sz="4" w:space="0"/>
              <w:bottom w:val="single" w:color="auto" w:sz="4" w:space="0"/>
              <w:right w:val="single" w:color="auto" w:sz="4" w:space="0"/>
            </w:tcBorders>
            <w:vAlign w:val="center"/>
          </w:tcPr>
          <w:p w14:paraId="24CE712E">
            <w:pPr>
              <w:spacing w:line="360" w:lineRule="exact"/>
              <w:jc w:val="left"/>
              <w:rPr>
                <w:rFonts w:ascii="宋体" w:hAnsi="宋体" w:eastAsia="宋体" w:cs="宋体"/>
                <w:sz w:val="24"/>
                <w:szCs w:val="24"/>
              </w:rPr>
            </w:pPr>
          </w:p>
        </w:tc>
        <w:tc>
          <w:tcPr>
            <w:tcW w:w="713" w:type="pct"/>
            <w:tcBorders>
              <w:top w:val="single" w:color="auto" w:sz="4" w:space="0"/>
              <w:left w:val="single" w:color="auto" w:sz="4" w:space="0"/>
              <w:bottom w:val="single" w:color="auto" w:sz="4" w:space="0"/>
              <w:right w:val="single" w:color="auto" w:sz="4" w:space="0"/>
            </w:tcBorders>
            <w:vAlign w:val="center"/>
          </w:tcPr>
          <w:p w14:paraId="4D2DF94E">
            <w:pPr>
              <w:spacing w:line="360" w:lineRule="exact"/>
              <w:jc w:val="left"/>
              <w:rPr>
                <w:rFonts w:ascii="宋体" w:hAnsi="宋体" w:eastAsia="宋体" w:cs="宋体"/>
                <w:sz w:val="24"/>
                <w:szCs w:val="24"/>
              </w:rPr>
            </w:pPr>
            <w:r>
              <w:rPr>
                <w:rFonts w:hint="eastAsia" w:ascii="宋体" w:hAnsi="宋体" w:eastAsia="宋体" w:cs="宋体"/>
                <w:sz w:val="24"/>
                <w:szCs w:val="24"/>
              </w:rPr>
              <w:t>服务方案</w:t>
            </w:r>
          </w:p>
        </w:tc>
        <w:tc>
          <w:tcPr>
            <w:tcW w:w="445" w:type="pct"/>
            <w:tcBorders>
              <w:top w:val="single" w:color="auto" w:sz="4" w:space="0"/>
              <w:left w:val="single" w:color="auto" w:sz="4" w:space="0"/>
              <w:bottom w:val="single" w:color="auto" w:sz="4" w:space="0"/>
              <w:right w:val="single" w:color="auto" w:sz="4" w:space="0"/>
            </w:tcBorders>
            <w:vAlign w:val="center"/>
          </w:tcPr>
          <w:p w14:paraId="6261AAD0">
            <w:pPr>
              <w:adjustRightInd w:val="0"/>
              <w:snapToGrid w:val="0"/>
              <w:spacing w:line="360" w:lineRule="exact"/>
              <w:jc w:val="center"/>
              <w:rPr>
                <w:rFonts w:ascii="宋体" w:hAnsi="宋体" w:eastAsia="宋体" w:cs="宋体"/>
                <w:sz w:val="24"/>
                <w:szCs w:val="24"/>
              </w:rPr>
            </w:pPr>
            <w:r>
              <w:rPr>
                <w:rFonts w:hint="eastAsia" w:ascii="宋体" w:hAnsi="宋体" w:eastAsia="宋体" w:cs="宋体"/>
                <w:sz w:val="24"/>
                <w:szCs w:val="24"/>
              </w:rPr>
              <w:t>10分</w:t>
            </w:r>
          </w:p>
        </w:tc>
        <w:tc>
          <w:tcPr>
            <w:tcW w:w="2987" w:type="pct"/>
            <w:tcBorders>
              <w:top w:val="single" w:color="auto" w:sz="4" w:space="0"/>
              <w:left w:val="single" w:color="auto" w:sz="4" w:space="0"/>
              <w:bottom w:val="single" w:color="auto" w:sz="4" w:space="0"/>
              <w:right w:val="single" w:color="auto" w:sz="4" w:space="0"/>
            </w:tcBorders>
            <w:vAlign w:val="center"/>
          </w:tcPr>
          <w:p w14:paraId="18EC16D4">
            <w:pPr>
              <w:autoSpaceDE w:val="0"/>
              <w:autoSpaceDN w:val="0"/>
              <w:adjustRightInd w:val="0"/>
              <w:snapToGrid w:val="0"/>
              <w:spacing w:line="360" w:lineRule="exact"/>
              <w:jc w:val="left"/>
              <w:rPr>
                <w:rFonts w:ascii="宋体" w:hAnsi="宋体" w:eastAsia="宋体" w:cs="宋体"/>
                <w:sz w:val="24"/>
                <w:szCs w:val="24"/>
              </w:rPr>
            </w:pPr>
            <w:r>
              <w:rPr>
                <w:rFonts w:hint="eastAsia" w:ascii="宋体" w:hAnsi="宋体" w:eastAsia="宋体" w:cs="宋体"/>
                <w:sz w:val="24"/>
                <w:szCs w:val="24"/>
                <w:lang w:eastAsia="zh-CN"/>
              </w:rPr>
              <w:t>响应</w:t>
            </w:r>
            <w:r>
              <w:rPr>
                <w:rFonts w:hint="eastAsia" w:ascii="宋体" w:hAnsi="宋体" w:eastAsia="宋体" w:cs="宋体"/>
                <w:sz w:val="24"/>
                <w:szCs w:val="24"/>
              </w:rPr>
              <w:t>供应商需结合项目的实际特点来制定本项目的售后服务方案，售后服务方案包括服务保障体系，售后服务承诺、设备故障问题解决方案、服务责任、应急措施、售后服务人员等内容：方案内容详尽完善、措施可行性强</w:t>
            </w:r>
            <w:r>
              <w:rPr>
                <w:rFonts w:hint="eastAsia" w:ascii="宋体" w:hAnsi="宋体" w:eastAsia="宋体" w:cs="宋体"/>
                <w:sz w:val="24"/>
                <w:szCs w:val="24"/>
                <w:lang w:eastAsia="zh-CN"/>
              </w:rPr>
              <w:t>，</w:t>
            </w:r>
            <w:r>
              <w:rPr>
                <w:rFonts w:hint="eastAsia" w:ascii="宋体" w:hAnsi="宋体" w:eastAsia="宋体" w:cs="宋体"/>
                <w:sz w:val="24"/>
                <w:szCs w:val="24"/>
              </w:rPr>
              <w:t>人员安排科学合理，售后服务体系完善，解决问题方案全面，售后服务响应时间及时，完全满足并优于采购人需求的得10分；方案内容完整，应急措施有可行性、人员安排合理，具有详细的售后服务体系、解决问题方案、售后服务响应时间等内容，</w:t>
            </w:r>
            <w:r>
              <w:rPr>
                <w:rFonts w:hint="eastAsia" w:ascii="宋体" w:hAnsi="宋体" w:eastAsia="宋体" w:cs="宋体"/>
                <w:sz w:val="24"/>
                <w:szCs w:val="24"/>
                <w:lang w:eastAsia="zh-CN"/>
              </w:rPr>
              <w:t>基本</w:t>
            </w:r>
            <w:r>
              <w:rPr>
                <w:rFonts w:hint="eastAsia" w:ascii="宋体" w:hAnsi="宋体" w:eastAsia="宋体" w:cs="宋体"/>
                <w:sz w:val="24"/>
                <w:szCs w:val="24"/>
              </w:rPr>
              <w:t>能够满足采购人需要的得6分；方案内容及相关承诺、措施简略的得2分；未提供方案不得分。</w:t>
            </w:r>
          </w:p>
        </w:tc>
      </w:tr>
      <w:tr w14:paraId="20E1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54" w:type="pct"/>
            <w:tcBorders>
              <w:left w:val="single" w:color="auto" w:sz="4" w:space="0"/>
              <w:right w:val="single" w:color="auto" w:sz="4" w:space="0"/>
            </w:tcBorders>
            <w:vAlign w:val="center"/>
          </w:tcPr>
          <w:p w14:paraId="4C22825E">
            <w:pPr>
              <w:spacing w:line="360" w:lineRule="exact"/>
              <w:jc w:val="left"/>
              <w:rPr>
                <w:rFonts w:ascii="宋体" w:hAnsi="宋体" w:eastAsia="宋体" w:cs="宋体"/>
                <w:sz w:val="24"/>
                <w:szCs w:val="24"/>
              </w:rPr>
            </w:pPr>
            <w:r>
              <w:rPr>
                <w:rFonts w:hint="eastAsia" w:ascii="宋体" w:hAnsi="宋体" w:eastAsia="宋体" w:cs="宋体"/>
                <w:sz w:val="24"/>
                <w:szCs w:val="24"/>
              </w:rPr>
              <w:t>技术部分（4</w:t>
            </w:r>
            <w:r>
              <w:rPr>
                <w:rFonts w:hint="eastAsia" w:ascii="宋体" w:hAnsi="宋体" w:eastAsia="宋体" w:cs="宋体"/>
                <w:sz w:val="24"/>
                <w:szCs w:val="24"/>
                <w:lang w:val="en-US" w:eastAsia="zh-CN"/>
              </w:rPr>
              <w:t>2分</w:t>
            </w:r>
            <w:r>
              <w:rPr>
                <w:rFonts w:hint="eastAsia" w:ascii="宋体" w:hAnsi="宋体" w:eastAsia="宋体" w:cs="宋体"/>
                <w:sz w:val="24"/>
                <w:szCs w:val="24"/>
              </w:rPr>
              <w:t>）</w:t>
            </w:r>
          </w:p>
        </w:tc>
        <w:tc>
          <w:tcPr>
            <w:tcW w:w="713" w:type="pct"/>
            <w:tcBorders>
              <w:top w:val="single" w:color="auto" w:sz="4" w:space="0"/>
              <w:left w:val="single" w:color="auto" w:sz="4" w:space="0"/>
              <w:right w:val="single" w:color="auto" w:sz="4" w:space="0"/>
            </w:tcBorders>
            <w:vAlign w:val="center"/>
          </w:tcPr>
          <w:p w14:paraId="29E6D88D">
            <w:pPr>
              <w:spacing w:line="360" w:lineRule="exact"/>
              <w:jc w:val="left"/>
              <w:rPr>
                <w:rFonts w:hint="eastAsia" w:ascii="宋体" w:hAnsi="宋体" w:eastAsia="宋体" w:cs="宋体"/>
                <w:sz w:val="24"/>
                <w:szCs w:val="24"/>
                <w:lang w:eastAsia="zh-CN"/>
              </w:rPr>
            </w:pPr>
            <w:r>
              <w:rPr>
                <w:rFonts w:hint="eastAsia" w:ascii="宋体" w:hAnsi="宋体" w:eastAsia="宋体" w:cs="宋体"/>
                <w:sz w:val="24"/>
                <w:szCs w:val="24"/>
              </w:rPr>
              <w:t>技术</w:t>
            </w:r>
            <w:r>
              <w:rPr>
                <w:rFonts w:hint="eastAsia" w:ascii="宋体" w:hAnsi="宋体" w:eastAsia="宋体" w:cs="宋体"/>
                <w:sz w:val="24"/>
                <w:szCs w:val="24"/>
                <w:lang w:eastAsia="zh-CN"/>
              </w:rPr>
              <w:t>响应</w:t>
            </w:r>
          </w:p>
        </w:tc>
        <w:tc>
          <w:tcPr>
            <w:tcW w:w="445" w:type="pct"/>
            <w:tcBorders>
              <w:top w:val="single" w:color="auto" w:sz="4" w:space="0"/>
              <w:left w:val="single" w:color="auto" w:sz="4" w:space="0"/>
              <w:right w:val="single" w:color="auto" w:sz="4" w:space="0"/>
            </w:tcBorders>
            <w:vAlign w:val="center"/>
          </w:tcPr>
          <w:p w14:paraId="72B6C829">
            <w:pPr>
              <w:spacing w:line="360" w:lineRule="exact"/>
              <w:jc w:val="center"/>
              <w:rPr>
                <w:rFonts w:ascii="宋体" w:hAnsi="宋体" w:eastAsia="宋体" w:cs="宋体"/>
                <w:sz w:val="24"/>
                <w:szCs w:val="24"/>
              </w:rPr>
            </w:pPr>
            <w:r>
              <w:rPr>
                <w:rFonts w:hint="eastAsia" w:ascii="宋体" w:hAnsi="宋体" w:eastAsia="宋体" w:cs="宋体"/>
                <w:color w:val="FF0000"/>
                <w:sz w:val="24"/>
                <w:szCs w:val="24"/>
              </w:rPr>
              <w:t>4</w:t>
            </w:r>
            <w:r>
              <w:rPr>
                <w:rFonts w:hint="eastAsia" w:ascii="宋体" w:hAnsi="宋体" w:eastAsia="宋体" w:cs="宋体"/>
                <w:color w:val="FF0000"/>
                <w:sz w:val="24"/>
                <w:szCs w:val="24"/>
                <w:lang w:val="en-US" w:eastAsia="zh-CN"/>
              </w:rPr>
              <w:t>2</w:t>
            </w:r>
            <w:r>
              <w:rPr>
                <w:rFonts w:hint="eastAsia" w:ascii="宋体" w:hAnsi="宋体" w:eastAsia="宋体" w:cs="宋体"/>
                <w:color w:val="FF0000"/>
                <w:sz w:val="24"/>
                <w:szCs w:val="24"/>
              </w:rPr>
              <w:t>分</w:t>
            </w:r>
          </w:p>
        </w:tc>
        <w:tc>
          <w:tcPr>
            <w:tcW w:w="2987" w:type="pct"/>
            <w:tcBorders>
              <w:top w:val="single" w:color="auto" w:sz="4" w:space="0"/>
              <w:left w:val="single" w:color="auto" w:sz="4" w:space="0"/>
              <w:right w:val="single" w:color="auto" w:sz="4" w:space="0"/>
            </w:tcBorders>
            <w:vAlign w:val="center"/>
          </w:tcPr>
          <w:p w14:paraId="75E49861">
            <w:pPr>
              <w:pStyle w:val="61"/>
              <w:spacing w:before="120" w:line="360" w:lineRule="exact"/>
              <w:ind w:firstLine="0" w:firstLineChars="0"/>
              <w:rPr>
                <w:rFonts w:ascii="宋体" w:hAnsi="宋体" w:cs="宋体"/>
                <w:sz w:val="24"/>
                <w:szCs w:val="24"/>
              </w:rPr>
            </w:pPr>
            <w:r>
              <w:rPr>
                <w:rFonts w:hint="eastAsia" w:cs="宋体"/>
                <w:sz w:val="24"/>
                <w:szCs w:val="24"/>
                <w:lang w:eastAsia="zh-CN"/>
              </w:rPr>
              <w:t>采购</w:t>
            </w:r>
            <w:r>
              <w:rPr>
                <w:rFonts w:hint="eastAsia" w:cs="宋体"/>
                <w:sz w:val="24"/>
                <w:szCs w:val="24"/>
              </w:rPr>
              <w:t>文件中技术参数完全符合</w:t>
            </w:r>
            <w:r>
              <w:rPr>
                <w:rFonts w:hint="eastAsia" w:cs="宋体"/>
                <w:sz w:val="24"/>
                <w:szCs w:val="24"/>
                <w:lang w:eastAsia="zh-CN"/>
              </w:rPr>
              <w:t>采购</w:t>
            </w:r>
            <w:r>
              <w:rPr>
                <w:rFonts w:hint="eastAsia" w:cs="宋体"/>
                <w:sz w:val="24"/>
                <w:szCs w:val="24"/>
              </w:rPr>
              <w:t>文件内容中技术条款要求且没有任何负偏离得4</w:t>
            </w:r>
            <w:r>
              <w:rPr>
                <w:rFonts w:hint="eastAsia" w:cs="宋体"/>
                <w:sz w:val="24"/>
                <w:szCs w:val="24"/>
                <w:lang w:val="en-US" w:eastAsia="zh-CN"/>
              </w:rPr>
              <w:t>2</w:t>
            </w:r>
            <w:r>
              <w:rPr>
                <w:rFonts w:hint="eastAsia" w:cs="宋体"/>
                <w:sz w:val="24"/>
                <w:szCs w:val="24"/>
              </w:rPr>
              <w:t>分；其中标★为核心指标，不允许负偏离，证明材料或者功能截图需要与</w:t>
            </w:r>
            <w:r>
              <w:rPr>
                <w:rFonts w:hint="eastAsia" w:cs="宋体"/>
                <w:sz w:val="24"/>
                <w:szCs w:val="24"/>
                <w:lang w:eastAsia="zh-CN"/>
              </w:rPr>
              <w:t>采购</w:t>
            </w:r>
            <w:r>
              <w:rPr>
                <w:rFonts w:hint="eastAsia" w:cs="宋体"/>
                <w:sz w:val="24"/>
                <w:szCs w:val="24"/>
              </w:rPr>
              <w:t>文件描述功能吻合，如有负偏离或投标</w:t>
            </w:r>
            <w:r>
              <w:rPr>
                <w:rFonts w:hint="eastAsia" w:cs="宋体"/>
                <w:sz w:val="24"/>
                <w:szCs w:val="24"/>
                <w:lang w:eastAsia="zh-CN"/>
              </w:rPr>
              <w:t>响应</w:t>
            </w:r>
            <w:r>
              <w:rPr>
                <w:rFonts w:hint="eastAsia" w:cs="宋体"/>
                <w:sz w:val="24"/>
                <w:szCs w:val="24"/>
              </w:rPr>
              <w:t>时未提供相关证明材料或者功能截图不符合要求者，做无效</w:t>
            </w:r>
            <w:r>
              <w:rPr>
                <w:rFonts w:hint="eastAsia" w:cs="宋体"/>
                <w:sz w:val="24"/>
                <w:szCs w:val="24"/>
                <w:lang w:eastAsia="zh-CN"/>
              </w:rPr>
              <w:t>响应</w:t>
            </w:r>
            <w:r>
              <w:rPr>
                <w:rFonts w:hint="eastAsia" w:cs="宋体"/>
                <w:sz w:val="24"/>
                <w:szCs w:val="24"/>
              </w:rPr>
              <w:t>处理，标▲为重要指标，每一项负偏离</w:t>
            </w:r>
            <w:r>
              <w:rPr>
                <w:rFonts w:hint="eastAsia" w:cs="宋体"/>
                <w:color w:val="FF0000"/>
                <w:sz w:val="24"/>
                <w:szCs w:val="24"/>
              </w:rPr>
              <w:t>扣</w:t>
            </w:r>
            <w:r>
              <w:rPr>
                <w:rFonts w:hint="eastAsia" w:cs="宋体"/>
                <w:color w:val="FF0000"/>
                <w:sz w:val="24"/>
                <w:szCs w:val="24"/>
                <w:lang w:val="en-US" w:eastAsia="zh-CN"/>
              </w:rPr>
              <w:t>3</w:t>
            </w:r>
            <w:r>
              <w:rPr>
                <w:rFonts w:hint="eastAsia" w:cs="宋体"/>
                <w:color w:val="FF0000"/>
                <w:sz w:val="24"/>
                <w:szCs w:val="24"/>
              </w:rPr>
              <w:t>分</w:t>
            </w:r>
            <w:r>
              <w:rPr>
                <w:rFonts w:hint="eastAsia" w:cs="宋体"/>
                <w:sz w:val="24"/>
                <w:szCs w:val="24"/>
              </w:rPr>
              <w:t>，扣完为止。重要技术参数“▲”项中要求（需按要求提供相关证明材料或者截图）的，证明材料或者功能截图需要与</w:t>
            </w:r>
            <w:r>
              <w:rPr>
                <w:rFonts w:hint="eastAsia" w:cs="宋体"/>
                <w:sz w:val="24"/>
                <w:szCs w:val="24"/>
                <w:lang w:eastAsia="zh-CN"/>
              </w:rPr>
              <w:t>采购</w:t>
            </w:r>
            <w:r>
              <w:rPr>
                <w:rFonts w:hint="eastAsia" w:cs="宋体"/>
                <w:sz w:val="24"/>
                <w:szCs w:val="24"/>
              </w:rPr>
              <w:t>文件描述功能吻合，</w:t>
            </w:r>
            <w:r>
              <w:rPr>
                <w:rFonts w:hint="eastAsia" w:cs="宋体"/>
                <w:sz w:val="24"/>
                <w:szCs w:val="24"/>
                <w:lang w:eastAsia="zh-CN"/>
              </w:rPr>
              <w:t>响应</w:t>
            </w:r>
            <w:r>
              <w:rPr>
                <w:rFonts w:hint="eastAsia" w:cs="宋体"/>
                <w:sz w:val="24"/>
                <w:szCs w:val="24"/>
              </w:rPr>
              <w:t>时未提供相关证明材料或功能截图不符合要求者，视为负偏离。其他项不满足，扣</w:t>
            </w:r>
            <w:r>
              <w:rPr>
                <w:rFonts w:hint="eastAsia" w:cs="宋体"/>
                <w:color w:val="FF0000"/>
                <w:sz w:val="24"/>
                <w:szCs w:val="24"/>
                <w:lang w:val="en-US" w:eastAsia="zh-CN"/>
              </w:rPr>
              <w:t>1.5</w:t>
            </w:r>
            <w:r>
              <w:rPr>
                <w:rFonts w:hint="eastAsia" w:cs="宋体"/>
                <w:color w:val="FF0000"/>
                <w:sz w:val="24"/>
                <w:szCs w:val="24"/>
              </w:rPr>
              <w:t>分</w:t>
            </w:r>
            <w:r>
              <w:rPr>
                <w:rFonts w:hint="eastAsia" w:cs="宋体"/>
                <w:sz w:val="24"/>
                <w:szCs w:val="24"/>
              </w:rPr>
              <w:t>，扣完为止。</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30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30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6318B7E">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、磋商小组依据法律法规可以认定为废标的其他情况。</w:t>
      </w:r>
    </w:p>
    <w:p w14:paraId="40BC6075">
      <w:pPr>
        <w:pStyle w:val="21"/>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445B32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w w:val="80"/>
          <w:kern w:val="44"/>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2E7DC26F">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kern w:val="0"/>
          <w:sz w:val="24"/>
        </w:rPr>
        <w:t>30日内</w:t>
      </w:r>
      <w:r>
        <w:rPr>
          <w:rFonts w:hint="eastAsia" w:ascii="Times New Roman" w:hAnsi="Times New Roman" w:eastAsia="宋体" w:cs="宋体"/>
          <w:b w:val="0"/>
          <w:bCs w:val="0"/>
          <w:color w:val="auto"/>
          <w:kern w:val="0"/>
          <w:sz w:val="24"/>
          <w:highlight w:val="none"/>
        </w:rPr>
        <w:t>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kinsoku/>
        <w:wordWrap/>
        <w:topLinePunct w:val="0"/>
        <w:autoSpaceDE/>
        <w:autoSpaceDN/>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kinsoku/>
        <w:wordWrap/>
        <w:topLinePunct w:val="0"/>
        <w:autoSpaceDE/>
        <w:autoSpaceDN/>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kinsoku/>
        <w:wordWrap/>
        <w:topLinePunct w:val="0"/>
        <w:autoSpaceDE/>
        <w:autoSpaceDN/>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kinsoku/>
        <w:wordWrap/>
        <w:topLinePunct w:val="0"/>
        <w:autoSpaceDE/>
        <w:autoSpaceDN/>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kinsoku/>
        <w:wordWrap/>
        <w:topLinePunct w:val="0"/>
        <w:autoSpaceDE/>
        <w:autoSpaceDN/>
        <w:bidi w:val="0"/>
        <w:spacing w:line="360" w:lineRule="auto"/>
        <w:rPr>
          <w:rFonts w:ascii="Times New Roman" w:hAnsi="Times New Roman"/>
          <w:b/>
          <w:color w:val="auto"/>
          <w:sz w:val="24"/>
          <w:szCs w:val="24"/>
          <w:highlight w:val="none"/>
        </w:rPr>
      </w:pPr>
    </w:p>
    <w:p w14:paraId="7AB4BB50">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3"/>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w:t>
      </w:r>
      <w:r>
        <w:rPr>
          <w:rFonts w:hint="eastAsia" w:ascii="Times New Roman" w:hAnsi="Times New Roman" w:eastAsia="宋体" w:cs="宋体"/>
          <w:b/>
          <w:bCs/>
          <w:color w:val="auto"/>
          <w:sz w:val="24"/>
          <w:szCs w:val="24"/>
          <w:highlight w:val="none"/>
          <w:lang w:eastAsia="zh-CN"/>
        </w:rPr>
        <w:t>商务</w:t>
      </w:r>
      <w:r>
        <w:rPr>
          <w:rFonts w:hint="eastAsia" w:ascii="Times New Roman" w:hAnsi="Times New Roman" w:eastAsia="宋体" w:cs="宋体"/>
          <w:b/>
          <w:bCs/>
          <w:color w:val="auto"/>
          <w:sz w:val="24"/>
          <w:szCs w:val="24"/>
          <w:highlight w:val="none"/>
        </w:rPr>
        <w:t>技术响应文件、报价响应文件三部分组成。本次竞争性磋商采用资格后审方式，供应商须将资格审查文件作为响应文件组成部分，按磋商文件要求装订密封后一起递交。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keepNext w:val="0"/>
        <w:keepLines w:val="0"/>
        <w:pageBreakBefore w:val="0"/>
        <w:kinsoku/>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keepNext w:val="0"/>
        <w:keepLines w:val="0"/>
        <w:pageBreakBefore w:val="0"/>
        <w:kinsoku/>
        <w:topLinePunct w:val="0"/>
        <w:autoSpaceDE/>
        <w:autoSpaceDN/>
        <w:bidi w:val="0"/>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w:t>
      </w:r>
      <w:r>
        <w:rPr>
          <w:rFonts w:hint="eastAsia" w:ascii="Times New Roman" w:hAnsi="Times New Roman" w:eastAsia="宋体"/>
          <w:b/>
          <w:bCs/>
          <w:color w:val="auto"/>
          <w:sz w:val="24"/>
          <w:szCs w:val="24"/>
          <w:highlight w:val="none"/>
          <w:lang w:eastAsia="zh-CN"/>
        </w:rPr>
        <w:t>商务</w:t>
      </w:r>
      <w:r>
        <w:rPr>
          <w:rFonts w:hint="eastAsia" w:ascii="Times New Roman" w:hAnsi="Times New Roman" w:eastAsia="宋体"/>
          <w:b/>
          <w:bCs/>
          <w:color w:val="auto"/>
          <w:sz w:val="24"/>
          <w:szCs w:val="24"/>
          <w:highlight w:val="none"/>
        </w:rPr>
        <w:t>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rPr>
        <w:t>技术条款响应正负偏离表（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6A899C4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lang w:eastAsia="zh-CN"/>
        </w:rPr>
        <w:t>商务</w:t>
      </w:r>
      <w:r>
        <w:rPr>
          <w:rFonts w:hint="eastAsia" w:ascii="Times New Roman" w:hAnsi="Times New Roman" w:eastAsia="宋体" w:cs="宋体"/>
          <w:bCs/>
          <w:color w:val="auto"/>
          <w:sz w:val="24"/>
          <w:szCs w:val="24"/>
          <w:highlight w:val="none"/>
        </w:rPr>
        <w:t>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“商务</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南通市第三人民医院移动PDA采购项目</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南通市第三人民医院移动PDA采购项目</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keepNext w:val="0"/>
        <w:keepLines w:val="0"/>
        <w:pageBreakBefore w:val="0"/>
        <w:kinsoku/>
        <w:topLinePunct w:val="0"/>
        <w:autoSpaceDE/>
        <w:autoSpaceDN/>
        <w:bidi w:val="0"/>
        <w:spacing w:line="360" w:lineRule="auto"/>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0B0F116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keepNext w:val="0"/>
        <w:keepLines w:val="0"/>
        <w:pageBreakBefore w:val="0"/>
        <w:kinsoku/>
        <w:topLinePunct w:val="0"/>
        <w:autoSpaceDE/>
        <w:autoSpaceDN/>
        <w:bidi w:val="0"/>
        <w:spacing w:line="360" w:lineRule="auto"/>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6"/>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bl>
    <w:p w14:paraId="1498CB8B">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keepNext w:val="0"/>
        <w:keepLines w:val="0"/>
        <w:pageBreakBefore w:val="0"/>
        <w:kinsoku/>
        <w:topLinePunct w:val="0"/>
        <w:autoSpaceDE/>
        <w:autoSpaceDN/>
        <w:bidi w:val="0"/>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7371FE56">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7</w:t>
      </w:r>
      <w:r>
        <w:rPr>
          <w:rFonts w:hint="eastAsia" w:ascii="Times New Roman" w:hAnsi="Times New Roman" w:eastAsia="宋体"/>
          <w:b/>
          <w:color w:val="auto"/>
          <w:sz w:val="24"/>
          <w:szCs w:val="24"/>
          <w:highlight w:val="none"/>
        </w:rPr>
        <w:t>、技术条款响应正负偏离表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中的技术部分的要求有不同时，应逐条填列在偏离表中，否则将认为响应人接受磋商文件的所有要求。</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3C92E748">
      <w:pPr>
        <w:numPr>
          <w:ilvl w:val="0"/>
          <w:numId w:val="0"/>
        </w:numPr>
        <w:autoSpaceDE w:val="0"/>
        <w:autoSpaceDN w:val="0"/>
        <w:adjustRightInd w:val="0"/>
        <w:spacing w:line="360" w:lineRule="auto"/>
        <w:ind w:left="0" w:leftChars="0" w:firstLine="482" w:firstLineChars="200"/>
        <w:contextualSpacing/>
        <w:rPr>
          <w:rFonts w:hint="eastAsia" w:cs="宋体"/>
          <w:b/>
          <w:bCs/>
          <w:color w:val="FF0000"/>
          <w:sz w:val="24"/>
          <w:szCs w:val="24"/>
        </w:rPr>
      </w:pPr>
      <w:r>
        <w:rPr>
          <w:rFonts w:hint="eastAsia" w:ascii="Times New Roman" w:hAnsi="Times New Roman" w:eastAsia="宋体" w:cs="宋体"/>
          <w:b/>
          <w:bCs/>
          <w:kern w:val="0"/>
          <w:sz w:val="24"/>
          <w:szCs w:val="24"/>
          <w:highlight w:val="none"/>
          <w:lang w:val="en-US" w:eastAsia="zh-CN"/>
        </w:rPr>
        <w:t>4、</w:t>
      </w:r>
      <w:r>
        <w:rPr>
          <w:rFonts w:hint="eastAsia" w:ascii="Times New Roman" w:hAnsi="Times New Roman" w:eastAsia="宋体" w:cs="宋体"/>
          <w:b/>
          <w:bCs/>
          <w:color w:val="FF0000"/>
          <w:kern w:val="0"/>
          <w:sz w:val="24"/>
          <w:szCs w:val="24"/>
          <w:highlight w:val="none"/>
          <w:lang w:val="zh-CN" w:eastAsia="zh-CN"/>
        </w:rPr>
        <w:t>“★”</w:t>
      </w:r>
      <w:r>
        <w:rPr>
          <w:rFonts w:hint="eastAsia" w:cs="宋体"/>
          <w:b/>
          <w:bCs/>
          <w:color w:val="FF0000"/>
          <w:sz w:val="24"/>
          <w:szCs w:val="24"/>
        </w:rPr>
        <w:t>为核心</w:t>
      </w:r>
      <w:r>
        <w:rPr>
          <w:rFonts w:hint="eastAsia" w:ascii="Times New Roman" w:hAnsi="Times New Roman" w:eastAsia="宋体" w:cs="宋体"/>
          <w:b/>
          <w:bCs/>
          <w:color w:val="FF0000"/>
          <w:kern w:val="0"/>
          <w:sz w:val="24"/>
          <w:szCs w:val="24"/>
          <w:highlight w:val="none"/>
          <w:lang w:val="zh-CN" w:eastAsia="zh-CN"/>
        </w:rPr>
        <w:t>指标，</w:t>
      </w:r>
      <w:r>
        <w:rPr>
          <w:rFonts w:hint="eastAsia" w:cs="宋体"/>
          <w:b/>
          <w:bCs/>
          <w:color w:val="FF0000"/>
          <w:sz w:val="24"/>
          <w:szCs w:val="24"/>
        </w:rPr>
        <w:t>不允许负偏离，</w:t>
      </w:r>
      <w:r>
        <w:rPr>
          <w:rFonts w:hint="eastAsia" w:cs="宋体"/>
          <w:b/>
          <w:bCs/>
          <w:color w:val="FF0000"/>
          <w:sz w:val="24"/>
          <w:szCs w:val="24"/>
          <w:lang w:val="zh-CN" w:eastAsia="zh-CN"/>
        </w:rPr>
        <w:t>不满足该指标项将导致响应文件被拒绝。</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6057A296">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2B9F3D50">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67975B0E">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8</w:t>
      </w:r>
      <w:r>
        <w:rPr>
          <w:rFonts w:hint="eastAsia" w:ascii="Times New Roman" w:hAnsi="Times New Roman" w:eastAsia="宋体"/>
          <w:b/>
          <w:color w:val="auto"/>
          <w:sz w:val="24"/>
          <w:szCs w:val="24"/>
          <w:highlight w:val="none"/>
        </w:rPr>
        <w:t>、</w:t>
      </w:r>
      <w:r>
        <w:rPr>
          <w:rFonts w:hint="eastAsia" w:ascii="Times New Roman" w:hAnsi="Times New Roman" w:eastAsia="宋体"/>
          <w:b/>
          <w:color w:val="auto"/>
          <w:sz w:val="24"/>
          <w:szCs w:val="24"/>
          <w:highlight w:val="none"/>
          <w:lang w:eastAsia="zh-CN"/>
        </w:rPr>
        <w:t>商务</w:t>
      </w:r>
      <w:r>
        <w:rPr>
          <w:rFonts w:hint="eastAsia" w:ascii="Times New Roman" w:hAnsi="Times New Roman" w:eastAsia="宋体"/>
          <w:b/>
          <w:color w:val="auto"/>
          <w:sz w:val="24"/>
          <w:szCs w:val="24"/>
          <w:highlight w:val="none"/>
        </w:rPr>
        <w:t>条款响应正负偏离表</w:t>
      </w:r>
    </w:p>
    <w:p w14:paraId="4573D28C">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3779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617B6C9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65A181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47D34F4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E86B8A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124BE64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5BBAD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B7ACE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2C142C0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48B6E0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ED2171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2CD48ED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2E08D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0F659C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77EFF0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C8A06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0A0B4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3644D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B87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019B8C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2D2555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53C816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D9B230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0318E8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43FB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B0D48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F7120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02F93CF">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1593D53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8EC8685">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5EAC848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2C5AD22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w:t>
      </w:r>
      <w:r>
        <w:rPr>
          <w:rFonts w:hint="eastAsia" w:ascii="Times New Roman" w:hAnsi="Times New Roman" w:eastAsia="宋体" w:cs="宋体"/>
          <w:color w:val="auto"/>
          <w:sz w:val="24"/>
          <w:szCs w:val="24"/>
          <w:highlight w:val="none"/>
          <w:lang w:eastAsia="zh-CN"/>
        </w:rPr>
        <w:t>商务</w:t>
      </w:r>
      <w:r>
        <w:rPr>
          <w:rFonts w:ascii="Times New Roman" w:hAnsi="Times New Roman" w:eastAsia="宋体" w:cs="宋体"/>
          <w:color w:val="auto"/>
          <w:sz w:val="24"/>
          <w:szCs w:val="24"/>
          <w:highlight w:val="none"/>
        </w:rPr>
        <w:t>部分的要求有不同时，应逐条填列在偏离表中，否则将认为响应人接受磋商文件的所有要求。</w:t>
      </w:r>
      <w:r>
        <w:rPr>
          <w:rFonts w:hint="eastAsia" w:ascii="Times New Roman" w:hAnsi="Times New Roman" w:eastAsia="宋体" w:cs="宋体"/>
          <w:sz w:val="24"/>
          <w:szCs w:val="24"/>
          <w:highlight w:val="none"/>
        </w:rPr>
        <w:t>也</w:t>
      </w:r>
      <w:r>
        <w:rPr>
          <w:rFonts w:hint="eastAsia" w:ascii="Times New Roman" w:hAnsi="Times New Roman" w:eastAsia="宋体" w:cs="宋体"/>
          <w:kern w:val="0"/>
          <w:sz w:val="24"/>
          <w:szCs w:val="24"/>
          <w:highlight w:val="none"/>
        </w:rPr>
        <w:t>可以提供经签署、盖章的空白表格，采购人将视为供应商完全接受</w:t>
      </w:r>
      <w:r>
        <w:rPr>
          <w:rFonts w:hint="eastAsia" w:ascii="Times New Roman" w:hAnsi="Times New Roman" w:eastAsia="宋体" w:cs="宋体"/>
          <w:sz w:val="24"/>
          <w:szCs w:val="24"/>
          <w:highlight w:val="none"/>
        </w:rPr>
        <w:t>第三部分“项目需求”中的商务部分的</w:t>
      </w:r>
      <w:r>
        <w:rPr>
          <w:rFonts w:hint="eastAsia" w:ascii="Times New Roman" w:hAnsi="Times New Roman" w:eastAsia="宋体" w:cs="宋体"/>
          <w:kern w:val="0"/>
          <w:sz w:val="24"/>
          <w:szCs w:val="24"/>
          <w:highlight w:val="none"/>
        </w:rPr>
        <w:t>条款内容。</w:t>
      </w:r>
    </w:p>
    <w:p w14:paraId="1599803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7C069CA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F7A03A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7C3CC3D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A49A10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0C84F1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56BF4B5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55F504B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17FCEED4">
      <w:pPr>
        <w:rPr>
          <w:rFonts w:hint="eastAsia" w:ascii="Times New Roman" w:hAnsi="Times New Roman" w:eastAsia="宋体" w:cs="宋体"/>
          <w:b/>
          <w:color w:val="auto"/>
          <w:sz w:val="24"/>
          <w:szCs w:val="24"/>
          <w:highlight w:val="none"/>
          <w:lang w:val="en-US" w:eastAsia="zh-CN"/>
        </w:rPr>
      </w:pPr>
    </w:p>
    <w:p w14:paraId="58FB5A42">
      <w:pPr>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9</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南通市第三人民医院移动PDA采购项目</w:t>
      </w:r>
    </w:p>
    <w:tbl>
      <w:tblPr>
        <w:tblStyle w:val="26"/>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南通市第三人民医院移动PDA采购项目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4"/>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4"/>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磋商响应报价明细表</w:t>
      </w:r>
    </w:p>
    <w:p w14:paraId="6BA8BFFC">
      <w:pPr>
        <w:keepNext w:val="0"/>
        <w:keepLines w:val="0"/>
        <w:pageBreakBefore w:val="0"/>
        <w:kinsoku/>
        <w:topLinePunct w:val="0"/>
        <w:autoSpaceDE/>
        <w:autoSpaceDN/>
        <w:bidi w:val="0"/>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南通市第三人民医院移动PDA采购项目</w:t>
      </w:r>
    </w:p>
    <w:tbl>
      <w:tblPr>
        <w:tblStyle w:val="26"/>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12"/>
        <w:gridCol w:w="1230"/>
        <w:gridCol w:w="1275"/>
        <w:gridCol w:w="1575"/>
        <w:gridCol w:w="1646"/>
      </w:tblGrid>
      <w:tr w14:paraId="701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0" w:type="dxa"/>
            <w:tcBorders>
              <w:tl2br w:val="nil"/>
              <w:tr2bl w:val="nil"/>
            </w:tcBorders>
            <w:noWrap w:val="0"/>
            <w:vAlign w:val="center"/>
          </w:tcPr>
          <w:p w14:paraId="70FF239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712" w:type="dxa"/>
            <w:tcBorders>
              <w:tl2br w:val="nil"/>
              <w:tr2bl w:val="nil"/>
            </w:tcBorders>
            <w:noWrap w:val="0"/>
            <w:vAlign w:val="center"/>
          </w:tcPr>
          <w:p w14:paraId="430D15A7">
            <w:pPr>
              <w:keepNext w:val="0"/>
              <w:keepLines w:val="0"/>
              <w:pageBreakBefore w:val="0"/>
              <w:widowControl/>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zh-CN"/>
              </w:rPr>
              <w:t>产品</w:t>
            </w:r>
            <w:r>
              <w:rPr>
                <w:rFonts w:hint="eastAsia" w:ascii="宋体" w:hAnsi="宋体" w:eastAsia="宋体" w:cs="宋体"/>
                <w:b w:val="0"/>
                <w:bCs w:val="0"/>
                <w:color w:val="auto"/>
                <w:kern w:val="0"/>
                <w:sz w:val="24"/>
                <w:szCs w:val="24"/>
                <w:highlight w:val="none"/>
                <w:lang w:val="en-US" w:eastAsia="zh-CN"/>
              </w:rPr>
              <w:t>/服务</w:t>
            </w:r>
            <w:r>
              <w:rPr>
                <w:rFonts w:hint="eastAsia" w:ascii="宋体" w:hAnsi="宋体" w:eastAsia="宋体" w:cs="宋体"/>
                <w:b w:val="0"/>
                <w:bCs w:val="0"/>
                <w:color w:val="auto"/>
                <w:kern w:val="0"/>
                <w:sz w:val="24"/>
                <w:szCs w:val="24"/>
                <w:highlight w:val="none"/>
                <w:lang w:val="zh-CN"/>
              </w:rPr>
              <w:t>名称</w:t>
            </w:r>
          </w:p>
        </w:tc>
        <w:tc>
          <w:tcPr>
            <w:tcW w:w="1230" w:type="dxa"/>
            <w:tcBorders>
              <w:tl2br w:val="nil"/>
              <w:tr2bl w:val="nil"/>
            </w:tcBorders>
            <w:noWrap w:val="0"/>
            <w:vAlign w:val="center"/>
          </w:tcPr>
          <w:p w14:paraId="0F48532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单位</w:t>
            </w:r>
          </w:p>
        </w:tc>
        <w:tc>
          <w:tcPr>
            <w:tcW w:w="1275" w:type="dxa"/>
            <w:tcBorders>
              <w:tl2br w:val="nil"/>
              <w:tr2bl w:val="nil"/>
            </w:tcBorders>
            <w:noWrap w:val="0"/>
            <w:vAlign w:val="center"/>
          </w:tcPr>
          <w:p w14:paraId="2C176D3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575" w:type="dxa"/>
            <w:tcBorders>
              <w:tl2br w:val="nil"/>
              <w:tr2bl w:val="nil"/>
            </w:tcBorders>
            <w:noWrap w:val="0"/>
            <w:vAlign w:val="center"/>
          </w:tcPr>
          <w:p w14:paraId="71C1BBD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单价</w:t>
            </w:r>
          </w:p>
        </w:tc>
        <w:tc>
          <w:tcPr>
            <w:tcW w:w="1646" w:type="dxa"/>
            <w:tcBorders>
              <w:tl2br w:val="nil"/>
              <w:tr2bl w:val="nil"/>
            </w:tcBorders>
            <w:noWrap w:val="0"/>
            <w:vAlign w:val="center"/>
          </w:tcPr>
          <w:p w14:paraId="120ABB6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综合合价</w:t>
            </w:r>
          </w:p>
        </w:tc>
      </w:tr>
      <w:tr w14:paraId="2AA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60E445D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712" w:type="dxa"/>
            <w:tcBorders>
              <w:tl2br w:val="nil"/>
              <w:tr2bl w:val="nil"/>
            </w:tcBorders>
            <w:noWrap w:val="0"/>
            <w:vAlign w:val="center"/>
          </w:tcPr>
          <w:p w14:paraId="1755C123">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76BA0E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A13A85D">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14BDDDEF">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402C018B">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3B6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F6A1F09">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712" w:type="dxa"/>
            <w:tcBorders>
              <w:tl2br w:val="nil"/>
              <w:tr2bl w:val="nil"/>
            </w:tcBorders>
            <w:noWrap w:val="0"/>
            <w:vAlign w:val="center"/>
          </w:tcPr>
          <w:p w14:paraId="6BE116F5">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40922C01">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E1DDA8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104DAB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12911C4D">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2E4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51F30241">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712" w:type="dxa"/>
            <w:tcBorders>
              <w:tl2br w:val="nil"/>
              <w:tr2bl w:val="nil"/>
            </w:tcBorders>
            <w:noWrap w:val="0"/>
            <w:vAlign w:val="center"/>
          </w:tcPr>
          <w:p w14:paraId="03E3140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090CAE38">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468B991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84BD0A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510F18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7EC9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0D1F21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2712" w:type="dxa"/>
            <w:tcBorders>
              <w:tl2br w:val="nil"/>
              <w:tr2bl w:val="nil"/>
            </w:tcBorders>
            <w:noWrap w:val="0"/>
            <w:vAlign w:val="center"/>
          </w:tcPr>
          <w:p w14:paraId="73F96C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5E9A7045">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64796A9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EB27B5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94A0C1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614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52ECFD93">
            <w:pPr>
              <w:keepNext w:val="0"/>
              <w:keepLines w:val="0"/>
              <w:pageBreakBefore w:val="0"/>
              <w:widowControl/>
              <w:kinsoku/>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712" w:type="dxa"/>
            <w:tcBorders>
              <w:tl2br w:val="nil"/>
              <w:tr2bl w:val="nil"/>
            </w:tcBorders>
            <w:noWrap w:val="0"/>
            <w:vAlign w:val="center"/>
          </w:tcPr>
          <w:p w14:paraId="597418A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449A4F42">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030ADBCB">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B107A7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2B6FF71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1C3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58" w:type="dxa"/>
            <w:gridSpan w:val="6"/>
            <w:tcBorders>
              <w:tl2br w:val="nil"/>
              <w:tr2bl w:val="nil"/>
            </w:tcBorders>
            <w:noWrap w:val="0"/>
            <w:vAlign w:val="center"/>
          </w:tcPr>
          <w:p w14:paraId="2445A840">
            <w:pPr>
              <w:keepNext w:val="0"/>
              <w:keepLines w:val="0"/>
              <w:pageBreakBefore w:val="0"/>
              <w:widowControl/>
              <w:kinsoku/>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eastAsia="宋体"/>
                <w:color w:val="auto"/>
                <w:sz w:val="24"/>
                <w:szCs w:val="24"/>
                <w:highlight w:val="none"/>
              </w:rPr>
              <w:t>合计：¥</w:t>
            </w:r>
            <w:r>
              <w:rPr>
                <w:rFonts w:eastAsia="宋体"/>
                <w:color w:val="auto"/>
                <w:sz w:val="24"/>
                <w:szCs w:val="24"/>
                <w:highlight w:val="none"/>
                <w:u w:val="single"/>
              </w:rPr>
              <w:t xml:space="preserve">          </w:t>
            </w:r>
            <w:r>
              <w:rPr>
                <w:rFonts w:eastAsia="宋体"/>
                <w:color w:val="auto"/>
                <w:sz w:val="24"/>
                <w:szCs w:val="24"/>
                <w:highlight w:val="none"/>
              </w:rPr>
              <w:t>元，大写：人民币</w:t>
            </w:r>
            <w:r>
              <w:rPr>
                <w:rFonts w:eastAsia="宋体"/>
                <w:color w:val="auto"/>
                <w:sz w:val="24"/>
                <w:szCs w:val="24"/>
                <w:highlight w:val="none"/>
                <w:u w:val="single"/>
              </w:rPr>
              <w:t xml:space="preserve">                    </w:t>
            </w:r>
            <w:r>
              <w:rPr>
                <w:rFonts w:eastAsia="宋体"/>
                <w:color w:val="auto"/>
                <w:sz w:val="24"/>
                <w:szCs w:val="24"/>
                <w:highlight w:val="none"/>
              </w:rPr>
              <w:t xml:space="preserve"> 。</w:t>
            </w:r>
          </w:p>
        </w:tc>
      </w:tr>
    </w:tbl>
    <w:p w14:paraId="37161961">
      <w:pPr>
        <w:pStyle w:val="41"/>
        <w:keepNext w:val="0"/>
        <w:keepLines w:val="0"/>
        <w:pageBreakBefore w:val="0"/>
        <w:kinsoku/>
        <w:topLinePunct w:val="0"/>
        <w:autoSpaceDE/>
        <w:autoSpaceDN/>
        <w:bidi w:val="0"/>
        <w:spacing w:line="360" w:lineRule="auto"/>
        <w:rPr>
          <w:rFonts w:hint="eastAsia"/>
          <w:color w:val="auto"/>
          <w:highlight w:val="none"/>
        </w:rPr>
      </w:pPr>
    </w:p>
    <w:p w14:paraId="01C87B3B">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本表式，可根据实际报价的明细需要自行添加。</w:t>
      </w:r>
    </w:p>
    <w:p w14:paraId="57E63507">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总报价（以人民币计价）应</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bCs/>
          <w:color w:val="auto"/>
          <w:sz w:val="24"/>
          <w:szCs w:val="24"/>
          <w:highlight w:val="none"/>
          <w:lang w:eastAsia="zh-CN"/>
        </w:rPr>
        <w:t>；</w:t>
      </w:r>
      <w:r>
        <w:rPr>
          <w:rFonts w:hint="eastAsia" w:ascii="宋体" w:hAnsi="宋体" w:eastAsia="宋体" w:cs="宋体"/>
          <w:color w:val="auto"/>
          <w:sz w:val="24"/>
          <w:szCs w:val="24"/>
          <w:highlight w:val="none"/>
        </w:rPr>
        <w:t>即本项目采购的货物交付使用前的所有费用以及免费质保期内的服务费用等包含响应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文件采购要求的所有费用。</w:t>
      </w:r>
      <w:r>
        <w:rPr>
          <w:rFonts w:hint="eastAsia" w:ascii="Times New Roman" w:hAnsi="Times New Roman" w:eastAsia="宋体" w:cs="宋体"/>
          <w:color w:val="auto"/>
          <w:sz w:val="24"/>
          <w:szCs w:val="24"/>
          <w:highlight w:val="none"/>
        </w:rPr>
        <w:t>同时，报价也包含了合同履行过程中可能发生的一切风险</w:t>
      </w:r>
      <w:r>
        <w:rPr>
          <w:rFonts w:hint="eastAsia" w:ascii="Times New Roman" w:hAnsi="Times New Roman" w:eastAsia="宋体" w:cs="宋体"/>
          <w:color w:val="auto"/>
          <w:sz w:val="24"/>
          <w:szCs w:val="24"/>
          <w:highlight w:val="none"/>
          <w:lang w:eastAsia="zh-CN"/>
        </w:rPr>
        <w:t>。</w:t>
      </w:r>
    </w:p>
    <w:p w14:paraId="243B4004">
      <w:pPr>
        <w:keepNext w:val="0"/>
        <w:keepLines w:val="0"/>
        <w:pageBreakBefore w:val="0"/>
        <w:tabs>
          <w:tab w:val="left" w:pos="720"/>
        </w:tabs>
        <w:kinsoku/>
        <w:topLinePunct w:val="0"/>
        <w:autoSpaceDE/>
        <w:autoSpaceDN/>
        <w:bidi w:val="0"/>
        <w:snapToGrid w:val="0"/>
        <w:spacing w:line="360" w:lineRule="auto"/>
        <w:jc w:val="left"/>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F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8"/>
      <w:jc w:val="center"/>
    </w:pPr>
    <w:r>
      <w:fldChar w:fldCharType="begin"/>
    </w:r>
    <w:r>
      <w:instrText xml:space="preserve"> PAGE   \* MERGEFORMAT </w:instrText>
    </w:r>
    <w:r>
      <w:fldChar w:fldCharType="separate"/>
    </w:r>
    <w:r>
      <w:rPr>
        <w:lang w:val="zh-CN"/>
      </w:rPr>
      <w:t>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800B0A"/>
    <w:rsid w:val="02F619EC"/>
    <w:rsid w:val="032341C5"/>
    <w:rsid w:val="03A83A42"/>
    <w:rsid w:val="03E379A2"/>
    <w:rsid w:val="041E22FB"/>
    <w:rsid w:val="0475016D"/>
    <w:rsid w:val="05D721F2"/>
    <w:rsid w:val="0A2543E3"/>
    <w:rsid w:val="0A2830AC"/>
    <w:rsid w:val="0A5D1C72"/>
    <w:rsid w:val="0A727010"/>
    <w:rsid w:val="0B462863"/>
    <w:rsid w:val="0BE5207C"/>
    <w:rsid w:val="0CD77836"/>
    <w:rsid w:val="0DEA1BCB"/>
    <w:rsid w:val="0E6C4D9F"/>
    <w:rsid w:val="0FB9436E"/>
    <w:rsid w:val="10E548CC"/>
    <w:rsid w:val="10EF15A7"/>
    <w:rsid w:val="113F1AEE"/>
    <w:rsid w:val="115B540E"/>
    <w:rsid w:val="133E3283"/>
    <w:rsid w:val="134F24D1"/>
    <w:rsid w:val="136D4745"/>
    <w:rsid w:val="139A7BF0"/>
    <w:rsid w:val="14EA7E81"/>
    <w:rsid w:val="151421A8"/>
    <w:rsid w:val="15253159"/>
    <w:rsid w:val="155F3D53"/>
    <w:rsid w:val="157C1E87"/>
    <w:rsid w:val="159468C1"/>
    <w:rsid w:val="15C2217E"/>
    <w:rsid w:val="15D63BCC"/>
    <w:rsid w:val="15F6320B"/>
    <w:rsid w:val="16593DC0"/>
    <w:rsid w:val="17B30762"/>
    <w:rsid w:val="17BF578A"/>
    <w:rsid w:val="17F32EE2"/>
    <w:rsid w:val="180129B7"/>
    <w:rsid w:val="18117D55"/>
    <w:rsid w:val="18263421"/>
    <w:rsid w:val="197565C6"/>
    <w:rsid w:val="19DB2D10"/>
    <w:rsid w:val="1A18186E"/>
    <w:rsid w:val="1B4F155D"/>
    <w:rsid w:val="1C503906"/>
    <w:rsid w:val="1DE432AC"/>
    <w:rsid w:val="1E163551"/>
    <w:rsid w:val="1F0C4400"/>
    <w:rsid w:val="1F8E2FE8"/>
    <w:rsid w:val="203A77C4"/>
    <w:rsid w:val="20436AF3"/>
    <w:rsid w:val="21450846"/>
    <w:rsid w:val="21B43D41"/>
    <w:rsid w:val="224E366C"/>
    <w:rsid w:val="22D402FC"/>
    <w:rsid w:val="2335285B"/>
    <w:rsid w:val="252E676F"/>
    <w:rsid w:val="255B09A2"/>
    <w:rsid w:val="272A0E68"/>
    <w:rsid w:val="274D0351"/>
    <w:rsid w:val="27DE22E9"/>
    <w:rsid w:val="286D194F"/>
    <w:rsid w:val="28885E11"/>
    <w:rsid w:val="28F53B49"/>
    <w:rsid w:val="293735A9"/>
    <w:rsid w:val="296F1664"/>
    <w:rsid w:val="29776DC4"/>
    <w:rsid w:val="29C12658"/>
    <w:rsid w:val="29C97C61"/>
    <w:rsid w:val="2B9F25ED"/>
    <w:rsid w:val="2BD6675A"/>
    <w:rsid w:val="2C5A6960"/>
    <w:rsid w:val="2C6E5A4D"/>
    <w:rsid w:val="2C9A004F"/>
    <w:rsid w:val="2CA1696C"/>
    <w:rsid w:val="2CC8252C"/>
    <w:rsid w:val="2CCE28B7"/>
    <w:rsid w:val="2D0068BE"/>
    <w:rsid w:val="2D404F0C"/>
    <w:rsid w:val="2D547055"/>
    <w:rsid w:val="2DD824AC"/>
    <w:rsid w:val="2E672C1C"/>
    <w:rsid w:val="2F837332"/>
    <w:rsid w:val="30A401EF"/>
    <w:rsid w:val="322E658F"/>
    <w:rsid w:val="32347FCD"/>
    <w:rsid w:val="32593CE2"/>
    <w:rsid w:val="32D85BE7"/>
    <w:rsid w:val="32F8518F"/>
    <w:rsid w:val="3329796B"/>
    <w:rsid w:val="34700A2F"/>
    <w:rsid w:val="358D4A67"/>
    <w:rsid w:val="35CA34F6"/>
    <w:rsid w:val="35CB4299"/>
    <w:rsid w:val="35EB3C95"/>
    <w:rsid w:val="35EB4569"/>
    <w:rsid w:val="36161DCC"/>
    <w:rsid w:val="366867C2"/>
    <w:rsid w:val="38594DC9"/>
    <w:rsid w:val="388D2136"/>
    <w:rsid w:val="39083E3F"/>
    <w:rsid w:val="396E11A3"/>
    <w:rsid w:val="3A3E6499"/>
    <w:rsid w:val="3AAB1168"/>
    <w:rsid w:val="3AEC4906"/>
    <w:rsid w:val="3C2C44E9"/>
    <w:rsid w:val="3CA14B12"/>
    <w:rsid w:val="3DA05553"/>
    <w:rsid w:val="3DEA6E32"/>
    <w:rsid w:val="3DF31169"/>
    <w:rsid w:val="3E246184"/>
    <w:rsid w:val="3ED2396D"/>
    <w:rsid w:val="3EF274D2"/>
    <w:rsid w:val="3EFD4AE8"/>
    <w:rsid w:val="3F13120C"/>
    <w:rsid w:val="3F696AF2"/>
    <w:rsid w:val="3FBC10C9"/>
    <w:rsid w:val="401C35B7"/>
    <w:rsid w:val="40423602"/>
    <w:rsid w:val="4080750E"/>
    <w:rsid w:val="42024E02"/>
    <w:rsid w:val="420764B5"/>
    <w:rsid w:val="422B5D33"/>
    <w:rsid w:val="425D1C65"/>
    <w:rsid w:val="42672AE3"/>
    <w:rsid w:val="440A15A0"/>
    <w:rsid w:val="442B555F"/>
    <w:rsid w:val="448734FB"/>
    <w:rsid w:val="44966A2D"/>
    <w:rsid w:val="44972DA7"/>
    <w:rsid w:val="4561465A"/>
    <w:rsid w:val="45983BDF"/>
    <w:rsid w:val="459E47A7"/>
    <w:rsid w:val="46CD07F9"/>
    <w:rsid w:val="4759558F"/>
    <w:rsid w:val="47693BAF"/>
    <w:rsid w:val="482C45B3"/>
    <w:rsid w:val="486E3206"/>
    <w:rsid w:val="48FE0BAD"/>
    <w:rsid w:val="49727F94"/>
    <w:rsid w:val="49DC3654"/>
    <w:rsid w:val="4A324B44"/>
    <w:rsid w:val="4ACD5C5A"/>
    <w:rsid w:val="4B840262"/>
    <w:rsid w:val="4BE75A2A"/>
    <w:rsid w:val="4C510AF8"/>
    <w:rsid w:val="4E46218F"/>
    <w:rsid w:val="4EBA73A4"/>
    <w:rsid w:val="4FA520EA"/>
    <w:rsid w:val="4FC139BA"/>
    <w:rsid w:val="502E6EFE"/>
    <w:rsid w:val="5035522F"/>
    <w:rsid w:val="515F3303"/>
    <w:rsid w:val="5291359A"/>
    <w:rsid w:val="53A23A14"/>
    <w:rsid w:val="54120D39"/>
    <w:rsid w:val="542A6B2C"/>
    <w:rsid w:val="544F229E"/>
    <w:rsid w:val="55385BD7"/>
    <w:rsid w:val="56400311"/>
    <w:rsid w:val="56E5418D"/>
    <w:rsid w:val="584274DB"/>
    <w:rsid w:val="585A4B1B"/>
    <w:rsid w:val="599B1D79"/>
    <w:rsid w:val="5A183261"/>
    <w:rsid w:val="5A4C01FF"/>
    <w:rsid w:val="5A8F2AFB"/>
    <w:rsid w:val="5A91106B"/>
    <w:rsid w:val="5AD25AC4"/>
    <w:rsid w:val="5B02520C"/>
    <w:rsid w:val="5BD838E7"/>
    <w:rsid w:val="5BD91F04"/>
    <w:rsid w:val="5C855626"/>
    <w:rsid w:val="5EE01142"/>
    <w:rsid w:val="5FBD3A12"/>
    <w:rsid w:val="60032852"/>
    <w:rsid w:val="60480F23"/>
    <w:rsid w:val="61946007"/>
    <w:rsid w:val="61BD1D0E"/>
    <w:rsid w:val="633D4A8B"/>
    <w:rsid w:val="63810588"/>
    <w:rsid w:val="640E3A9F"/>
    <w:rsid w:val="64191A38"/>
    <w:rsid w:val="64475451"/>
    <w:rsid w:val="64ED5461"/>
    <w:rsid w:val="64FB113D"/>
    <w:rsid w:val="658F2EA6"/>
    <w:rsid w:val="659772A6"/>
    <w:rsid w:val="6742329A"/>
    <w:rsid w:val="675F7512"/>
    <w:rsid w:val="68A31FFC"/>
    <w:rsid w:val="68A84122"/>
    <w:rsid w:val="68AD6BF3"/>
    <w:rsid w:val="696E2E35"/>
    <w:rsid w:val="6A585565"/>
    <w:rsid w:val="6A721EA2"/>
    <w:rsid w:val="6AB53F04"/>
    <w:rsid w:val="6AE32C8B"/>
    <w:rsid w:val="6C1132E7"/>
    <w:rsid w:val="6D600F61"/>
    <w:rsid w:val="6E9616EC"/>
    <w:rsid w:val="6F3A3EBA"/>
    <w:rsid w:val="6FA871F7"/>
    <w:rsid w:val="700D0A38"/>
    <w:rsid w:val="70541114"/>
    <w:rsid w:val="707A560C"/>
    <w:rsid w:val="70B054D2"/>
    <w:rsid w:val="712D5BF6"/>
    <w:rsid w:val="71AD12AD"/>
    <w:rsid w:val="71EA5EF0"/>
    <w:rsid w:val="720C2DA1"/>
    <w:rsid w:val="72BF1288"/>
    <w:rsid w:val="73392B0C"/>
    <w:rsid w:val="74266144"/>
    <w:rsid w:val="74493C73"/>
    <w:rsid w:val="75363ACC"/>
    <w:rsid w:val="75652356"/>
    <w:rsid w:val="75F25BCF"/>
    <w:rsid w:val="762F76F3"/>
    <w:rsid w:val="76372D83"/>
    <w:rsid w:val="76876CD5"/>
    <w:rsid w:val="76B22FC1"/>
    <w:rsid w:val="76DF48EB"/>
    <w:rsid w:val="787C19CC"/>
    <w:rsid w:val="79173AC2"/>
    <w:rsid w:val="79565D1A"/>
    <w:rsid w:val="7974407C"/>
    <w:rsid w:val="798C7570"/>
    <w:rsid w:val="7A0B19CB"/>
    <w:rsid w:val="7B0A1E99"/>
    <w:rsid w:val="7B85422E"/>
    <w:rsid w:val="7C1A2204"/>
    <w:rsid w:val="7C462374"/>
    <w:rsid w:val="7D5A2578"/>
    <w:rsid w:val="7DA178F7"/>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nhideWhenUsed="0"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9"/>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4">
    <w:name w:val="heading 2"/>
    <w:basedOn w:val="1"/>
    <w:next w:val="1"/>
    <w:link w:val="50"/>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5">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paragraph" w:styleId="6">
    <w:name w:val="heading 7"/>
    <w:basedOn w:val="1"/>
    <w:next w:val="1"/>
    <w:unhideWhenUsed/>
    <w:qFormat/>
    <w:uiPriority w:val="9"/>
    <w:pPr>
      <w:keepNext/>
      <w:keepLines/>
      <w:spacing w:before="240" w:after="64" w:line="320" w:lineRule="auto"/>
      <w:outlineLvl w:val="6"/>
    </w:pPr>
    <w:rPr>
      <w:b/>
      <w:bCs/>
      <w:sz w:val="24"/>
      <w:szCs w:val="24"/>
    </w:rPr>
  </w:style>
  <w:style w:type="paragraph" w:styleId="7">
    <w:name w:val="heading 8"/>
    <w:basedOn w:val="1"/>
    <w:next w:val="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hAnsi="Arial" w:eastAsia="楷体_GB2312"/>
      <w:sz w:val="28"/>
      <w:szCs w:val="28"/>
    </w:rPr>
  </w:style>
  <w:style w:type="paragraph" w:styleId="8">
    <w:name w:val="Normal Indent"/>
    <w:basedOn w:val="1"/>
    <w:link w:val="48"/>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9">
    <w:name w:val="Document Map"/>
    <w:basedOn w:val="1"/>
    <w:link w:val="51"/>
    <w:autoRedefine/>
    <w:semiHidden/>
    <w:unhideWhenUsed/>
    <w:qFormat/>
    <w:uiPriority w:val="99"/>
    <w:rPr>
      <w:rFonts w:ascii="宋体" w:eastAsia="宋体"/>
      <w:sz w:val="18"/>
      <w:szCs w:val="18"/>
    </w:rPr>
  </w:style>
  <w:style w:type="paragraph" w:styleId="10">
    <w:name w:val="toa heading"/>
    <w:basedOn w:val="1"/>
    <w:next w:val="1"/>
    <w:autoRedefine/>
    <w:qFormat/>
    <w:uiPriority w:val="0"/>
    <w:rPr>
      <w:rFonts w:ascii="Arial" w:hAnsi="Arial" w:eastAsia="宋体" w:cs="Times New Roman"/>
      <w:sz w:val="24"/>
      <w:szCs w:val="21"/>
    </w:rPr>
  </w:style>
  <w:style w:type="paragraph" w:styleId="11">
    <w:name w:val="annotation text"/>
    <w:basedOn w:val="1"/>
    <w:link w:val="54"/>
    <w:autoRedefine/>
    <w:semiHidden/>
    <w:unhideWhenUsed/>
    <w:qFormat/>
    <w:uiPriority w:val="99"/>
    <w:pPr>
      <w:jc w:val="left"/>
    </w:pPr>
  </w:style>
  <w:style w:type="paragraph" w:styleId="12">
    <w:name w:val="Body Text Indent"/>
    <w:basedOn w:val="1"/>
    <w:next w:val="13"/>
    <w:autoRedefine/>
    <w:semiHidden/>
    <w:unhideWhenUsed/>
    <w:qFormat/>
    <w:uiPriority w:val="99"/>
    <w:pPr>
      <w:spacing w:after="120"/>
      <w:ind w:left="420" w:leftChars="200"/>
    </w:pPr>
  </w:style>
  <w:style w:type="paragraph" w:styleId="13">
    <w:name w:val="envelope return"/>
    <w:basedOn w:val="1"/>
    <w:autoRedefine/>
    <w:unhideWhenUsed/>
    <w:qFormat/>
    <w:uiPriority w:val="99"/>
    <w:pPr>
      <w:snapToGrid w:val="0"/>
    </w:pPr>
    <w:rPr>
      <w:rFonts w:ascii="Arial" w:hAnsi="Arial" w:eastAsia="楷体_GB2312" w:cs="Times New Roman"/>
      <w:sz w:val="26"/>
      <w:szCs w:val="20"/>
    </w:rPr>
  </w:style>
  <w:style w:type="paragraph" w:styleId="14">
    <w:name w:val="index 4"/>
    <w:basedOn w:val="1"/>
    <w:next w:val="1"/>
    <w:autoRedefine/>
    <w:qFormat/>
    <w:uiPriority w:val="0"/>
    <w:pPr>
      <w:ind w:left="1260"/>
    </w:pPr>
    <w:rPr>
      <w:rFonts w:ascii="Calibri" w:hAnsi="Calibri" w:eastAsia="宋体" w:cs="Times New Roman"/>
      <w:szCs w:val="20"/>
    </w:rPr>
  </w:style>
  <w:style w:type="paragraph" w:styleId="15">
    <w:name w:val="toc 3"/>
    <w:basedOn w:val="1"/>
    <w:next w:val="1"/>
    <w:autoRedefine/>
    <w:qFormat/>
    <w:uiPriority w:val="0"/>
    <w:pPr>
      <w:ind w:left="840" w:leftChars="400"/>
    </w:pPr>
    <w:rPr>
      <w:rFonts w:ascii="Calibri" w:hAnsi="Calibri" w:eastAsia="宋体" w:cs="Times New Roman"/>
      <w:szCs w:val="20"/>
    </w:rPr>
  </w:style>
  <w:style w:type="paragraph" w:styleId="16">
    <w:name w:val="Plain Text"/>
    <w:basedOn w:val="1"/>
    <w:next w:val="1"/>
    <w:link w:val="60"/>
    <w:autoRedefine/>
    <w:qFormat/>
    <w:uiPriority w:val="99"/>
    <w:rPr>
      <w:rFonts w:ascii="宋体" w:hAnsi="Courier New" w:eastAsia="宋体" w:cs="Times New Roman"/>
      <w:szCs w:val="20"/>
    </w:rPr>
  </w:style>
  <w:style w:type="paragraph" w:styleId="17">
    <w:name w:val="Balloon Text"/>
    <w:basedOn w:val="1"/>
    <w:link w:val="53"/>
    <w:autoRedefine/>
    <w:semiHidden/>
    <w:unhideWhenUsed/>
    <w:qFormat/>
    <w:uiPriority w:val="99"/>
    <w:rPr>
      <w:sz w:val="18"/>
      <w:szCs w:val="18"/>
    </w:rPr>
  </w:style>
  <w:style w:type="paragraph" w:styleId="18">
    <w:name w:val="footer"/>
    <w:basedOn w:val="1"/>
    <w:link w:val="47"/>
    <w:autoRedefine/>
    <w:unhideWhenUsed/>
    <w:qFormat/>
    <w:uiPriority w:val="99"/>
    <w:pPr>
      <w:tabs>
        <w:tab w:val="center" w:pos="4153"/>
        <w:tab w:val="right" w:pos="8306"/>
      </w:tabs>
      <w:snapToGrid w:val="0"/>
      <w:jc w:val="left"/>
    </w:pPr>
    <w:rPr>
      <w:sz w:val="18"/>
      <w:szCs w:val="18"/>
    </w:rPr>
  </w:style>
  <w:style w:type="paragraph" w:styleId="19">
    <w:name w:val="header"/>
    <w:basedOn w:val="1"/>
    <w:link w:val="4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1">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2">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3">
    <w:name w:val="annotation subject"/>
    <w:basedOn w:val="11"/>
    <w:next w:val="11"/>
    <w:link w:val="55"/>
    <w:autoRedefine/>
    <w:semiHidden/>
    <w:unhideWhenUsed/>
    <w:qFormat/>
    <w:uiPriority w:val="99"/>
    <w:rPr>
      <w:b/>
      <w:bCs/>
    </w:rPr>
  </w:style>
  <w:style w:type="paragraph" w:styleId="24">
    <w:name w:val="Body Text First Indent"/>
    <w:basedOn w:val="1"/>
    <w:next w:val="1"/>
    <w:autoRedefine/>
    <w:unhideWhenUsed/>
    <w:qFormat/>
    <w:uiPriority w:val="99"/>
    <w:pPr>
      <w:ind w:firstLine="420" w:firstLineChars="100"/>
    </w:pPr>
  </w:style>
  <w:style w:type="paragraph" w:styleId="25">
    <w:name w:val="Body Text First Indent 2"/>
    <w:basedOn w:val="12"/>
    <w:autoRedefine/>
    <w:unhideWhenUsed/>
    <w:qFormat/>
    <w:uiPriority w:val="99"/>
    <w:pPr>
      <w:ind w:firstLine="420" w:firstLineChars="200"/>
    </w:pPr>
  </w:style>
  <w:style w:type="table" w:styleId="27">
    <w:name w:val="Table Grid"/>
    <w:basedOn w:val="2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FollowedHyperlink"/>
    <w:basedOn w:val="28"/>
    <w:autoRedefine/>
    <w:semiHidden/>
    <w:unhideWhenUsed/>
    <w:qFormat/>
    <w:uiPriority w:val="99"/>
    <w:rPr>
      <w:color w:val="800080"/>
      <w:u w:val="none"/>
    </w:rPr>
  </w:style>
  <w:style w:type="character" w:styleId="30">
    <w:name w:val="HTML Definition"/>
    <w:basedOn w:val="28"/>
    <w:autoRedefine/>
    <w:semiHidden/>
    <w:unhideWhenUsed/>
    <w:qFormat/>
    <w:uiPriority w:val="99"/>
  </w:style>
  <w:style w:type="character" w:styleId="31">
    <w:name w:val="HTML Typewriter"/>
    <w:basedOn w:val="28"/>
    <w:autoRedefine/>
    <w:semiHidden/>
    <w:unhideWhenUsed/>
    <w:qFormat/>
    <w:uiPriority w:val="99"/>
    <w:rPr>
      <w:rFonts w:ascii="monospace" w:hAnsi="monospace" w:eastAsia="monospace" w:cs="monospace"/>
      <w:sz w:val="20"/>
    </w:rPr>
  </w:style>
  <w:style w:type="character" w:styleId="32">
    <w:name w:val="HTML Acronym"/>
    <w:basedOn w:val="28"/>
    <w:autoRedefine/>
    <w:semiHidden/>
    <w:unhideWhenUsed/>
    <w:qFormat/>
    <w:uiPriority w:val="99"/>
  </w:style>
  <w:style w:type="character" w:styleId="33">
    <w:name w:val="HTML Variable"/>
    <w:basedOn w:val="28"/>
    <w:autoRedefine/>
    <w:semiHidden/>
    <w:unhideWhenUsed/>
    <w:qFormat/>
    <w:uiPriority w:val="99"/>
  </w:style>
  <w:style w:type="character" w:styleId="34">
    <w:name w:val="Hyperlink"/>
    <w:basedOn w:val="28"/>
    <w:autoRedefine/>
    <w:unhideWhenUsed/>
    <w:qFormat/>
    <w:uiPriority w:val="99"/>
    <w:rPr>
      <w:color w:val="0000FF" w:themeColor="hyperlink"/>
      <w:u w:val="single"/>
      <w14:textFill>
        <w14:solidFill>
          <w14:schemeClr w14:val="hlink"/>
        </w14:solidFill>
      </w14:textFill>
    </w:rPr>
  </w:style>
  <w:style w:type="character" w:styleId="35">
    <w:name w:val="HTML Code"/>
    <w:basedOn w:val="28"/>
    <w:autoRedefine/>
    <w:semiHidden/>
    <w:unhideWhenUsed/>
    <w:qFormat/>
    <w:uiPriority w:val="99"/>
    <w:rPr>
      <w:rFonts w:hint="default" w:ascii="monospace" w:hAnsi="monospace" w:eastAsia="monospace" w:cs="monospace"/>
      <w:sz w:val="20"/>
    </w:rPr>
  </w:style>
  <w:style w:type="character" w:styleId="36">
    <w:name w:val="annotation reference"/>
    <w:basedOn w:val="28"/>
    <w:autoRedefine/>
    <w:semiHidden/>
    <w:unhideWhenUsed/>
    <w:qFormat/>
    <w:uiPriority w:val="99"/>
    <w:rPr>
      <w:sz w:val="21"/>
      <w:szCs w:val="21"/>
    </w:rPr>
  </w:style>
  <w:style w:type="character" w:styleId="37">
    <w:name w:val="HTML Cite"/>
    <w:basedOn w:val="28"/>
    <w:autoRedefine/>
    <w:semiHidden/>
    <w:unhideWhenUsed/>
    <w:qFormat/>
    <w:uiPriority w:val="99"/>
  </w:style>
  <w:style w:type="character" w:styleId="38">
    <w:name w:val="HTML Keyboard"/>
    <w:basedOn w:val="28"/>
    <w:autoRedefine/>
    <w:semiHidden/>
    <w:unhideWhenUsed/>
    <w:qFormat/>
    <w:uiPriority w:val="99"/>
    <w:rPr>
      <w:rFonts w:hint="default" w:ascii="monospace" w:hAnsi="monospace" w:eastAsia="monospace" w:cs="monospace"/>
      <w:sz w:val="20"/>
    </w:rPr>
  </w:style>
  <w:style w:type="character" w:styleId="39">
    <w:name w:val="HTML Sample"/>
    <w:basedOn w:val="28"/>
    <w:autoRedefine/>
    <w:semiHidden/>
    <w:unhideWhenUsed/>
    <w:qFormat/>
    <w:uiPriority w:val="99"/>
    <w:rPr>
      <w:rFonts w:hint="default" w:ascii="monospace" w:hAnsi="monospace" w:eastAsia="monospace" w:cs="monospace"/>
    </w:rPr>
  </w:style>
  <w:style w:type="paragraph" w:customStyle="1" w:styleId="40">
    <w:name w:val="首行缩进"/>
    <w:basedOn w:val="1"/>
    <w:qFormat/>
    <w:uiPriority w:val="0"/>
    <w:pPr>
      <w:ind w:firstLine="480" w:firstLineChars="200"/>
    </w:pPr>
    <w:rPr>
      <w:lang w:val="zh-CN"/>
    </w:rPr>
  </w:style>
  <w:style w:type="paragraph" w:customStyle="1" w:styleId="41">
    <w:name w:val="无间隔1"/>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2">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3">
    <w:name w:val="正文首行缩进 21"/>
    <w:basedOn w:val="12"/>
    <w:autoRedefine/>
    <w:unhideWhenUsed/>
    <w:qFormat/>
    <w:uiPriority w:val="0"/>
    <w:pPr>
      <w:ind w:firstLine="420"/>
    </w:pPr>
    <w:rPr>
      <w:lang w:val="en-US" w:eastAsia="en-US"/>
    </w:rPr>
  </w:style>
  <w:style w:type="paragraph" w:customStyle="1" w:styleId="44">
    <w:name w:val="正文文本缩进1"/>
    <w:basedOn w:val="1"/>
    <w:next w:val="45"/>
    <w:autoRedefine/>
    <w:unhideWhenUsed/>
    <w:qFormat/>
    <w:uiPriority w:val="0"/>
    <w:pPr>
      <w:spacing w:after="120"/>
      <w:ind w:left="420"/>
    </w:pPr>
    <w:rPr>
      <w:rFonts w:ascii="Times New Roman" w:hAnsi="Times New Roman"/>
      <w:lang w:val="en-US" w:eastAsia="en-US"/>
    </w:rPr>
  </w:style>
  <w:style w:type="paragraph" w:customStyle="1" w:styleId="45">
    <w:name w:val="寄信人地址1"/>
    <w:basedOn w:val="1"/>
    <w:autoRedefine/>
    <w:unhideWhenUsed/>
    <w:qFormat/>
    <w:uiPriority w:val="99"/>
    <w:rPr>
      <w:rFonts w:ascii="Arial" w:hAnsi="Arial" w:eastAsia="楷体_GB2312" w:cs="Times New Roman"/>
      <w:sz w:val="26"/>
      <w:szCs w:val="20"/>
    </w:rPr>
  </w:style>
  <w:style w:type="character" w:customStyle="1" w:styleId="46">
    <w:name w:val="页眉 Char"/>
    <w:basedOn w:val="28"/>
    <w:link w:val="19"/>
    <w:autoRedefine/>
    <w:qFormat/>
    <w:uiPriority w:val="99"/>
    <w:rPr>
      <w:sz w:val="18"/>
      <w:szCs w:val="18"/>
    </w:rPr>
  </w:style>
  <w:style w:type="character" w:customStyle="1" w:styleId="47">
    <w:name w:val="页脚 Char"/>
    <w:basedOn w:val="28"/>
    <w:link w:val="18"/>
    <w:autoRedefine/>
    <w:qFormat/>
    <w:uiPriority w:val="99"/>
    <w:rPr>
      <w:sz w:val="18"/>
      <w:szCs w:val="18"/>
    </w:rPr>
  </w:style>
  <w:style w:type="character" w:customStyle="1" w:styleId="48">
    <w:name w:val="正文缩进 Char"/>
    <w:link w:val="8"/>
    <w:autoRedefine/>
    <w:qFormat/>
    <w:uiPriority w:val="0"/>
    <w:rPr>
      <w:rFonts w:ascii="Calibri" w:hAnsi="Calibri" w:eastAsia="楷体_GB2312" w:cs="Times New Roman"/>
      <w:kern w:val="0"/>
      <w:sz w:val="24"/>
      <w:szCs w:val="20"/>
    </w:rPr>
  </w:style>
  <w:style w:type="character" w:customStyle="1" w:styleId="49">
    <w:name w:val="标题 1 Char"/>
    <w:basedOn w:val="28"/>
    <w:link w:val="3"/>
    <w:autoRedefine/>
    <w:qFormat/>
    <w:uiPriority w:val="0"/>
    <w:rPr>
      <w:rFonts w:ascii="Calibri" w:hAnsi="Calibri" w:eastAsia="楷体_GB2312" w:cs="Times New Roman"/>
      <w:b/>
      <w:kern w:val="44"/>
      <w:sz w:val="44"/>
      <w:szCs w:val="20"/>
    </w:rPr>
  </w:style>
  <w:style w:type="character" w:customStyle="1" w:styleId="50">
    <w:name w:val="标题 2 Char"/>
    <w:basedOn w:val="28"/>
    <w:link w:val="4"/>
    <w:autoRedefine/>
    <w:qFormat/>
    <w:uiPriority w:val="9"/>
    <w:rPr>
      <w:rFonts w:asciiTheme="majorHAnsi" w:hAnsiTheme="majorHAnsi" w:eastAsiaTheme="majorEastAsia" w:cstheme="majorBidi"/>
      <w:b/>
      <w:bCs/>
      <w:sz w:val="32"/>
      <w:szCs w:val="32"/>
    </w:rPr>
  </w:style>
  <w:style w:type="character" w:customStyle="1" w:styleId="51">
    <w:name w:val="文档结构图 Char"/>
    <w:basedOn w:val="28"/>
    <w:link w:val="9"/>
    <w:autoRedefine/>
    <w:semiHidden/>
    <w:qFormat/>
    <w:uiPriority w:val="99"/>
    <w:rPr>
      <w:rFonts w:ascii="宋体" w:eastAsia="宋体"/>
      <w:sz w:val="18"/>
      <w:szCs w:val="18"/>
    </w:rPr>
  </w:style>
  <w:style w:type="character" w:customStyle="1" w:styleId="52">
    <w:name w:val="NormalCharacter"/>
    <w:autoRedefine/>
    <w:qFormat/>
    <w:uiPriority w:val="0"/>
    <w:rPr>
      <w:rFonts w:ascii="Times New Roman" w:hAnsi="Times New Roman" w:eastAsia="宋体" w:cs="Times New Roman"/>
    </w:rPr>
  </w:style>
  <w:style w:type="character" w:customStyle="1" w:styleId="53">
    <w:name w:val="批注框文本 Char"/>
    <w:basedOn w:val="28"/>
    <w:link w:val="17"/>
    <w:autoRedefine/>
    <w:semiHidden/>
    <w:qFormat/>
    <w:uiPriority w:val="99"/>
    <w:rPr>
      <w:kern w:val="2"/>
      <w:sz w:val="18"/>
      <w:szCs w:val="18"/>
    </w:rPr>
  </w:style>
  <w:style w:type="character" w:customStyle="1" w:styleId="54">
    <w:name w:val="批注文字 Char"/>
    <w:basedOn w:val="28"/>
    <w:link w:val="11"/>
    <w:autoRedefine/>
    <w:semiHidden/>
    <w:qFormat/>
    <w:uiPriority w:val="99"/>
    <w:rPr>
      <w:kern w:val="2"/>
      <w:sz w:val="21"/>
      <w:szCs w:val="22"/>
    </w:rPr>
  </w:style>
  <w:style w:type="character" w:customStyle="1" w:styleId="55">
    <w:name w:val="批注主题 Char"/>
    <w:basedOn w:val="54"/>
    <w:link w:val="23"/>
    <w:autoRedefine/>
    <w:semiHidden/>
    <w:qFormat/>
    <w:uiPriority w:val="99"/>
    <w:rPr>
      <w:b/>
      <w:bCs/>
      <w:kern w:val="2"/>
      <w:sz w:val="21"/>
      <w:szCs w:val="22"/>
    </w:rPr>
  </w:style>
  <w:style w:type="character" w:customStyle="1" w:styleId="56">
    <w:name w:val="普通正文 Char"/>
    <w:link w:val="57"/>
    <w:autoRedefine/>
    <w:qFormat/>
    <w:uiPriority w:val="0"/>
    <w:rPr>
      <w:rFonts w:ascii="Arial" w:hAnsi="Arial"/>
      <w:sz w:val="24"/>
      <w:szCs w:val="24"/>
    </w:rPr>
  </w:style>
  <w:style w:type="paragraph" w:customStyle="1" w:styleId="57">
    <w:name w:val="普通正文"/>
    <w:basedOn w:val="1"/>
    <w:link w:val="56"/>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58">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59">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0">
    <w:name w:val="纯文本 Char"/>
    <w:basedOn w:val="28"/>
    <w:link w:val="16"/>
    <w:autoRedefine/>
    <w:qFormat/>
    <w:locked/>
    <w:uiPriority w:val="0"/>
    <w:rPr>
      <w:rFonts w:ascii="宋体" w:hAnsi="Courier New" w:eastAsia="宋体" w:cs="Times New Roman"/>
      <w:kern w:val="2"/>
      <w:sz w:val="21"/>
    </w:rPr>
  </w:style>
  <w:style w:type="paragraph" w:styleId="61">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2">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3">
    <w:name w:val="列出段落2"/>
    <w:basedOn w:val="1"/>
    <w:autoRedefine/>
    <w:qFormat/>
    <w:uiPriority w:val="99"/>
    <w:pPr>
      <w:ind w:firstLine="420" w:firstLineChars="200"/>
    </w:pPr>
    <w:rPr>
      <w:rFonts w:ascii="Times New Roman" w:hAnsi="Times New Roman"/>
      <w:szCs w:val="24"/>
    </w:rPr>
  </w:style>
  <w:style w:type="character" w:customStyle="1" w:styleId="64">
    <w:name w:val="样式 小四 加粗"/>
    <w:basedOn w:val="28"/>
    <w:autoRedefine/>
    <w:qFormat/>
    <w:uiPriority w:val="0"/>
    <w:rPr>
      <w:rFonts w:eastAsia="黑体"/>
      <w:b/>
      <w:bCs/>
      <w:sz w:val="24"/>
    </w:rPr>
  </w:style>
  <w:style w:type="character" w:customStyle="1" w:styleId="65">
    <w:name w:val="first-child"/>
    <w:basedOn w:val="28"/>
    <w:autoRedefine/>
    <w:qFormat/>
    <w:uiPriority w:val="0"/>
  </w:style>
  <w:style w:type="character" w:customStyle="1" w:styleId="66">
    <w:name w:val="hover3"/>
    <w:basedOn w:val="28"/>
    <w:autoRedefine/>
    <w:qFormat/>
    <w:uiPriority w:val="0"/>
    <w:rPr>
      <w:color w:val="5FB878"/>
    </w:rPr>
  </w:style>
  <w:style w:type="character" w:customStyle="1" w:styleId="67">
    <w:name w:val="hover4"/>
    <w:basedOn w:val="28"/>
    <w:autoRedefine/>
    <w:qFormat/>
    <w:uiPriority w:val="0"/>
    <w:rPr>
      <w:color w:val="5FB878"/>
    </w:rPr>
  </w:style>
  <w:style w:type="character" w:customStyle="1" w:styleId="68">
    <w:name w:val="hover5"/>
    <w:basedOn w:val="28"/>
    <w:autoRedefine/>
    <w:qFormat/>
    <w:uiPriority w:val="0"/>
    <w:rPr>
      <w:color w:val="FFFFFF"/>
    </w:rPr>
  </w:style>
  <w:style w:type="character" w:customStyle="1" w:styleId="69">
    <w:name w:val="layui-this"/>
    <w:basedOn w:val="28"/>
    <w:autoRedefine/>
    <w:qFormat/>
    <w:uiPriority w:val="0"/>
    <w:rPr>
      <w:bdr w:val="single" w:color="EEEEEE" w:sz="6" w:space="0"/>
      <w:shd w:val="clear" w:fill="FFFFFF"/>
    </w:rPr>
  </w:style>
  <w:style w:type="paragraph" w:customStyle="1" w:styleId="70">
    <w:name w:val="正文缩进2格"/>
    <w:basedOn w:val="1"/>
    <w:qFormat/>
    <w:uiPriority w:val="0"/>
    <w:pPr>
      <w:spacing w:line="600" w:lineRule="exact"/>
      <w:ind w:firstLine="206"/>
    </w:pPr>
    <w:rPr>
      <w:rFonts w:ascii="仿宋_GB2312" w:hAnsi="宋体" w:eastAsia="仿宋_GB2312"/>
      <w:sz w:val="31"/>
      <w:szCs w:val="31"/>
    </w:rPr>
  </w:style>
  <w:style w:type="paragraph" w:customStyle="1" w:styleId="71">
    <w:name w:val="表头"/>
    <w:basedOn w:val="72"/>
    <w:qFormat/>
    <w:uiPriority w:val="0"/>
    <w:pPr>
      <w:jc w:val="center"/>
    </w:pPr>
    <w:rPr>
      <w:b/>
      <w:bCs/>
    </w:rPr>
  </w:style>
  <w:style w:type="paragraph" w:customStyle="1" w:styleId="72">
    <w:name w:val="表格正文"/>
    <w:basedOn w:val="1"/>
    <w:qFormat/>
    <w:uiPriority w:val="0"/>
    <w:pPr>
      <w:widowControl w:val="0"/>
      <w:spacing w:after="0" w:line="240" w:lineRule="auto"/>
      <w:jc w:val="both"/>
    </w:pPr>
    <w:rPr>
      <w:rFonts w:ascii="Calibri" w:hAnsi="Calibri" w:eastAsia="仿宋" w:cs="宋体"/>
      <w:kern w:val="2"/>
      <w:sz w:val="24"/>
      <w:szCs w:val="20"/>
    </w:rPr>
  </w:style>
  <w:style w:type="paragraph" w:customStyle="1" w:styleId="73">
    <w:name w:val="列出段落1"/>
    <w:basedOn w:val="1"/>
    <w:qFormat/>
    <w:uiPriority w:val="99"/>
    <w:pPr>
      <w:widowControl w:val="0"/>
      <w:spacing w:after="0" w:line="240" w:lineRule="auto"/>
      <w:ind w:firstLine="420" w:firstLineChars="20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33</Pages>
  <Words>8853</Words>
  <Characters>9393</Characters>
  <Lines>120</Lines>
  <Paragraphs>33</Paragraphs>
  <TotalTime>3</TotalTime>
  <ScaleCrop>false</ScaleCrop>
  <LinksUpToDate>false</LinksUpToDate>
  <CharactersWithSpaces>9457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王梅梅</cp:lastModifiedBy>
  <dcterms:modified xsi:type="dcterms:W3CDTF">2025-04-27T01:08:04Z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079A696EDF02486BB848DA2AE0392408_13</vt:lpwstr>
  </property>
  <property fmtid="{D5CDD505-2E9C-101B-9397-08002B2CF9AE}" pid="4" name="KSOTemplateDocerSaveRecord">
    <vt:lpwstr>eyJoZGlkIjoiYzgwZTQyNGY3NWY0ZTVkMDMxMDUwZGIwMTYzYTM2NTkiLCJ1c2VySWQiOiI4MDExMTEyMTMifQ==</vt:lpwstr>
  </property>
</Properties>
</file>