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C94B" w14:textId="580BD8E4" w:rsidR="0069462A" w:rsidRDefault="00113D57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ascii="宋体" w:hAnsi="宋体" w:cstheme="minorBidi" w:hint="eastAsia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ascii="宋体" w:hAnsi="宋体" w:cstheme="minorBidi" w:hint="eastAsia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  <w:r w:rsidR="00B91A9F" w:rsidRPr="00B91A9F">
        <w:rPr>
          <w:rFonts w:ascii="宋体" w:hAnsi="宋体" w:cstheme="minorBidi" w:hint="eastAsia"/>
          <w:b/>
          <w:sz w:val="36"/>
          <w:szCs w:val="36"/>
        </w:rPr>
        <w:t>营养系统</w:t>
      </w:r>
      <w:r>
        <w:rPr>
          <w:rFonts w:ascii="宋体" w:hAnsi="宋体" w:cstheme="minorBidi" w:hint="eastAsia"/>
          <w:b/>
          <w:sz w:val="36"/>
          <w:szCs w:val="36"/>
        </w:rPr>
        <w:t>项目</w:t>
      </w:r>
    </w:p>
    <w:p w14:paraId="0EE58A54" w14:textId="77777777" w:rsidR="0069462A" w:rsidRDefault="00113D57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ascii="宋体" w:hAnsi="宋体" w:cstheme="minorBidi" w:hint="eastAsia"/>
          <w:b/>
          <w:sz w:val="36"/>
          <w:szCs w:val="36"/>
        </w:rPr>
        <w:t>技术了解需求</w:t>
      </w:r>
      <w:bookmarkEnd w:id="0"/>
    </w:p>
    <w:p w14:paraId="36EB0227" w14:textId="77777777" w:rsidR="0069462A" w:rsidRDefault="0069462A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44AFA02" w14:textId="77777777" w:rsidR="0069462A" w:rsidRDefault="00113D57">
      <w:pPr>
        <w:spacing w:line="480" w:lineRule="auto"/>
        <w:jc w:val="left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一</w:t>
      </w:r>
      <w:r>
        <w:rPr>
          <w:rFonts w:ascii="仿宋" w:eastAsia="仿宋" w:hAnsi="仿宋" w:cstheme="majorBidi"/>
          <w:b/>
          <w:bCs/>
          <w:sz w:val="32"/>
          <w:szCs w:val="32"/>
        </w:rPr>
        <w:t>、</w:t>
      </w:r>
      <w:r>
        <w:rPr>
          <w:rFonts w:ascii="仿宋" w:eastAsia="仿宋" w:hAnsi="仿宋" w:cstheme="majorBidi" w:hint="eastAsia"/>
          <w:b/>
          <w:bCs/>
          <w:sz w:val="32"/>
          <w:szCs w:val="32"/>
        </w:rPr>
        <w:t>总体目标</w:t>
      </w:r>
    </w:p>
    <w:p w14:paraId="0BC8A290" w14:textId="419DF770" w:rsidR="0069462A" w:rsidRDefault="00113D57">
      <w:pPr>
        <w:spacing w:beforeLines="10" w:before="31" w:afterLines="10" w:after="31" w:line="48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搭</w:t>
      </w:r>
      <w:r w:rsidR="00040E95" w:rsidRPr="00040E95">
        <w:rPr>
          <w:rFonts w:ascii="仿宋" w:eastAsia="仿宋" w:hAnsi="仿宋" w:cs="仿宋" w:hint="eastAsia"/>
          <w:sz w:val="28"/>
          <w:szCs w:val="36"/>
        </w:rPr>
        <w:t>建一套临床营养管理系统，为医院提供营养诊疗管理服务，以医院营养科标准的临床诊疗流程需求设计，实现患者管理、肠内管理、肠外管理和营养病历等临床营养诊疗全流程管理，简化营养科室人工的执行环节，实现在线数据与信息的共享，与其他科室协同进行营养治疗。</w:t>
      </w:r>
    </w:p>
    <w:p w14:paraId="691170B7" w14:textId="76A80490" w:rsidR="0069462A" w:rsidRPr="00667E66" w:rsidRDefault="00F25EA5">
      <w:pPr>
        <w:autoSpaceDE w:val="0"/>
        <w:autoSpaceDN w:val="0"/>
        <w:spacing w:before="1" w:line="360" w:lineRule="auto"/>
        <w:ind w:right="211"/>
        <w:jc w:val="left"/>
        <w:rPr>
          <w:rFonts w:ascii="仿宋" w:eastAsia="仿宋" w:hAnsi="仿宋" w:cstheme="majorBidi"/>
          <w:b/>
          <w:bCs/>
          <w:sz w:val="32"/>
          <w:szCs w:val="32"/>
        </w:rPr>
      </w:pPr>
      <w:r w:rsidRPr="00667E66">
        <w:rPr>
          <w:rFonts w:ascii="仿宋" w:eastAsia="仿宋" w:hAnsi="仿宋" w:cstheme="majorBidi" w:hint="eastAsia"/>
          <w:b/>
          <w:bCs/>
          <w:sz w:val="32"/>
          <w:szCs w:val="32"/>
        </w:rPr>
        <w:t>二</w:t>
      </w:r>
      <w:r w:rsidRPr="00667E66">
        <w:rPr>
          <w:rFonts w:ascii="仿宋" w:eastAsia="仿宋" w:hAnsi="仿宋" w:cstheme="majorBidi"/>
          <w:b/>
          <w:bCs/>
          <w:sz w:val="32"/>
          <w:szCs w:val="32"/>
        </w:rPr>
        <w:t>、需求清单</w:t>
      </w:r>
    </w:p>
    <w:p w14:paraId="70914F7A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1）住院营养服务</w:t>
      </w:r>
    </w:p>
    <w:tbl>
      <w:tblPr>
        <w:tblW w:w="56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6379"/>
      </w:tblGrid>
      <w:tr w:rsidR="00F25EA5" w:rsidRPr="00F25EA5" w14:paraId="347596FB" w14:textId="77777777" w:rsidTr="00F25EA5">
        <w:trPr>
          <w:trHeight w:val="393"/>
        </w:trPr>
        <w:tc>
          <w:tcPr>
            <w:tcW w:w="5000" w:type="pct"/>
            <w:gridSpan w:val="3"/>
            <w:shd w:val="clear" w:color="auto" w:fill="auto"/>
          </w:tcPr>
          <w:p w14:paraId="11A2FAA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住院管理服务</w:t>
            </w:r>
          </w:p>
        </w:tc>
      </w:tr>
      <w:tr w:rsidR="00F25EA5" w:rsidRPr="00F25EA5" w14:paraId="7EDEEC8C" w14:textId="77777777" w:rsidTr="00F25EA5">
        <w:trPr>
          <w:trHeight w:val="393"/>
        </w:trPr>
        <w:tc>
          <w:tcPr>
            <w:tcW w:w="682" w:type="pct"/>
            <w:shd w:val="clear" w:color="auto" w:fill="auto"/>
          </w:tcPr>
          <w:p w14:paraId="1E2DE045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菜单</w:t>
            </w:r>
          </w:p>
        </w:tc>
        <w:tc>
          <w:tcPr>
            <w:tcW w:w="909" w:type="pct"/>
            <w:shd w:val="clear" w:color="auto" w:fill="auto"/>
          </w:tcPr>
          <w:p w14:paraId="61017CA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功能</w:t>
            </w:r>
          </w:p>
        </w:tc>
        <w:tc>
          <w:tcPr>
            <w:tcW w:w="3409" w:type="pct"/>
            <w:shd w:val="clear" w:color="auto" w:fill="auto"/>
          </w:tcPr>
          <w:p w14:paraId="1118C8E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描述</w:t>
            </w:r>
          </w:p>
        </w:tc>
      </w:tr>
      <w:tr w:rsidR="00F25EA5" w:rsidRPr="00F25EA5" w14:paraId="1FE8D8FB" w14:textId="77777777" w:rsidTr="00F25EA5">
        <w:trPr>
          <w:trHeight w:val="393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4925B962" w14:textId="77777777" w:rsidR="00F25EA5" w:rsidRPr="00F25EA5" w:rsidRDefault="00F25EA5" w:rsidP="00F25EA5">
            <w:pPr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F25EA5">
              <w:rPr>
                <w:rFonts w:ascii="宋体" w:hAnsi="宋体"/>
                <w:b/>
                <w:bCs/>
                <w:szCs w:val="21"/>
              </w:rPr>
              <w:t>.在院列表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745CEA0" w14:textId="0F9D5BE9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.1同步在院患者</w:t>
            </w:r>
          </w:p>
        </w:tc>
        <w:tc>
          <w:tcPr>
            <w:tcW w:w="3409" w:type="pct"/>
            <w:shd w:val="clear" w:color="auto" w:fill="auto"/>
          </w:tcPr>
          <w:p w14:paraId="5C14AAC9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.1.1 从HIS系统中提取在院患者信息，并按病区分类展示。用户可根据职责范围筛选，仅显示负责病区的患者列表。</w:t>
            </w:r>
          </w:p>
        </w:tc>
      </w:tr>
      <w:tr w:rsidR="00F25EA5" w:rsidRPr="00F25EA5" w14:paraId="229592A5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42D8E79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1639F7A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48DEB369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.1.2 若筛查已在HIS系统中完成，系统将支持获取并快速筛选患者筛查结果，便于查看和干预不同风险等级的患者。</w:t>
            </w:r>
          </w:p>
        </w:tc>
      </w:tr>
      <w:tr w:rsidR="00F25EA5" w:rsidRPr="00F25EA5" w14:paraId="396EC38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F27931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0C41C5D3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524EF08A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.1.3 直观展示患者的筛查、干预和监测状态，以便及时了解和跟踪患者情况。</w:t>
            </w:r>
          </w:p>
        </w:tc>
      </w:tr>
      <w:tr w:rsidR="00F25EA5" w:rsidRPr="00F25EA5" w14:paraId="601F3ECF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94F493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21B8878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3F349AB1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.1.4 支持患者信息的列表视图和卡片视图，以满足不同用户的视觉和操作习惯。</w:t>
            </w:r>
          </w:p>
        </w:tc>
      </w:tr>
      <w:tr w:rsidR="00F25EA5" w:rsidRPr="00F25EA5" w14:paraId="3C59CCE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9B9621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7F5E759" w14:textId="22DBBDC2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.2诊疗操作</w:t>
            </w:r>
          </w:p>
        </w:tc>
        <w:tc>
          <w:tcPr>
            <w:tcW w:w="3409" w:type="pct"/>
            <w:shd w:val="clear" w:color="auto" w:fill="auto"/>
          </w:tcPr>
          <w:p w14:paraId="3FB921FD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.2.1 系统提供界面，供查看患者信息、营养治疗、医嘱、食谱及打印病历。</w:t>
            </w:r>
          </w:p>
        </w:tc>
      </w:tr>
      <w:tr w:rsidR="00F25EA5" w:rsidRPr="00F25EA5" w14:paraId="2BF0353A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C16027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5369A5E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170EC03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.2.2 营养档案包括患者的基本信息、历史医嘱、营养记录等，并可接入HIS系统，获取更多数据。同时，可浏览所有营养治疗记录。</w:t>
            </w:r>
          </w:p>
        </w:tc>
      </w:tr>
      <w:tr w:rsidR="00F25EA5" w:rsidRPr="00F25EA5" w14:paraId="4AA8686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3936BD9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414740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1FB3AAB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.2.3 营养治疗操作涵盖筛查、诊断、干预和监测，以实现全面的营养管理。</w:t>
            </w:r>
          </w:p>
        </w:tc>
      </w:tr>
      <w:tr w:rsidR="00F25EA5" w:rsidRPr="00F25EA5" w14:paraId="3929CA35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39BAD77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FE7EC95" w14:textId="630B7339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.3营养筛查</w:t>
            </w:r>
          </w:p>
        </w:tc>
        <w:tc>
          <w:tcPr>
            <w:tcW w:w="3409" w:type="pct"/>
            <w:shd w:val="clear" w:color="auto" w:fill="auto"/>
          </w:tcPr>
          <w:p w14:paraId="0F6BE480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.3.1提供适合成人的NRS2002筛查表和适合儿童的STAMP筛查表。</w:t>
            </w:r>
          </w:p>
        </w:tc>
      </w:tr>
      <w:tr w:rsidR="00F25EA5" w:rsidRPr="00F25EA5" w14:paraId="3D7C9B94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33F269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78B7AEA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39B3B03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.3.2STAMP支持生长评价的自动计算。还可以提供筛查页嵌入服务，将营养筛查嵌入his或护理系统供临床或护士调用。</w:t>
            </w:r>
          </w:p>
        </w:tc>
      </w:tr>
      <w:tr w:rsidR="00F25EA5" w:rsidRPr="00F25EA5" w14:paraId="5BFA12A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06955ED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14126B2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21A542A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.3.3其中疾病严重程度评分项支持对应系统疾病诊断库自动评分。</w:t>
            </w:r>
          </w:p>
        </w:tc>
      </w:tr>
      <w:tr w:rsidR="00F25EA5" w:rsidRPr="00F25EA5" w14:paraId="02138FD4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3AB37D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7A88EC8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1.</w:t>
            </w:r>
            <w:r w:rsidRPr="00F25EA5">
              <w:rPr>
                <w:rFonts w:ascii="宋体" w:hAnsi="宋体"/>
                <w:szCs w:val="21"/>
              </w:rPr>
              <w:t>4评估诊断</w:t>
            </w:r>
          </w:p>
          <w:p w14:paraId="71E7835C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59A74BC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.4.1 提供全面的评估模板，涵盖疾病描述、摄入评估、消化道评估、体格评估、运动评估、生化检查及筛查与评定。</w:t>
            </w:r>
          </w:p>
        </w:tc>
      </w:tr>
      <w:tr w:rsidR="00F25EA5" w:rsidRPr="00F25EA5" w14:paraId="000C90CF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43816CC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5736703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5E7D17F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.4.2 疾病描述模块用于记录患者病情。</w:t>
            </w:r>
          </w:p>
        </w:tc>
      </w:tr>
      <w:tr w:rsidR="00F25EA5" w:rsidRPr="00F25EA5" w14:paraId="117780EB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D1C0C45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380FA05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4A85FE3F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.4.3 摄入评估模块综合评估患者的肠内、肠外和膳食摄入，并与营养素推荐量对比，分析饮食合理性</w:t>
            </w:r>
          </w:p>
        </w:tc>
      </w:tr>
      <w:tr w:rsidR="00F25EA5" w:rsidRPr="00F25EA5" w14:paraId="6BDAC9B0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30997C8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B4B39FD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5FFC447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.4.4 膳食摄入模块提供交换份评估法和食物评估法两种选项。</w:t>
            </w:r>
          </w:p>
        </w:tc>
      </w:tr>
      <w:tr w:rsidR="00F25EA5" w:rsidRPr="00F25EA5" w14:paraId="7CB8BC19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437863F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C9EE9E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777FCBC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.4.5 消化道评估模块记录患者肠胃状况。</w:t>
            </w:r>
          </w:p>
        </w:tc>
      </w:tr>
      <w:tr w:rsidR="00F25EA5" w:rsidRPr="00F25EA5" w14:paraId="28F4EFBA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614F73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D5C63E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5C72535D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.4.6 体格评估模块记录患者体格测量数据。</w:t>
            </w:r>
          </w:p>
        </w:tc>
      </w:tr>
      <w:tr w:rsidR="00F25EA5" w:rsidRPr="00F25EA5" w14:paraId="319308E5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79D7D5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4FDEA3C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2B3F2C4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.4.7 运动评估模块记录患者活动情况并估算能量消耗。</w:t>
            </w:r>
          </w:p>
        </w:tc>
      </w:tr>
      <w:tr w:rsidR="00F25EA5" w:rsidRPr="00F25EA5" w14:paraId="3E65336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0C9164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6D67860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378D2F88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.4.8 生化检验模块支持添加并自动跟踪患者生化报告中的指标，用于监测恢复情况。</w:t>
            </w:r>
          </w:p>
        </w:tc>
      </w:tr>
      <w:tr w:rsidR="00F25EA5" w:rsidRPr="00F25EA5" w14:paraId="5DF75B08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4B7286D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3AC6A7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087DD23E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.4.9 营养筛查与评定模块允许添加NRS2002、STAMP、SGA、PG-SGA、MNA、MNA-SF、MUST、PYMS、GLIM、RS风险评估、NUTRIC等量表。</w:t>
            </w:r>
          </w:p>
        </w:tc>
      </w:tr>
      <w:tr w:rsidR="00F25EA5" w:rsidRPr="00F25EA5" w14:paraId="68C6A64B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56C18D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4F01251A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79F9372D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.4.10 各评估模块可灵活选择，内容自动填充至相应评估部分。</w:t>
            </w:r>
          </w:p>
        </w:tc>
      </w:tr>
      <w:tr w:rsidR="00F25EA5" w:rsidRPr="00F25EA5" w14:paraId="2E79F06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7E6694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4D61C76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3B2C530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.4.11 评估完成后，可填写营养诊断。</w:t>
            </w:r>
          </w:p>
        </w:tc>
      </w:tr>
      <w:tr w:rsidR="00F25EA5" w:rsidRPr="00F25EA5" w14:paraId="357615E8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707CC53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21365522" w14:textId="495030F1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.5营养干预</w:t>
            </w:r>
          </w:p>
        </w:tc>
        <w:tc>
          <w:tcPr>
            <w:tcW w:w="3409" w:type="pct"/>
            <w:shd w:val="clear" w:color="auto" w:fill="auto"/>
          </w:tcPr>
          <w:p w14:paraId="3C6CD00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.5.1 根据诊断结果选择干预方案，包括营养宣教和治疗方案。</w:t>
            </w:r>
          </w:p>
        </w:tc>
      </w:tr>
      <w:tr w:rsidR="00F25EA5" w:rsidRPr="00F25EA5" w14:paraId="54BA7B4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0E332BF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5C297B0A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3E621B34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.5.2 营养宣教模块允许添加疾病相关模板或直接输入自定义内容。</w:t>
            </w:r>
          </w:p>
        </w:tc>
      </w:tr>
      <w:tr w:rsidR="00F25EA5" w:rsidRPr="00F25EA5" w14:paraId="4B71FFA2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118F18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4F740A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</w:tcPr>
          <w:p w14:paraId="1C783ABC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.5.3 营养方案模块提供膳食、肠内、肠外治疗途径选择，并依据系统推荐的能量量进行摄入配比设置。设置后，可比较医嘱与推荐营养素量的差异。</w:t>
            </w:r>
          </w:p>
        </w:tc>
      </w:tr>
      <w:tr w:rsidR="00F25EA5" w:rsidRPr="00F25EA5" w14:paraId="06A2BE5B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F68D2A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2367151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44A19A21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.5.4 制定肠外营养方案时，支持计算热氮比、阳离子浓度、渗透压等关键指标。</w:t>
            </w:r>
          </w:p>
        </w:tc>
      </w:tr>
      <w:tr w:rsidR="00F25EA5" w:rsidRPr="00F25EA5" w14:paraId="3877786F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C6D5EC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ADA018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187AC22A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.5.5 肠内肠外方案支持添加医嘱组套，肠内方案允许自定义制剂组成。可选将肠内方案直接转换为医嘱。</w:t>
            </w:r>
          </w:p>
        </w:tc>
      </w:tr>
      <w:tr w:rsidR="00F25EA5" w:rsidRPr="00F25EA5" w14:paraId="466E26B5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A54167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66EF7CE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0C98367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.5.6 医嘱制定完成后，将以文本形式记录在干预记录中。</w:t>
            </w:r>
          </w:p>
        </w:tc>
      </w:tr>
      <w:tr w:rsidR="00F25EA5" w:rsidRPr="00F25EA5" w14:paraId="1AF4BB78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0ACFBF6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5EEF91F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27C06523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.5.7 制定干预目标，选择关键生化指标并设定目标值，以便在后续监测中跟踪目标达成情况。</w:t>
            </w:r>
          </w:p>
        </w:tc>
      </w:tr>
      <w:tr w:rsidR="00F25EA5" w:rsidRPr="00F25EA5" w14:paraId="09E6D44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39C8B69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6410DFE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766B3540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.5.8 干预完成后，可制定监测计划进行患者随访。</w:t>
            </w:r>
          </w:p>
        </w:tc>
      </w:tr>
      <w:tr w:rsidR="00F25EA5" w:rsidRPr="00F25EA5" w14:paraId="4F84A4AE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769B32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2D09D9F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.6营养监测</w:t>
            </w:r>
          </w:p>
        </w:tc>
        <w:tc>
          <w:tcPr>
            <w:tcW w:w="3409" w:type="pct"/>
            <w:shd w:val="clear" w:color="auto" w:fill="auto"/>
          </w:tcPr>
          <w:p w14:paraId="6DFAF48D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.6.1 监测计划一旦制定，系统将自动同步患者前一天的医嘱方案供监测使用，并允许手动调整。</w:t>
            </w:r>
          </w:p>
        </w:tc>
      </w:tr>
      <w:tr w:rsidR="00F25EA5" w:rsidRPr="00F25EA5" w14:paraId="495153EA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EAE90F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9FB05F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2E2129E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.6.2 支持查看患者关注的生化指标最新值及其变化趋势图，同时更新并追踪体格指标的变化。</w:t>
            </w:r>
          </w:p>
        </w:tc>
      </w:tr>
      <w:tr w:rsidR="00F25EA5" w:rsidRPr="00F25EA5" w14:paraId="532FD18A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00D1F6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227ACC1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5BF4A376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.6.3 记录患者实际摄入量和肠胃状况，据此评估是否需要维持或调整营养治疗方案。如需调整，可重新制定医嘱。</w:t>
            </w:r>
          </w:p>
        </w:tc>
      </w:tr>
      <w:tr w:rsidR="00F25EA5" w:rsidRPr="00F25EA5" w14:paraId="331CBE3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C8675A5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D5C24F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</w:tcPr>
          <w:p w14:paraId="5302F278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.6.4 监测完成后，根据患者状况决定是否继续监测。</w:t>
            </w:r>
          </w:p>
        </w:tc>
      </w:tr>
      <w:tr w:rsidR="00F25EA5" w:rsidRPr="00F25EA5" w14:paraId="0F27AB4A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0BAD91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B262FC6" w14:textId="24726239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.7营养素推荐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1303AD9A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.7.1交互式工具集成：在各个相关环节，如摄入评估、治疗计划制定、医嘱开立和食谱设计中，嵌入交互式营养素推荐工具。</w:t>
            </w:r>
          </w:p>
        </w:tc>
      </w:tr>
      <w:tr w:rsidR="00F25EA5" w:rsidRPr="00F25EA5" w14:paraId="15D9771E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FE2EE2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3FD737D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3E852B43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.7.2个性化营养推荐：系统根据患者具体情况，自动提供个性化的营养素摄入推荐。</w:t>
            </w:r>
          </w:p>
        </w:tc>
      </w:tr>
      <w:tr w:rsidR="00F25EA5" w:rsidRPr="00F25EA5" w14:paraId="1C4876E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2BB823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E7EE99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65D44ADA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.7.3综合疾病和人群需求：适用于多种疾病和不同人群的营养需求，提供定制化的营养建议。</w:t>
            </w:r>
          </w:p>
        </w:tc>
      </w:tr>
      <w:tr w:rsidR="00F25EA5" w:rsidRPr="00F25EA5" w14:paraId="13B76647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306FA8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5DC5C8C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07B3B1C4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.7.4全面营养素涵盖：推荐包括宏量营养素、微量营养素以及产能营养素的比例。</w:t>
            </w:r>
          </w:p>
        </w:tc>
      </w:tr>
      <w:tr w:rsidR="00F25EA5" w:rsidRPr="00F25EA5" w14:paraId="64955618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7DDB5C8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637888D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22279BEB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.7.5灵活调整选项：营养师可以根据系统推荐值进行必要的调整，</w:t>
            </w:r>
            <w:r w:rsidRPr="00F25EA5">
              <w:rPr>
                <w:rFonts w:ascii="宋体" w:hAnsi="宋体"/>
                <w:szCs w:val="21"/>
                <w:lang w:bidi="zh-TW"/>
              </w:rPr>
              <w:lastRenderedPageBreak/>
              <w:t>以更好地适应患者的营养需求。</w:t>
            </w:r>
          </w:p>
        </w:tc>
      </w:tr>
      <w:tr w:rsidR="00F25EA5" w:rsidRPr="00F25EA5" w14:paraId="0AEC01F9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5014BAB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64D1E0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.8营养医嘱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17860149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bookmarkStart w:id="1" w:name="u7853119b"/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.8.1可进行肠内医嘱开立；可开立长期或临时医嘱，可以开立成组医嘱；开立时支持制剂的添加和组成内容的自定义修改；支持添加医嘱组套。</w:t>
            </w:r>
            <w:bookmarkEnd w:id="1"/>
          </w:p>
        </w:tc>
      </w:tr>
      <w:tr w:rsidR="00F25EA5" w:rsidRPr="00F25EA5" w14:paraId="5CF2A7C0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B1466A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78B1F8AA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5E9D8B3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.8.2展示开立的医嘱和营养干预时制定的肠内、肠外和膳食方案，并可将其中的肠内方案直接生成为医嘱；可以对在本系统内开立的医嘱进行提交、停止或作废操作。</w:t>
            </w:r>
          </w:p>
        </w:tc>
      </w:tr>
      <w:tr w:rsidR="00F25EA5" w:rsidRPr="00F25EA5" w14:paraId="6A4E0F89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41A6AB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647D7D0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 w:hint="eastAsia"/>
                <w:szCs w:val="21"/>
              </w:rPr>
              <w:t>1.</w:t>
            </w:r>
            <w:r w:rsidRPr="00F25EA5">
              <w:rPr>
                <w:rFonts w:ascii="宋体" w:hAnsi="宋体"/>
                <w:szCs w:val="21"/>
              </w:rPr>
              <w:t>9食谱定制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3D330B8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.9.1定制营养食谱：系统能为患者配置若干时间的营养食谱，基于最新中国食物成分表。</w:t>
            </w:r>
          </w:p>
        </w:tc>
      </w:tr>
      <w:tr w:rsidR="00F25EA5" w:rsidRPr="00F25EA5" w14:paraId="70E1ACCD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4FB6DE4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357A05A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25380341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.9.2经典食谱库：提供不同饮食医嘱或人群的经典食谱，每种医嘱或人群提供若干种不同能量级别的7日食谱。</w:t>
            </w:r>
          </w:p>
        </w:tc>
      </w:tr>
      <w:tr w:rsidR="00F25EA5" w:rsidRPr="00F25EA5" w14:paraId="6C71E548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CAF2CA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751105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4BED5F68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.9.3营养分析：自动生成食谱的营养素分析报告，展示包括宏量与微量元素在内的营养成分。</w:t>
            </w:r>
          </w:p>
        </w:tc>
      </w:tr>
      <w:tr w:rsidR="00F25EA5" w:rsidRPr="00F25EA5" w14:paraId="71839BD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875E67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E16CE2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1BF06C9E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1.</w:t>
            </w:r>
            <w:r w:rsidRPr="00F25EA5">
              <w:rPr>
                <w:rFonts w:ascii="宋体" w:hAnsi="宋体"/>
                <w:szCs w:val="21"/>
                <w:lang w:bidi="zh-TW"/>
              </w:rPr>
              <w:t>9.4食谱清单生成：创建标准化的食谱清单，可打印供患者使用，内容包括：每日餐食安排、营养素摄入量、供能比分析、蛋白质来源比例、脂肪酸来源比例、膳食结构分析</w:t>
            </w:r>
          </w:p>
        </w:tc>
      </w:tr>
      <w:tr w:rsidR="00F25EA5" w:rsidRPr="00F25EA5" w14:paraId="7019BA67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0FDD0D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4424E4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病历打印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7EC1E922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.1可选择已完成筛查、评估诊断、干预记录形成营养病历并打印</w:t>
            </w:r>
          </w:p>
        </w:tc>
      </w:tr>
      <w:tr w:rsidR="00F25EA5" w:rsidRPr="00F25EA5" w14:paraId="248B963A" w14:textId="77777777" w:rsidTr="00F25EA5">
        <w:trPr>
          <w:trHeight w:val="393"/>
        </w:trPr>
        <w:tc>
          <w:tcPr>
            <w:tcW w:w="682" w:type="pct"/>
            <w:shd w:val="clear" w:color="auto" w:fill="auto"/>
            <w:vAlign w:val="center"/>
          </w:tcPr>
          <w:p w14:paraId="261107C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F25EA5">
              <w:rPr>
                <w:rFonts w:ascii="宋体" w:hAnsi="宋体"/>
                <w:b/>
                <w:bCs/>
                <w:szCs w:val="21"/>
              </w:rPr>
              <w:t>.出院列表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663B7E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.1同步出院患者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6A93009E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.1.1查看已出院患者的基本信息和营养治疗记录。</w:t>
            </w:r>
          </w:p>
        </w:tc>
      </w:tr>
      <w:tr w:rsidR="00F25EA5" w:rsidRPr="00F25EA5" w14:paraId="056F844D" w14:textId="77777777" w:rsidTr="00F25EA5">
        <w:trPr>
          <w:trHeight w:val="393"/>
        </w:trPr>
        <w:tc>
          <w:tcPr>
            <w:tcW w:w="682" w:type="pct"/>
            <w:shd w:val="clear" w:color="auto" w:fill="auto"/>
            <w:vAlign w:val="center"/>
          </w:tcPr>
          <w:p w14:paraId="1A0EE6F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8BF7EE7" w14:textId="77777777" w:rsidR="00F25EA5" w:rsidRPr="00F25EA5" w:rsidRDefault="00F25EA5" w:rsidP="00F25EA5">
            <w:pPr>
              <w:spacing w:beforeLines="100" w:before="312" w:after="50"/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cs="宋体" w:hint="eastAsia"/>
                <w:color w:val="000000"/>
                <w:szCs w:val="21"/>
                <w14:ligatures w14:val="standardContextual"/>
              </w:rPr>
              <w:t>2.2</w:t>
            </w:r>
            <w:r w:rsidRPr="00F25EA5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出院回访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75743058" w14:textId="77777777" w:rsidR="00F25EA5" w:rsidRPr="00F25EA5" w:rsidRDefault="00F25EA5" w:rsidP="00F25EA5">
            <w:pPr>
              <w:spacing w:beforeLines="100" w:before="312" w:after="50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可对患者进行院外营养随访，可以进行回访操作，</w:t>
            </w:r>
            <w:r w:rsidRPr="00F25EA5">
              <w:rPr>
                <w:rFonts w:ascii="宋体" w:hAnsi="宋体" w:cs="宋体" w:hint="eastAsia"/>
                <w:color w:val="000000"/>
                <w:szCs w:val="21"/>
                <w14:ligatures w14:val="standardContextual"/>
              </w:rPr>
              <w:t>涉及</w:t>
            </w:r>
            <w:r w:rsidRPr="00F25EA5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疾病宣教、产品宣教等</w:t>
            </w:r>
          </w:p>
        </w:tc>
      </w:tr>
      <w:tr w:rsidR="00F25EA5" w:rsidRPr="00F25EA5" w14:paraId="16FB218F" w14:textId="77777777" w:rsidTr="00F25EA5">
        <w:trPr>
          <w:trHeight w:val="393"/>
        </w:trPr>
        <w:tc>
          <w:tcPr>
            <w:tcW w:w="682" w:type="pct"/>
            <w:shd w:val="clear" w:color="auto" w:fill="auto"/>
            <w:vAlign w:val="center"/>
          </w:tcPr>
          <w:p w14:paraId="223339D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23ECBF8" w14:textId="77777777" w:rsidR="00F25EA5" w:rsidRPr="0039700D" w:rsidRDefault="00F25EA5" w:rsidP="00F25EA5">
            <w:pPr>
              <w:widowControl/>
              <w:spacing w:beforeLines="30" w:before="93"/>
              <w:jc w:val="center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2.3随诊建议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5E239AEB" w14:textId="77777777" w:rsidR="00F25EA5" w:rsidRPr="0039700D" w:rsidRDefault="00F25EA5" w:rsidP="00F25EA5">
            <w:pPr>
              <w:widowControl/>
              <w:spacing w:beforeLines="30" w:before="93"/>
              <w:jc w:val="left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设置复诊提醒，发送随诊建议</w:t>
            </w:r>
          </w:p>
        </w:tc>
      </w:tr>
      <w:tr w:rsidR="00F25EA5" w:rsidRPr="00F25EA5" w14:paraId="6FC16039" w14:textId="77777777" w:rsidTr="00F25EA5">
        <w:trPr>
          <w:trHeight w:val="393"/>
        </w:trPr>
        <w:tc>
          <w:tcPr>
            <w:tcW w:w="682" w:type="pct"/>
            <w:shd w:val="clear" w:color="auto" w:fill="auto"/>
            <w:vAlign w:val="center"/>
          </w:tcPr>
          <w:p w14:paraId="3B432BE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AF875FE" w14:textId="77777777" w:rsidR="00F25EA5" w:rsidRPr="0039700D" w:rsidRDefault="00F25EA5" w:rsidP="00F25EA5">
            <w:pPr>
              <w:widowControl/>
              <w:spacing w:beforeLines="30" w:before="93"/>
              <w:jc w:val="center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2.4患教记录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48D35DC6" w14:textId="77777777" w:rsidR="00F25EA5" w:rsidRPr="0039700D" w:rsidRDefault="00F25EA5" w:rsidP="00F25EA5">
            <w:pPr>
              <w:widowControl/>
              <w:spacing w:beforeLines="30" w:before="93"/>
              <w:jc w:val="left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查看历次患教记录</w:t>
            </w:r>
          </w:p>
        </w:tc>
      </w:tr>
      <w:tr w:rsidR="00F25EA5" w:rsidRPr="00F25EA5" w14:paraId="4DA14F65" w14:textId="77777777" w:rsidTr="00F25EA5">
        <w:trPr>
          <w:trHeight w:val="393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68956F1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F25EA5">
              <w:rPr>
                <w:rFonts w:ascii="宋体" w:hAnsi="宋体"/>
                <w:b/>
                <w:bCs/>
                <w:szCs w:val="21"/>
              </w:rPr>
              <w:t>.会诊列表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7D43726" w14:textId="77777777" w:rsidR="00F25EA5" w:rsidRPr="0039700D" w:rsidRDefault="00F25EA5" w:rsidP="00F25EA5">
            <w:pPr>
              <w:jc w:val="center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3</w:t>
            </w:r>
            <w:r w:rsidRPr="0039700D"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  <w:t>.1同步会诊患者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33548C90" w14:textId="77777777" w:rsidR="00F25EA5" w:rsidRPr="0039700D" w:rsidRDefault="00F25EA5" w:rsidP="00F25EA5">
            <w:pPr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3</w:t>
            </w:r>
            <w:r w:rsidRPr="0039700D"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  <w:t>.1.1与his的会诊进行对接，对临床科室请营养科的会诊申请进行及时抓取，并在会诊列表中显示。</w:t>
            </w:r>
          </w:p>
        </w:tc>
      </w:tr>
      <w:tr w:rsidR="00F25EA5" w:rsidRPr="00F25EA5" w14:paraId="36326D5E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406FC2C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1A9084D8" w14:textId="532EE1EC" w:rsidR="00F25EA5" w:rsidRPr="0039700D" w:rsidRDefault="00F25EA5" w:rsidP="00F25EA5">
            <w:pPr>
              <w:jc w:val="center"/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3</w:t>
            </w:r>
            <w:r w:rsidRPr="0039700D"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  <w:t>.2营养会诊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3545148E" w14:textId="77777777" w:rsidR="00F25EA5" w:rsidRPr="0039700D" w:rsidRDefault="00F25EA5" w:rsidP="00F25EA5">
            <w:pPr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</w:pPr>
            <w:r w:rsidRPr="0039700D">
              <w:rPr>
                <w:rFonts w:ascii="宋体" w:hAnsi="宋体" w:cs="宋体" w:hint="eastAsia"/>
                <w:color w:val="000000"/>
                <w:szCs w:val="21"/>
                <w:lang w:eastAsia="zh-Hans"/>
                <w14:ligatures w14:val="standardContextual"/>
              </w:rPr>
              <w:t>3</w:t>
            </w:r>
            <w:r w:rsidRPr="0039700D">
              <w:rPr>
                <w:rFonts w:ascii="宋体" w:hAnsi="宋体" w:cs="宋体"/>
                <w:color w:val="000000"/>
                <w:szCs w:val="21"/>
                <w:lang w:eastAsia="zh-Hans"/>
                <w14:ligatures w14:val="standardContextual"/>
              </w:rPr>
              <w:t>.2.1 提供专业会诊模板，涵盖评估诊断、营养干预和会诊建议。营养评估部分包括疾病描述、摄入评估、消化道评估、体格评估、运动评估、生化检验和筛查与评定，医生可依据患者状况灵活选择和组合。</w:t>
            </w:r>
          </w:p>
        </w:tc>
      </w:tr>
      <w:tr w:rsidR="00F25EA5" w:rsidRPr="00F25EA5" w14:paraId="010124CE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479A8A9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0EC280D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56D69439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3</w:t>
            </w:r>
            <w:r w:rsidRPr="00F25EA5">
              <w:rPr>
                <w:rFonts w:ascii="宋体" w:hAnsi="宋体"/>
                <w:szCs w:val="21"/>
                <w:lang w:bidi="zh-TW"/>
              </w:rPr>
              <w:t>.2.2 评估完成后，营养医生可依据结果从诊断库中选择营养诊断，并制定相应干预方案</w:t>
            </w:r>
            <w:r w:rsidRPr="00F25EA5">
              <w:rPr>
                <w:rFonts w:ascii="宋体" w:hAnsi="宋体"/>
                <w:szCs w:val="21"/>
              </w:rPr>
              <w:t>，提供一定数量的诊断库可供参考</w:t>
            </w:r>
            <w:r w:rsidRPr="00F25EA5">
              <w:rPr>
                <w:rFonts w:ascii="宋体" w:hAnsi="宋体"/>
                <w:szCs w:val="21"/>
                <w:lang w:bidi="zh-TW"/>
              </w:rPr>
              <w:t>。</w:t>
            </w:r>
          </w:p>
        </w:tc>
      </w:tr>
      <w:tr w:rsidR="00F25EA5" w:rsidRPr="00F25EA5" w14:paraId="1765E8B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23ED9B0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6D601043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195CC7B3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3</w:t>
            </w:r>
            <w:r w:rsidRPr="00F25EA5">
              <w:rPr>
                <w:rFonts w:ascii="宋体" w:hAnsi="宋体"/>
                <w:szCs w:val="21"/>
                <w:lang w:bidi="zh-TW"/>
              </w:rPr>
              <w:t>.2.3 干预阶段，医生可根据患者营养状况选择营养宣教或制定营养治疗方案。</w:t>
            </w:r>
          </w:p>
        </w:tc>
      </w:tr>
      <w:tr w:rsidR="00F25EA5" w:rsidRPr="00F25EA5" w14:paraId="41240C67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3B9E2B72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3DF5824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0E9339F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3</w:t>
            </w:r>
            <w:r w:rsidRPr="00F25EA5">
              <w:rPr>
                <w:rFonts w:ascii="宋体" w:hAnsi="宋体"/>
                <w:szCs w:val="21"/>
                <w:lang w:bidi="zh-TW"/>
              </w:rPr>
              <w:t>.2.4 干预方案确定后，可设定生化指标的干预目标值，并在后续监测中跟踪目标达成情况</w:t>
            </w:r>
          </w:p>
        </w:tc>
      </w:tr>
      <w:tr w:rsidR="00F25EA5" w:rsidRPr="00F25EA5" w14:paraId="032FA3E2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1EFCAA6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5E22FDB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7F6C9225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3</w:t>
            </w:r>
            <w:r w:rsidRPr="00F25EA5">
              <w:rPr>
                <w:rFonts w:ascii="宋体" w:hAnsi="宋体"/>
                <w:szCs w:val="21"/>
                <w:lang w:bidi="zh-TW"/>
              </w:rPr>
              <w:t>.2.5 干预结束后，如有必要，可制定监测计划进行患者随访。</w:t>
            </w:r>
          </w:p>
        </w:tc>
      </w:tr>
      <w:tr w:rsidR="00F25EA5" w:rsidRPr="00F25EA5" w14:paraId="50A17E03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55AED41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2F0C538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06ED173F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  <w:lang w:bidi="zh-TW"/>
              </w:rPr>
              <w:t>3</w:t>
            </w:r>
            <w:r w:rsidRPr="00F25EA5">
              <w:rPr>
                <w:rFonts w:ascii="宋体" w:hAnsi="宋体"/>
                <w:szCs w:val="21"/>
                <w:lang w:bidi="zh-TW"/>
              </w:rPr>
              <w:t>.2.6 会诊流程结束后，系统自动生成会诊意见，并支持意见的提交及一键复制功能。</w:t>
            </w:r>
          </w:p>
        </w:tc>
      </w:tr>
      <w:tr w:rsidR="00F25EA5" w:rsidRPr="00F25EA5" w14:paraId="493C9022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  <w:vAlign w:val="center"/>
          </w:tcPr>
          <w:p w14:paraId="5E6C26C9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618C3D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.3会诊结果回传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2F1EBCC5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.3.1可将营养医生提交的会诊结果回传给his会诊系统</w:t>
            </w:r>
          </w:p>
        </w:tc>
      </w:tr>
      <w:tr w:rsidR="00F25EA5" w:rsidRPr="00F25EA5" w14:paraId="4820DC4A" w14:textId="77777777" w:rsidTr="00F25EA5">
        <w:trPr>
          <w:trHeight w:val="393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33723587" w14:textId="489E03EF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F25EA5">
              <w:rPr>
                <w:rFonts w:ascii="宋体" w:hAnsi="宋体"/>
                <w:b/>
                <w:bCs/>
                <w:szCs w:val="21"/>
              </w:rPr>
              <w:t>.营养监测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F7C595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.1汇总监测患</w:t>
            </w:r>
            <w:r w:rsidRPr="00F25EA5">
              <w:rPr>
                <w:rFonts w:ascii="宋体" w:hAnsi="宋体"/>
                <w:szCs w:val="21"/>
              </w:rPr>
              <w:lastRenderedPageBreak/>
              <w:t>者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207BCAD4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lastRenderedPageBreak/>
              <w:t>4</w:t>
            </w:r>
            <w:r w:rsidRPr="00F25EA5">
              <w:rPr>
                <w:rFonts w:ascii="宋体" w:hAnsi="宋体"/>
                <w:szCs w:val="21"/>
              </w:rPr>
              <w:t>.1.1设置监测计划的患者会统一显示在监测列表中，可根据监测状</w:t>
            </w:r>
            <w:r w:rsidRPr="00F25EA5">
              <w:rPr>
                <w:rFonts w:ascii="宋体" w:hAnsi="宋体"/>
                <w:szCs w:val="21"/>
              </w:rPr>
              <w:lastRenderedPageBreak/>
              <w:t>态了解哪些患者需要按计划进行监测，同时监测列表中也会展示关注指标最新值，便于医生快速判断哪些患者需要立即监测。</w:t>
            </w:r>
          </w:p>
        </w:tc>
      </w:tr>
      <w:tr w:rsidR="00F25EA5" w:rsidRPr="00F25EA5" w14:paraId="38E3926C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2FAFE25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98B0D2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.2营养监测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368574EE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.2.1对需要监测的患者进行营养监测操作，对患者当前情况进行估计和记录，并决定是否需要继续干预并制定下一步方案。</w:t>
            </w:r>
          </w:p>
        </w:tc>
      </w:tr>
      <w:tr w:rsidR="00F25EA5" w:rsidRPr="00F25EA5" w14:paraId="039208D2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0D750969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DF6C24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.3监测记录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5E8731E5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.3.1汇总每次营养监测操作的记录，可在记录中继续编辑保存的查房记录和查看已提交的记录。</w:t>
            </w:r>
          </w:p>
        </w:tc>
      </w:tr>
      <w:tr w:rsidR="00F25EA5" w:rsidRPr="00F25EA5" w14:paraId="570777E2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1468FF9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B22DAA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.4历史监测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232B812E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.4.1汇总所有已结束监测的患者，并可以对比查看同一患者本次监测周期的过程的指标变化。</w:t>
            </w:r>
          </w:p>
        </w:tc>
      </w:tr>
      <w:tr w:rsidR="00F25EA5" w:rsidRPr="00F25EA5" w14:paraId="5A2F942B" w14:textId="77777777" w:rsidTr="00F25EA5">
        <w:trPr>
          <w:trHeight w:val="393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548EFF74" w14:textId="7109C28F" w:rsidR="00F25EA5" w:rsidRPr="00F25EA5" w:rsidRDefault="00F25EA5" w:rsidP="00F25EA5">
            <w:pPr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F25EA5">
              <w:rPr>
                <w:rFonts w:ascii="宋体" w:hAnsi="宋体"/>
                <w:b/>
                <w:bCs/>
                <w:szCs w:val="21"/>
              </w:rPr>
              <w:t>.住院查房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CEAE3A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.1查房患者展示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2A2B4CD7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.1.1选择需要查房的病区，并按床号顺序展示病区患者信息。</w:t>
            </w:r>
          </w:p>
        </w:tc>
      </w:tr>
      <w:tr w:rsidR="00F25EA5" w:rsidRPr="00F25EA5" w14:paraId="6F5F2834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6E541B1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B9F7F7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.2查房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20EAEBA7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.2.1记录查房时收集的患者营养问题和查房记录，若发现风险患者可以直接进行进一步的评估诊断。</w:t>
            </w:r>
          </w:p>
        </w:tc>
      </w:tr>
      <w:tr w:rsidR="00F25EA5" w:rsidRPr="00F25EA5" w14:paraId="21C53BF7" w14:textId="77777777" w:rsidTr="00F25EA5">
        <w:trPr>
          <w:trHeight w:val="393"/>
        </w:trPr>
        <w:tc>
          <w:tcPr>
            <w:tcW w:w="682" w:type="pct"/>
            <w:vMerge/>
            <w:shd w:val="clear" w:color="auto" w:fill="auto"/>
          </w:tcPr>
          <w:p w14:paraId="3096381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DF3C00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.3查房记录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5B1A79F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.3.1显示每次查房的记录，可在记录中继续编辑保存的查房记录和查看已提交的记录。</w:t>
            </w:r>
          </w:p>
        </w:tc>
      </w:tr>
    </w:tbl>
    <w:p w14:paraId="269A40A8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</w:p>
    <w:p w14:paraId="06AF4347" w14:textId="77777777" w:rsidR="00F25EA5" w:rsidRPr="00F25EA5" w:rsidRDefault="00F25EA5" w:rsidP="00F25EA5">
      <w:pPr>
        <w:spacing w:after="120"/>
        <w:rPr>
          <w:rFonts w:ascii="宋体" w:hAnsi="宋体" w:cs="宋体"/>
          <w:sz w:val="24"/>
          <w14:ligatures w14:val="standardContextual"/>
        </w:rPr>
      </w:pPr>
    </w:p>
    <w:p w14:paraId="0CB4B0E5" w14:textId="77777777" w:rsidR="00F25EA5" w:rsidRPr="00F25EA5" w:rsidRDefault="00F25EA5" w:rsidP="00F25EA5">
      <w:pPr>
        <w:widowControl/>
        <w:tabs>
          <w:tab w:val="left" w:pos="425"/>
        </w:tabs>
        <w:rPr>
          <w:rFonts w:ascii="宋体" w:hAnsi="宋体" w:cs="宋体"/>
          <w:sz w:val="24"/>
          <w14:ligatures w14:val="standardContextual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2）医嘱管理服务</w:t>
      </w:r>
    </w:p>
    <w:tbl>
      <w:tblPr>
        <w:tblpPr w:leftFromText="180" w:rightFromText="180" w:vertAnchor="text" w:horzAnchor="page" w:tblpX="1075" w:tblpY="309"/>
        <w:tblOverlap w:val="never"/>
        <w:tblW w:w="5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272"/>
        <w:gridCol w:w="6665"/>
      </w:tblGrid>
      <w:tr w:rsidR="00F25EA5" w:rsidRPr="00F25EA5" w14:paraId="2675CC3A" w14:textId="77777777" w:rsidTr="00F25EA5">
        <w:trPr>
          <w:trHeight w:val="393"/>
        </w:trPr>
        <w:tc>
          <w:tcPr>
            <w:tcW w:w="5000" w:type="pct"/>
            <w:gridSpan w:val="3"/>
            <w:shd w:val="clear" w:color="auto" w:fill="auto"/>
          </w:tcPr>
          <w:p w14:paraId="0AF2FA3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医嘱管理服务</w:t>
            </w:r>
          </w:p>
        </w:tc>
      </w:tr>
      <w:tr w:rsidR="00F25EA5" w:rsidRPr="00F25EA5" w14:paraId="10BF6278" w14:textId="77777777" w:rsidTr="00513F36">
        <w:trPr>
          <w:trHeight w:val="393"/>
        </w:trPr>
        <w:tc>
          <w:tcPr>
            <w:tcW w:w="756" w:type="pct"/>
            <w:shd w:val="clear" w:color="auto" w:fill="auto"/>
          </w:tcPr>
          <w:p w14:paraId="1028820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菜单</w:t>
            </w:r>
          </w:p>
        </w:tc>
        <w:tc>
          <w:tcPr>
            <w:tcW w:w="680" w:type="pct"/>
            <w:shd w:val="clear" w:color="auto" w:fill="auto"/>
          </w:tcPr>
          <w:p w14:paraId="7D11C9F1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功能</w:t>
            </w:r>
          </w:p>
        </w:tc>
        <w:tc>
          <w:tcPr>
            <w:tcW w:w="3565" w:type="pct"/>
            <w:shd w:val="clear" w:color="auto" w:fill="auto"/>
          </w:tcPr>
          <w:p w14:paraId="2E7D1C9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描述</w:t>
            </w:r>
          </w:p>
        </w:tc>
      </w:tr>
      <w:tr w:rsidR="00F25EA5" w:rsidRPr="00F25EA5" w14:paraId="017CF2B4" w14:textId="77777777" w:rsidTr="00513F36">
        <w:trPr>
          <w:trHeight w:val="393"/>
        </w:trPr>
        <w:tc>
          <w:tcPr>
            <w:tcW w:w="756" w:type="pct"/>
            <w:vMerge w:val="restart"/>
            <w:shd w:val="clear" w:color="auto" w:fill="auto"/>
            <w:vAlign w:val="center"/>
          </w:tcPr>
          <w:p w14:paraId="1931483F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2AD6AA3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1E0A936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6</w:t>
            </w:r>
            <w:r w:rsidRPr="00F25EA5">
              <w:rPr>
                <w:rFonts w:ascii="宋体" w:hAnsi="宋体"/>
                <w:b/>
                <w:bCs/>
                <w:szCs w:val="21"/>
              </w:rPr>
              <w:t>.医嘱执行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2C846B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.1医嘱执行列表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84DF35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.1.1展示本系统中开立的医嘱的执行项；也可获取his开立的医嘱进行执行操作；可进行医嘱的扣费和执行出库操作。</w:t>
            </w:r>
            <w:r w:rsidRPr="00F25EA5">
              <w:rPr>
                <w:rFonts w:ascii="宋体" w:hAnsi="宋体"/>
                <w:szCs w:val="21"/>
                <w:lang w:eastAsia="zh-Hans"/>
              </w:rPr>
              <w:t>住院医嘱和门诊医嘱分开显示</w:t>
            </w:r>
          </w:p>
        </w:tc>
      </w:tr>
      <w:tr w:rsidR="00F25EA5" w:rsidRPr="00F25EA5" w14:paraId="291F2559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3177894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1DB4BB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.2医嘱执行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64F51478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.2.1扣费出库一体化，支持多种扣费模式，可按医院要求选择扣费方案；支持批量执行；执行后自动完成出库，并形成出库记录；支持医嘱标签</w:t>
            </w:r>
            <w:r w:rsidRPr="00F25EA5">
              <w:rPr>
                <w:rFonts w:ascii="宋体" w:hAnsi="宋体"/>
                <w:szCs w:val="21"/>
                <w:lang w:eastAsia="zh-Hans"/>
              </w:rPr>
              <w:t>自动</w:t>
            </w:r>
            <w:r w:rsidRPr="00F25EA5">
              <w:rPr>
                <w:rFonts w:ascii="宋体" w:hAnsi="宋体"/>
                <w:szCs w:val="21"/>
              </w:rPr>
              <w:t>打印、</w:t>
            </w:r>
            <w:r w:rsidRPr="00F25EA5">
              <w:rPr>
                <w:rFonts w:ascii="宋体" w:hAnsi="宋体"/>
                <w:szCs w:val="21"/>
                <w:lang w:eastAsia="zh-Hans"/>
              </w:rPr>
              <w:t>支持备货单/配置单的生成和打印、</w:t>
            </w:r>
            <w:r w:rsidRPr="00F25EA5">
              <w:rPr>
                <w:rFonts w:ascii="宋体" w:hAnsi="宋体"/>
                <w:szCs w:val="21"/>
              </w:rPr>
              <w:t>配送单</w:t>
            </w:r>
            <w:r w:rsidRPr="00F25EA5">
              <w:rPr>
                <w:rFonts w:ascii="宋体" w:hAnsi="宋体"/>
                <w:szCs w:val="21"/>
                <w:lang w:eastAsia="zh-Hans"/>
              </w:rPr>
              <w:t>的生成和打印</w:t>
            </w:r>
            <w:r w:rsidRPr="00F25EA5">
              <w:rPr>
                <w:rFonts w:ascii="宋体" w:hAnsi="宋体"/>
                <w:szCs w:val="21"/>
              </w:rPr>
              <w:t>打印。</w:t>
            </w:r>
          </w:p>
        </w:tc>
      </w:tr>
      <w:tr w:rsidR="00F25EA5" w:rsidRPr="00F25EA5" w14:paraId="21397EFE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2AE8946F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37933CA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  <w:lang w:eastAsia="zh-Hans"/>
              </w:rPr>
              <w:t>.3医嘱</w:t>
            </w:r>
            <w:r w:rsidRPr="00F25EA5">
              <w:rPr>
                <w:rFonts w:ascii="宋体" w:hAnsi="宋体"/>
                <w:szCs w:val="21"/>
              </w:rPr>
              <w:t>退费</w:t>
            </w:r>
          </w:p>
        </w:tc>
        <w:tc>
          <w:tcPr>
            <w:tcW w:w="3565" w:type="pct"/>
            <w:shd w:val="clear" w:color="auto" w:fill="auto"/>
          </w:tcPr>
          <w:p w14:paraId="268A430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.3.1已完成执行的医嘱可以进行退费回收操作；</w:t>
            </w:r>
          </w:p>
        </w:tc>
      </w:tr>
      <w:tr w:rsidR="00F25EA5" w:rsidRPr="00F25EA5" w14:paraId="72592516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35C992E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11150CA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6F92EB48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.3.2</w:t>
            </w:r>
            <w:r w:rsidRPr="00F25EA5">
              <w:rPr>
                <w:rFonts w:ascii="宋体" w:hAnsi="宋体"/>
                <w:szCs w:val="21"/>
                <w:lang w:eastAsia="zh-Hans"/>
              </w:rPr>
              <w:t>退费时可以根据是否已收到退货产品选择立即回收还是延迟回收；</w:t>
            </w:r>
          </w:p>
        </w:tc>
      </w:tr>
      <w:tr w:rsidR="00F25EA5" w:rsidRPr="00F25EA5" w14:paraId="4F522D12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60F0A79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0B5B1E2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41A0C27E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  <w:lang w:eastAsia="zh-Hans"/>
              </w:rPr>
              <w:t>.3.3立即回收</w:t>
            </w:r>
            <w:r w:rsidRPr="00F25EA5">
              <w:rPr>
                <w:rFonts w:ascii="宋体" w:hAnsi="宋体"/>
                <w:szCs w:val="21"/>
              </w:rPr>
              <w:t>的</w:t>
            </w:r>
            <w:r w:rsidRPr="00F25EA5">
              <w:rPr>
                <w:rFonts w:ascii="宋体" w:hAnsi="宋体"/>
                <w:szCs w:val="21"/>
                <w:lang w:eastAsia="zh-Hans"/>
              </w:rPr>
              <w:t>医嘱对应的</w:t>
            </w:r>
            <w:r w:rsidRPr="00F25EA5">
              <w:rPr>
                <w:rFonts w:ascii="宋体" w:hAnsi="宋体"/>
                <w:szCs w:val="21"/>
              </w:rPr>
              <w:t>产品</w:t>
            </w:r>
            <w:r w:rsidRPr="00F25EA5">
              <w:rPr>
                <w:rFonts w:ascii="宋体" w:hAnsi="宋体"/>
                <w:szCs w:val="21"/>
                <w:lang w:eastAsia="zh-Hans"/>
              </w:rPr>
              <w:t>将</w:t>
            </w:r>
            <w:r w:rsidRPr="00F25EA5">
              <w:rPr>
                <w:rFonts w:ascii="宋体" w:hAnsi="宋体"/>
                <w:szCs w:val="21"/>
              </w:rPr>
              <w:t>自动入库并形成入库记录。</w:t>
            </w:r>
          </w:p>
        </w:tc>
      </w:tr>
      <w:tr w:rsidR="00F25EA5" w:rsidRPr="00F25EA5" w14:paraId="3C8456CF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1E97E87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44BD669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3116388D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.3.4</w:t>
            </w:r>
            <w:r w:rsidRPr="00F25EA5">
              <w:rPr>
                <w:rFonts w:ascii="宋体" w:hAnsi="宋体"/>
                <w:szCs w:val="21"/>
                <w:lang w:eastAsia="zh-Hans"/>
              </w:rPr>
              <w:t>延迟回收的医嘱会生成待回收记录到回收列表中，可待收到产品后在进行确认回收</w:t>
            </w:r>
            <w:r w:rsidRPr="00F25EA5">
              <w:rPr>
                <w:rFonts w:ascii="宋体" w:hAnsi="宋体"/>
                <w:szCs w:val="21"/>
              </w:rPr>
              <w:t>；支持多次退费，直至金额和数量都为零；</w:t>
            </w:r>
          </w:p>
        </w:tc>
      </w:tr>
      <w:tr w:rsidR="00F25EA5" w:rsidRPr="00F25EA5" w14:paraId="7B319F35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3C031805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5DBD42F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40BF050D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.3.5可快捷查看退费记录。</w:t>
            </w:r>
          </w:p>
        </w:tc>
      </w:tr>
      <w:tr w:rsidR="00F25EA5" w:rsidRPr="00F25EA5" w14:paraId="360D6361" w14:textId="77777777" w:rsidTr="00513F36">
        <w:trPr>
          <w:trHeight w:val="393"/>
        </w:trPr>
        <w:tc>
          <w:tcPr>
            <w:tcW w:w="756" w:type="pct"/>
            <w:shd w:val="clear" w:color="auto" w:fill="auto"/>
            <w:vAlign w:val="center"/>
          </w:tcPr>
          <w:p w14:paraId="39B5AC2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医嘱列表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999AC8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  <w:lang w:eastAsia="zh-Hans"/>
              </w:rPr>
              <w:t>.1医嘱查看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677CB3DF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  <w:lang w:eastAsia="zh-Hans"/>
              </w:rPr>
              <w:t>.1.1展示所有生效的医嘱，以医嘱维度汇总显示每条医嘱下所有的执行医嘱明细，可以进行正常执行相关操作。</w:t>
            </w:r>
          </w:p>
        </w:tc>
      </w:tr>
      <w:tr w:rsidR="00F25EA5" w:rsidRPr="00F25EA5" w14:paraId="143C1B8B" w14:textId="77777777" w:rsidTr="00513F36">
        <w:trPr>
          <w:trHeight w:val="393"/>
        </w:trPr>
        <w:tc>
          <w:tcPr>
            <w:tcW w:w="756" w:type="pct"/>
            <w:shd w:val="clear" w:color="auto" w:fill="auto"/>
            <w:vAlign w:val="center"/>
          </w:tcPr>
          <w:p w14:paraId="3AAA5342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8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回收列表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48EEB5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8</w:t>
            </w:r>
            <w:r w:rsidRPr="00F25EA5">
              <w:rPr>
                <w:rFonts w:ascii="宋体" w:hAnsi="宋体"/>
                <w:szCs w:val="21"/>
                <w:lang w:eastAsia="zh-Hans"/>
              </w:rPr>
              <w:t>.1退费回收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0FFA6688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8</w:t>
            </w:r>
            <w:r w:rsidRPr="00F25EA5">
              <w:rPr>
                <w:rFonts w:ascii="宋体" w:hAnsi="宋体"/>
                <w:szCs w:val="21"/>
                <w:lang w:eastAsia="zh-Hans"/>
              </w:rPr>
              <w:t>.1.1显示所有仅退费但还未回收的医嘱，可以进行确认回收操作，支持打印回收单。</w:t>
            </w:r>
          </w:p>
        </w:tc>
      </w:tr>
      <w:tr w:rsidR="00F25EA5" w:rsidRPr="00F25EA5" w14:paraId="4B23450B" w14:textId="77777777" w:rsidTr="00513F36">
        <w:trPr>
          <w:trHeight w:val="393"/>
        </w:trPr>
        <w:tc>
          <w:tcPr>
            <w:tcW w:w="756" w:type="pct"/>
            <w:shd w:val="clear" w:color="auto" w:fill="auto"/>
            <w:vAlign w:val="center"/>
          </w:tcPr>
          <w:p w14:paraId="60F95672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9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非协定医嘱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76410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9</w:t>
            </w:r>
            <w:r w:rsidRPr="00F25EA5">
              <w:rPr>
                <w:rFonts w:ascii="宋体" w:hAnsi="宋体"/>
                <w:szCs w:val="21"/>
                <w:lang w:eastAsia="zh-Hans"/>
              </w:rPr>
              <w:t>.1非协定医嘱完善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4BA9C625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9</w:t>
            </w:r>
            <w:r w:rsidRPr="00F25EA5">
              <w:rPr>
                <w:rFonts w:ascii="宋体" w:hAnsi="宋体"/>
                <w:szCs w:val="21"/>
                <w:lang w:eastAsia="zh-Hans"/>
              </w:rPr>
              <w:t>.1.1若医院存在在his开立非协定医嘱的业务，本系统需支持his开立的非协定医嘱同步到此列表显示，可供营养医师完善营养医嘱方案后再触发收费出库配送流程。</w:t>
            </w:r>
          </w:p>
        </w:tc>
      </w:tr>
      <w:tr w:rsidR="00F25EA5" w:rsidRPr="00F25EA5" w14:paraId="104D6C60" w14:textId="77777777" w:rsidTr="00513F36">
        <w:trPr>
          <w:trHeight w:val="393"/>
        </w:trPr>
        <w:tc>
          <w:tcPr>
            <w:tcW w:w="756" w:type="pct"/>
            <w:vMerge w:val="restart"/>
            <w:shd w:val="clear" w:color="auto" w:fill="auto"/>
            <w:vAlign w:val="center"/>
          </w:tcPr>
          <w:p w14:paraId="231C9B67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0</w:t>
            </w:r>
            <w:r w:rsidRPr="00F25EA5">
              <w:rPr>
                <w:rFonts w:ascii="宋体" w:hAnsi="宋体"/>
                <w:b/>
                <w:bCs/>
                <w:szCs w:val="21"/>
              </w:rPr>
              <w:t>.住院医嘱统计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1B82812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.1汇总住院医嘱数</w:t>
            </w:r>
            <w:r w:rsidRPr="00F25EA5">
              <w:rPr>
                <w:rFonts w:ascii="宋体" w:hAnsi="宋体"/>
                <w:szCs w:val="21"/>
              </w:rPr>
              <w:lastRenderedPageBreak/>
              <w:t>据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78A2957A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lastRenderedPageBreak/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0</w:t>
            </w:r>
            <w:r w:rsidRPr="00F25EA5">
              <w:rPr>
                <w:rFonts w:ascii="宋体" w:hAnsi="宋体"/>
                <w:szCs w:val="21"/>
                <w:lang w:bidi="zh-TW"/>
              </w:rPr>
              <w:t>.1.1 系统提供多维度汇总功能，全面统计住院医嘱的发出、退货数量及相应费用。</w:t>
            </w:r>
          </w:p>
        </w:tc>
      </w:tr>
      <w:tr w:rsidR="00F25EA5" w:rsidRPr="00F25EA5" w14:paraId="17E8A753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0543468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00F4ECC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4F2D4CD0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0</w:t>
            </w:r>
            <w:r w:rsidRPr="00F25EA5">
              <w:rPr>
                <w:rFonts w:ascii="宋体" w:hAnsi="宋体"/>
                <w:szCs w:val="21"/>
                <w:lang w:bidi="zh-TW"/>
              </w:rPr>
              <w:t>.1.2 支持查看各医嘱内容的开立总数和相关费用。</w:t>
            </w:r>
          </w:p>
        </w:tc>
      </w:tr>
      <w:tr w:rsidR="00F25EA5" w:rsidRPr="00F25EA5" w14:paraId="4ACEE9F6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</w:tcPr>
          <w:p w14:paraId="5367DF56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52EFCB5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5457E3E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0</w:t>
            </w:r>
            <w:r w:rsidRPr="00F25EA5">
              <w:rPr>
                <w:rFonts w:ascii="宋体" w:hAnsi="宋体"/>
                <w:szCs w:val="21"/>
                <w:lang w:bidi="zh-TW"/>
              </w:rPr>
              <w:t>.1.3 可查询各病区的发出和退货金额，以及详细明细。</w:t>
            </w:r>
          </w:p>
        </w:tc>
      </w:tr>
      <w:tr w:rsidR="00F25EA5" w:rsidRPr="00F25EA5" w14:paraId="36625156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  <w:vAlign w:val="center"/>
          </w:tcPr>
          <w:p w14:paraId="7EF2626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33B6C43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565" w:type="pct"/>
            <w:shd w:val="clear" w:color="auto" w:fill="auto"/>
          </w:tcPr>
          <w:p w14:paraId="0591687E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0</w:t>
            </w:r>
            <w:r w:rsidRPr="00F25EA5">
              <w:rPr>
                <w:rFonts w:ascii="宋体" w:hAnsi="宋体"/>
                <w:szCs w:val="21"/>
                <w:lang w:bidi="zh-TW"/>
              </w:rPr>
              <w:t>.1.4 可追踪各医护人员的发出和退货金额，以及具体明细。</w:t>
            </w:r>
          </w:p>
        </w:tc>
      </w:tr>
      <w:tr w:rsidR="00F25EA5" w:rsidRPr="00F25EA5" w14:paraId="44472C18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  <w:vAlign w:val="center"/>
          </w:tcPr>
          <w:p w14:paraId="74D7267B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7CEC3F8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</w:tcPr>
          <w:p w14:paraId="0E4D3DC3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0</w:t>
            </w:r>
            <w:r w:rsidRPr="00F25EA5">
              <w:rPr>
                <w:rFonts w:ascii="宋体" w:hAnsi="宋体"/>
                <w:szCs w:val="21"/>
                <w:lang w:bidi="zh-TW"/>
              </w:rPr>
              <w:t>.1.5 提供所有医嘱明细的查看和导出功能。</w:t>
            </w:r>
          </w:p>
        </w:tc>
      </w:tr>
      <w:tr w:rsidR="00F25EA5" w:rsidRPr="00F25EA5" w14:paraId="4192ECDF" w14:textId="77777777" w:rsidTr="00513F36">
        <w:trPr>
          <w:trHeight w:val="393"/>
        </w:trPr>
        <w:tc>
          <w:tcPr>
            <w:tcW w:w="756" w:type="pct"/>
            <w:vMerge w:val="restart"/>
            <w:shd w:val="clear" w:color="auto" w:fill="auto"/>
            <w:vAlign w:val="center"/>
          </w:tcPr>
          <w:p w14:paraId="79736EC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门诊医嘱统计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5C6DD53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.1汇总门诊医嘱数据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7C9A2BE5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.1.1 提供多维度汇总，全面分析门诊医嘱的发出、退货数量及费用情况。</w:t>
            </w:r>
          </w:p>
        </w:tc>
      </w:tr>
      <w:tr w:rsidR="00F25EA5" w:rsidRPr="00F25EA5" w14:paraId="479BA9D0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  <w:vAlign w:val="center"/>
          </w:tcPr>
          <w:p w14:paraId="3C960A7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631B6C5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14:paraId="2E171C0B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.1.2 支持查看各医嘱内容的开立总量及其费用。</w:t>
            </w:r>
          </w:p>
        </w:tc>
      </w:tr>
      <w:tr w:rsidR="00F25EA5" w:rsidRPr="00F25EA5" w14:paraId="7B57FB71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  <w:vAlign w:val="center"/>
          </w:tcPr>
          <w:p w14:paraId="39CE65E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3E284ADA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14:paraId="2ACC514F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.1.3 可统计各科室的总医嘱费用。</w:t>
            </w:r>
          </w:p>
        </w:tc>
      </w:tr>
      <w:tr w:rsidR="00F25EA5" w:rsidRPr="00F25EA5" w14:paraId="53D1734E" w14:textId="77777777" w:rsidTr="00513F36">
        <w:trPr>
          <w:trHeight w:val="393"/>
        </w:trPr>
        <w:tc>
          <w:tcPr>
            <w:tcW w:w="756" w:type="pct"/>
            <w:vMerge/>
            <w:shd w:val="clear" w:color="auto" w:fill="auto"/>
            <w:vAlign w:val="center"/>
          </w:tcPr>
          <w:p w14:paraId="795623A5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78A26C0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14:paraId="0A17F2FC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bidi="zh-TW"/>
              </w:rPr>
              <w:t>1</w:t>
            </w:r>
            <w:r w:rsidRPr="00F25EA5">
              <w:rPr>
                <w:rFonts w:ascii="宋体" w:hAnsi="宋体" w:hint="eastAsia"/>
                <w:szCs w:val="21"/>
                <w:lang w:bidi="zh-TW"/>
              </w:rPr>
              <w:t>1</w:t>
            </w:r>
            <w:r w:rsidRPr="00F25EA5">
              <w:rPr>
                <w:rFonts w:ascii="宋体" w:hAnsi="宋体"/>
                <w:szCs w:val="21"/>
                <w:lang w:bidi="zh-TW"/>
              </w:rPr>
              <w:t>.1.4 可追踪每位医护人员开立医嘱的总量和费用。</w:t>
            </w:r>
          </w:p>
        </w:tc>
      </w:tr>
    </w:tbl>
    <w:p w14:paraId="515B34A1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szCs w:val="21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3）库房管理服务</w:t>
      </w:r>
    </w:p>
    <w:tbl>
      <w:tblPr>
        <w:tblW w:w="563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6094"/>
      </w:tblGrid>
      <w:tr w:rsidR="00F25EA5" w:rsidRPr="00F25EA5" w14:paraId="7A026763" w14:textId="77777777" w:rsidTr="00F25EA5">
        <w:trPr>
          <w:trHeight w:val="393"/>
        </w:trPr>
        <w:tc>
          <w:tcPr>
            <w:tcW w:w="5000" w:type="pct"/>
            <w:gridSpan w:val="3"/>
            <w:shd w:val="clear" w:color="auto" w:fill="auto"/>
          </w:tcPr>
          <w:p w14:paraId="32FEF4C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库房管理服务</w:t>
            </w:r>
          </w:p>
        </w:tc>
      </w:tr>
      <w:tr w:rsidR="0030053C" w:rsidRPr="00F25EA5" w14:paraId="75CA4A97" w14:textId="77777777" w:rsidTr="0030053C">
        <w:trPr>
          <w:trHeight w:val="393"/>
        </w:trPr>
        <w:tc>
          <w:tcPr>
            <w:tcW w:w="910" w:type="pct"/>
            <w:shd w:val="clear" w:color="auto" w:fill="auto"/>
          </w:tcPr>
          <w:p w14:paraId="49453807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菜单</w:t>
            </w:r>
          </w:p>
        </w:tc>
        <w:tc>
          <w:tcPr>
            <w:tcW w:w="833" w:type="pct"/>
            <w:shd w:val="clear" w:color="auto" w:fill="auto"/>
          </w:tcPr>
          <w:p w14:paraId="7F83302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功能</w:t>
            </w:r>
          </w:p>
        </w:tc>
        <w:tc>
          <w:tcPr>
            <w:tcW w:w="3257" w:type="pct"/>
            <w:shd w:val="clear" w:color="auto" w:fill="auto"/>
          </w:tcPr>
          <w:p w14:paraId="66DADFD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描述</w:t>
            </w:r>
          </w:p>
        </w:tc>
      </w:tr>
      <w:tr w:rsidR="0030053C" w:rsidRPr="00F25EA5" w14:paraId="4666D61F" w14:textId="77777777" w:rsidTr="0030053C">
        <w:trPr>
          <w:trHeight w:val="393"/>
        </w:trPr>
        <w:tc>
          <w:tcPr>
            <w:tcW w:w="910" w:type="pct"/>
            <w:shd w:val="clear" w:color="auto" w:fill="auto"/>
            <w:vAlign w:val="center"/>
          </w:tcPr>
          <w:p w14:paraId="6C9C7CF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F25EA5">
              <w:rPr>
                <w:rFonts w:ascii="宋体" w:hAnsi="宋体"/>
                <w:b/>
                <w:bCs/>
                <w:szCs w:val="21"/>
              </w:rPr>
              <w:t>.库房管理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73D2B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.1库房信息维护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5868C55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.1.1用于营养库房的创建、修改和删除，支持多库房模式；支持多院区下的库房管理。</w:t>
            </w:r>
          </w:p>
        </w:tc>
      </w:tr>
      <w:tr w:rsidR="0030053C" w:rsidRPr="00F25EA5" w14:paraId="7C529B14" w14:textId="77777777" w:rsidTr="0030053C">
        <w:trPr>
          <w:trHeight w:val="393"/>
        </w:trPr>
        <w:tc>
          <w:tcPr>
            <w:tcW w:w="910" w:type="pct"/>
            <w:shd w:val="clear" w:color="auto" w:fill="auto"/>
            <w:vAlign w:val="center"/>
          </w:tcPr>
          <w:p w14:paraId="72313C59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F25EA5">
              <w:rPr>
                <w:rFonts w:ascii="宋体" w:hAnsi="宋体"/>
                <w:b/>
                <w:bCs/>
                <w:szCs w:val="21"/>
              </w:rPr>
              <w:t>.供应商管理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E5216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.1供应商信息维护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223F956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.1.1用于库房合作供应商的资料维护，可以创建、修改和删除供应商信息。</w:t>
            </w:r>
          </w:p>
        </w:tc>
      </w:tr>
      <w:tr w:rsidR="0030053C" w:rsidRPr="00F25EA5" w14:paraId="207EDF33" w14:textId="77777777" w:rsidTr="0030053C">
        <w:trPr>
          <w:trHeight w:val="393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08143D3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F25EA5">
              <w:rPr>
                <w:rFonts w:ascii="宋体" w:hAnsi="宋体"/>
                <w:b/>
                <w:bCs/>
                <w:szCs w:val="21"/>
              </w:rPr>
              <w:t>.出入库管理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B7E011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.1产品入库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7BFC7E1B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.1.1可进行产品的入库操作，提供入库审核功能，支持多批次的产品管理模式入库。</w:t>
            </w:r>
          </w:p>
        </w:tc>
      </w:tr>
      <w:tr w:rsidR="0030053C" w:rsidRPr="00F25EA5" w14:paraId="4A1D594B" w14:textId="77777777" w:rsidTr="0030053C">
        <w:trPr>
          <w:trHeight w:val="393"/>
        </w:trPr>
        <w:tc>
          <w:tcPr>
            <w:tcW w:w="910" w:type="pct"/>
            <w:vMerge/>
            <w:shd w:val="clear" w:color="auto" w:fill="auto"/>
            <w:vAlign w:val="center"/>
          </w:tcPr>
          <w:p w14:paraId="3E457813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A1C54D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.2产品出库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7BF03B3C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.2.1可进行产品的出库操作，提供出库审核功能，支持医嘱自动出库。</w:t>
            </w:r>
          </w:p>
        </w:tc>
      </w:tr>
      <w:tr w:rsidR="0030053C" w:rsidRPr="00F25EA5" w14:paraId="49F809A7" w14:textId="77777777" w:rsidTr="0030053C">
        <w:trPr>
          <w:trHeight w:val="393"/>
        </w:trPr>
        <w:tc>
          <w:tcPr>
            <w:tcW w:w="910" w:type="pct"/>
            <w:shd w:val="clear" w:color="auto" w:fill="auto"/>
            <w:vAlign w:val="center"/>
          </w:tcPr>
          <w:p w14:paraId="62F76CAF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15</w:t>
            </w:r>
            <w:r w:rsidRPr="00F25EA5">
              <w:rPr>
                <w:rFonts w:ascii="宋体" w:hAnsi="宋体"/>
                <w:b/>
                <w:bCs/>
                <w:szCs w:val="21"/>
              </w:rPr>
              <w:t>.盘点管理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91158A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.1库存盘点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3981F74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.1.1可以对指定库房的产品进行盘点操作，提供盘点审核功能，盘点后自动校正库存，支持多批次产品管理下的盘点</w:t>
            </w:r>
          </w:p>
        </w:tc>
      </w:tr>
      <w:tr w:rsidR="0030053C" w:rsidRPr="00F25EA5" w14:paraId="3C143CAC" w14:textId="77777777" w:rsidTr="0030053C">
        <w:trPr>
          <w:trHeight w:val="393"/>
        </w:trPr>
        <w:tc>
          <w:tcPr>
            <w:tcW w:w="910" w:type="pct"/>
            <w:shd w:val="clear" w:color="auto" w:fill="auto"/>
            <w:vAlign w:val="center"/>
          </w:tcPr>
          <w:p w14:paraId="4B97219C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6</w:t>
            </w:r>
            <w:r w:rsidRPr="00F25EA5">
              <w:rPr>
                <w:rFonts w:ascii="宋体" w:hAnsi="宋体"/>
                <w:b/>
                <w:bCs/>
                <w:szCs w:val="21"/>
              </w:rPr>
              <w:t>.库存管理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F1449F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.1库存查看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65E277A1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.1.1支持各库房下产品的库存查看和每个批次的产品库存查看；提供库存预警功能；自动估算当前产品库存的剩余使用天数；多批次产品管理模式下还支持产品的过期日期预警。</w:t>
            </w:r>
          </w:p>
        </w:tc>
      </w:tr>
      <w:tr w:rsidR="0030053C" w:rsidRPr="00F25EA5" w14:paraId="0C5DF650" w14:textId="77777777" w:rsidTr="0030053C">
        <w:trPr>
          <w:trHeight w:val="393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6F685C83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1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Pr="00F25EA5">
              <w:rPr>
                <w:rFonts w:ascii="宋体" w:hAnsi="宋体"/>
                <w:b/>
                <w:bCs/>
                <w:szCs w:val="21"/>
              </w:rPr>
              <w:t>.住院产品统计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11B1F91D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</w:rPr>
              <w:t>.1汇总住院特医产品消耗数据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73AE9A2F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</w:rPr>
              <w:t>.1.1多维度汇总因住院医嘱的产生的产品实际消耗情况。</w:t>
            </w:r>
          </w:p>
        </w:tc>
      </w:tr>
      <w:tr w:rsidR="0030053C" w:rsidRPr="00F25EA5" w14:paraId="1C8209C1" w14:textId="77777777" w:rsidTr="0030053C">
        <w:trPr>
          <w:trHeight w:val="393"/>
        </w:trPr>
        <w:tc>
          <w:tcPr>
            <w:tcW w:w="910" w:type="pct"/>
            <w:vMerge/>
            <w:shd w:val="clear" w:color="auto" w:fill="auto"/>
            <w:vAlign w:val="center"/>
          </w:tcPr>
          <w:p w14:paraId="0BBF0AA5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3B081C88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7" w:type="pct"/>
            <w:shd w:val="clear" w:color="auto" w:fill="auto"/>
            <w:vAlign w:val="center"/>
          </w:tcPr>
          <w:p w14:paraId="413B56E9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</w:rPr>
              <w:t>1</w:t>
            </w: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</w:rPr>
              <w:t>.1.2可以查看各产品的总消耗情况以及每个产品在各病区的消耗情况。</w:t>
            </w:r>
          </w:p>
        </w:tc>
      </w:tr>
      <w:tr w:rsidR="0030053C" w:rsidRPr="00F25EA5" w14:paraId="65E9D4B9" w14:textId="77777777" w:rsidTr="0030053C">
        <w:trPr>
          <w:trHeight w:val="393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43BCF42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18</w:t>
            </w:r>
            <w:r w:rsidRPr="00F25EA5">
              <w:rPr>
                <w:rFonts w:ascii="宋体" w:hAnsi="宋体"/>
                <w:b/>
                <w:bCs/>
                <w:szCs w:val="21"/>
              </w:rPr>
              <w:t>.门诊产品统计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42F02BA1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18</w:t>
            </w:r>
            <w:r w:rsidRPr="00F25EA5">
              <w:rPr>
                <w:rFonts w:ascii="宋体" w:hAnsi="宋体"/>
                <w:szCs w:val="21"/>
              </w:rPr>
              <w:t>.1汇总门诊特医产品消耗数据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12C68BB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18</w:t>
            </w:r>
            <w:r w:rsidRPr="00F25EA5">
              <w:rPr>
                <w:rFonts w:ascii="宋体" w:hAnsi="宋体"/>
                <w:szCs w:val="21"/>
              </w:rPr>
              <w:t>.1.1多维度汇总因门诊医嘱的产生的产品实际消耗情况。</w:t>
            </w:r>
          </w:p>
        </w:tc>
      </w:tr>
      <w:tr w:rsidR="0030053C" w:rsidRPr="00F25EA5" w14:paraId="2A3606CD" w14:textId="77777777" w:rsidTr="0030053C">
        <w:trPr>
          <w:trHeight w:val="393"/>
        </w:trPr>
        <w:tc>
          <w:tcPr>
            <w:tcW w:w="910" w:type="pct"/>
            <w:vMerge/>
            <w:shd w:val="clear" w:color="auto" w:fill="auto"/>
            <w:vAlign w:val="center"/>
          </w:tcPr>
          <w:p w14:paraId="5692ABB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53D2D55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7" w:type="pct"/>
            <w:shd w:val="clear" w:color="auto" w:fill="auto"/>
            <w:vAlign w:val="center"/>
          </w:tcPr>
          <w:p w14:paraId="5A4F2B1E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18</w:t>
            </w:r>
            <w:r w:rsidRPr="00F25EA5">
              <w:rPr>
                <w:rFonts w:ascii="宋体" w:hAnsi="宋体"/>
                <w:szCs w:val="21"/>
              </w:rPr>
              <w:t>.1.2可以查看各产品的总消耗情况以及每个产品在各科室的消耗情况。</w:t>
            </w:r>
          </w:p>
        </w:tc>
      </w:tr>
      <w:tr w:rsidR="0030053C" w:rsidRPr="00F25EA5" w14:paraId="0F7F73FC" w14:textId="77777777" w:rsidTr="0030053C">
        <w:trPr>
          <w:trHeight w:val="393"/>
        </w:trPr>
        <w:tc>
          <w:tcPr>
            <w:tcW w:w="910" w:type="pct"/>
            <w:shd w:val="clear" w:color="auto" w:fill="auto"/>
            <w:vAlign w:val="center"/>
          </w:tcPr>
          <w:p w14:paraId="75AFA556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19</w:t>
            </w:r>
            <w:r w:rsidRPr="00F25EA5">
              <w:rPr>
                <w:rFonts w:ascii="宋体" w:hAnsi="宋体"/>
                <w:b/>
                <w:bCs/>
                <w:szCs w:val="21"/>
              </w:rPr>
              <w:t>.库房明细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66BD4A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19</w:t>
            </w:r>
            <w:r w:rsidRPr="00F25EA5">
              <w:rPr>
                <w:rFonts w:ascii="宋体" w:hAnsi="宋体"/>
                <w:szCs w:val="21"/>
              </w:rPr>
              <w:t>.1出入库</w:t>
            </w:r>
            <w:r w:rsidRPr="00F25EA5">
              <w:rPr>
                <w:rFonts w:ascii="宋体" w:hAnsi="宋体"/>
                <w:szCs w:val="21"/>
                <w:lang w:eastAsia="zh-Hans"/>
              </w:rPr>
              <w:t>汇总</w:t>
            </w:r>
            <w:r w:rsidRPr="00F25EA5">
              <w:rPr>
                <w:rFonts w:ascii="宋体" w:hAnsi="宋体"/>
                <w:szCs w:val="21"/>
              </w:rPr>
              <w:t>明细</w:t>
            </w:r>
          </w:p>
        </w:tc>
        <w:tc>
          <w:tcPr>
            <w:tcW w:w="3257" w:type="pct"/>
            <w:shd w:val="clear" w:color="auto" w:fill="auto"/>
            <w:vAlign w:val="center"/>
          </w:tcPr>
          <w:p w14:paraId="7678B332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19</w:t>
            </w:r>
            <w:r w:rsidRPr="00F25EA5">
              <w:rPr>
                <w:rFonts w:ascii="宋体" w:hAnsi="宋体"/>
                <w:szCs w:val="21"/>
              </w:rPr>
              <w:t>.1.1展示</w:t>
            </w:r>
            <w:r w:rsidRPr="00F25EA5">
              <w:rPr>
                <w:rFonts w:ascii="宋体" w:hAnsi="宋体"/>
                <w:szCs w:val="21"/>
                <w:lang w:eastAsia="zh-Hans"/>
              </w:rPr>
              <w:t>指定日期范围内库房各产品的出库汇总和</w:t>
            </w:r>
            <w:r w:rsidRPr="00F25EA5">
              <w:rPr>
                <w:rFonts w:ascii="宋体" w:hAnsi="宋体"/>
                <w:szCs w:val="21"/>
              </w:rPr>
              <w:t>详细</w:t>
            </w:r>
            <w:r w:rsidRPr="00F25EA5">
              <w:rPr>
                <w:rFonts w:ascii="宋体" w:hAnsi="宋体"/>
                <w:szCs w:val="21"/>
                <w:lang w:eastAsia="zh-Hans"/>
              </w:rPr>
              <w:t>的</w:t>
            </w:r>
            <w:r w:rsidRPr="00F25EA5">
              <w:rPr>
                <w:rFonts w:ascii="宋体" w:hAnsi="宋体"/>
                <w:szCs w:val="21"/>
              </w:rPr>
              <w:t>出入库</w:t>
            </w:r>
            <w:r w:rsidRPr="00F25EA5">
              <w:rPr>
                <w:rFonts w:ascii="宋体" w:hAnsi="宋体"/>
                <w:szCs w:val="21"/>
                <w:lang w:eastAsia="zh-Hans"/>
              </w:rPr>
              <w:t>明细</w:t>
            </w:r>
            <w:r w:rsidRPr="00F25EA5">
              <w:rPr>
                <w:rFonts w:ascii="宋体" w:hAnsi="宋体"/>
                <w:szCs w:val="21"/>
              </w:rPr>
              <w:t>记录。</w:t>
            </w:r>
          </w:p>
        </w:tc>
      </w:tr>
    </w:tbl>
    <w:p w14:paraId="279156E7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szCs w:val="21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4）基础数据服务</w:t>
      </w:r>
    </w:p>
    <w:tbl>
      <w:tblPr>
        <w:tblW w:w="56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5"/>
        <w:gridCol w:w="5958"/>
      </w:tblGrid>
      <w:tr w:rsidR="00F25EA5" w:rsidRPr="00F25EA5" w14:paraId="0974014A" w14:textId="77777777" w:rsidTr="00EA4927">
        <w:trPr>
          <w:trHeight w:val="393"/>
        </w:trPr>
        <w:tc>
          <w:tcPr>
            <w:tcW w:w="5000" w:type="pct"/>
            <w:gridSpan w:val="3"/>
            <w:shd w:val="clear" w:color="auto" w:fill="auto"/>
          </w:tcPr>
          <w:p w14:paraId="0DBF92E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系统基础数据服务</w:t>
            </w:r>
          </w:p>
        </w:tc>
      </w:tr>
      <w:tr w:rsidR="00F25EA5" w:rsidRPr="00F25EA5" w14:paraId="2B6E2A1D" w14:textId="77777777" w:rsidTr="00EA4927">
        <w:trPr>
          <w:trHeight w:val="393"/>
        </w:trPr>
        <w:tc>
          <w:tcPr>
            <w:tcW w:w="985" w:type="pct"/>
            <w:shd w:val="clear" w:color="auto" w:fill="auto"/>
          </w:tcPr>
          <w:p w14:paraId="42622509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菜单</w:t>
            </w:r>
          </w:p>
        </w:tc>
        <w:tc>
          <w:tcPr>
            <w:tcW w:w="831" w:type="pct"/>
            <w:shd w:val="clear" w:color="auto" w:fill="auto"/>
          </w:tcPr>
          <w:p w14:paraId="4A33AA1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功能</w:t>
            </w:r>
          </w:p>
        </w:tc>
        <w:tc>
          <w:tcPr>
            <w:tcW w:w="3184" w:type="pct"/>
            <w:shd w:val="clear" w:color="auto" w:fill="auto"/>
          </w:tcPr>
          <w:p w14:paraId="3B118D8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描述</w:t>
            </w:r>
          </w:p>
        </w:tc>
      </w:tr>
      <w:tr w:rsidR="00F25EA5" w:rsidRPr="00F25EA5" w14:paraId="693CDB56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3C52605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0</w:t>
            </w:r>
            <w:r w:rsidRPr="00F25EA5">
              <w:rPr>
                <w:rFonts w:ascii="宋体" w:hAnsi="宋体"/>
                <w:b/>
                <w:bCs/>
                <w:szCs w:val="21"/>
              </w:rPr>
              <w:t>.产品管理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47DB14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.1产品信息维护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42AC5B71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.1.1用于维护采购的营养产品信息和营养成分数据；支持产品信息的修改、停用等。</w:t>
            </w:r>
            <w:r w:rsidRPr="00F25EA5">
              <w:rPr>
                <w:rFonts w:ascii="宋体" w:hAnsi="宋体"/>
                <w:szCs w:val="21"/>
                <w:lang w:eastAsia="zh-Hans"/>
              </w:rPr>
              <w:t>支持肠内产品、肠外产品的基础数据维护。产品支持一键生成为医嘱字典。</w:t>
            </w:r>
          </w:p>
        </w:tc>
      </w:tr>
      <w:tr w:rsidR="00F25EA5" w:rsidRPr="00F25EA5" w14:paraId="0543FED1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5EB7518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F25EA5">
              <w:rPr>
                <w:rFonts w:ascii="宋体" w:hAnsi="宋体"/>
                <w:b/>
                <w:bCs/>
                <w:szCs w:val="21"/>
              </w:rPr>
              <w:t>.医嘱字典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9C069D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  <w:lang w:eastAsia="zh-Hans"/>
              </w:rPr>
              <w:t>.1医嘱</w:t>
            </w:r>
            <w:r w:rsidRPr="00F25EA5">
              <w:rPr>
                <w:rFonts w:ascii="宋体" w:hAnsi="宋体"/>
                <w:szCs w:val="21"/>
              </w:rPr>
              <w:t>信息</w:t>
            </w:r>
            <w:r w:rsidRPr="00F25EA5">
              <w:rPr>
                <w:rFonts w:ascii="宋体" w:hAnsi="宋体"/>
                <w:szCs w:val="21"/>
              </w:rPr>
              <w:lastRenderedPageBreak/>
              <w:t>维护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25A9FC6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lastRenderedPageBreak/>
              <w:t>2</w:t>
            </w: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.1.1用于维护医嘱信息，包含医嘱编码（若同步his开立的</w:t>
            </w:r>
            <w:r w:rsidRPr="00F25EA5">
              <w:rPr>
                <w:rFonts w:ascii="宋体" w:hAnsi="宋体"/>
                <w:szCs w:val="21"/>
              </w:rPr>
              <w:lastRenderedPageBreak/>
              <w:t>医嘱，医嘱编码与his一致即可）、医嘱名称、价格、规格以及组成产品；可支持肠内特医医嘱、肠内药品医嘱、肠外医嘱、治疗膳食餐等医嘱的维护；肠内特医还支持成品医嘱和制剂医嘱的维护。</w:t>
            </w:r>
          </w:p>
        </w:tc>
      </w:tr>
      <w:tr w:rsidR="00F25EA5" w:rsidRPr="00F25EA5" w14:paraId="7E6C3583" w14:textId="77777777" w:rsidTr="00EA4927">
        <w:trPr>
          <w:trHeight w:val="393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1C9348C8" w14:textId="1E79E6E1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lastRenderedPageBreak/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F25EA5">
              <w:rPr>
                <w:rFonts w:ascii="宋体" w:hAnsi="宋体"/>
                <w:b/>
                <w:bCs/>
                <w:szCs w:val="21"/>
              </w:rPr>
              <w:t>.组套管理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595BE49D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.1医嘱组套管理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355E5193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bookmarkStart w:id="2" w:name="u252e2502"/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1.1用于管理肠内医嘱组套和肠外医嘱组套，可以进行新增、修改和删除操作。组套中可包含多个产品或制剂，并设置各自的剂量和使用方案，在开立医嘱或方案时可以一键添加组套中的所有产品或制剂、剂量和使用方法，可适当调整后作为方案。</w:t>
            </w:r>
            <w:bookmarkEnd w:id="2"/>
          </w:p>
        </w:tc>
      </w:tr>
      <w:tr w:rsidR="00F25EA5" w:rsidRPr="00F25EA5" w14:paraId="15A581B3" w14:textId="77777777" w:rsidTr="00EA4927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184DDCE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7E1F41A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4" w:type="pct"/>
            <w:shd w:val="clear" w:color="auto" w:fill="auto"/>
            <w:vAlign w:val="center"/>
          </w:tcPr>
          <w:p w14:paraId="1025CFE7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</w:rPr>
              <w:t>.1.2创建组套时会计算组套中的营养素成分值，如果是肠外组套还会对肠外指标（能量、蛋白质、脂肪、碳水化合物、葡萄糖、脂肪乳、鱼油、氨基酸、热氮比、非蛋白热氮比、糖脂比、渗透压等）进行计算。</w:t>
            </w:r>
          </w:p>
        </w:tc>
      </w:tr>
      <w:tr w:rsidR="00F25EA5" w:rsidRPr="00F25EA5" w14:paraId="2D3BBEDF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096D6D06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F25EA5">
              <w:rPr>
                <w:rFonts w:ascii="宋体" w:hAnsi="宋体"/>
                <w:b/>
                <w:bCs/>
                <w:szCs w:val="21"/>
              </w:rPr>
              <w:t>.食物管理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5FC2D1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.1食物管理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765B7245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</w:rPr>
              <w:t>.1.1用于维护各种食物的参数信息，包括名称、类别和每100g食物各种营养素含量值；系统需要提供专业全面的食物库数据。</w:t>
            </w:r>
          </w:p>
        </w:tc>
      </w:tr>
      <w:tr w:rsidR="00F25EA5" w:rsidRPr="00F25EA5" w14:paraId="0B313F6E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681649F3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F25EA5">
              <w:rPr>
                <w:rFonts w:ascii="宋体" w:hAnsi="宋体"/>
                <w:b/>
                <w:bCs/>
                <w:szCs w:val="21"/>
              </w:rPr>
              <w:t>.菜谱管理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A1FE06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.1菜谱管理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73F14D59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</w:rPr>
              <w:t>.1.1用于维护菜谱信息，可选择相应数量的食物组成菜谱，自动计算每份菜谱的营养素含量；</w:t>
            </w:r>
            <w:r w:rsidRPr="00F25EA5">
              <w:rPr>
                <w:rFonts w:ascii="宋体" w:hAnsi="宋体"/>
                <w:szCs w:val="21"/>
                <w:lang w:bidi="zh-TW"/>
              </w:rPr>
              <w:t xml:space="preserve"> </w:t>
            </w:r>
          </w:p>
        </w:tc>
      </w:tr>
      <w:tr w:rsidR="00F25EA5" w:rsidRPr="00F25EA5" w14:paraId="17273C08" w14:textId="77777777" w:rsidTr="00EA4927">
        <w:trPr>
          <w:trHeight w:val="1027"/>
        </w:trPr>
        <w:tc>
          <w:tcPr>
            <w:tcW w:w="985" w:type="pct"/>
            <w:shd w:val="clear" w:color="auto" w:fill="auto"/>
            <w:vAlign w:val="center"/>
          </w:tcPr>
          <w:p w14:paraId="7B5B083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治疗</w:t>
            </w:r>
            <w:r w:rsidRPr="00F25EA5">
              <w:rPr>
                <w:rFonts w:ascii="宋体" w:hAnsi="宋体"/>
                <w:b/>
                <w:bCs/>
                <w:szCs w:val="21"/>
              </w:rPr>
              <w:t>食谱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E5835F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>.1食谱管理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491A75D5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5</w:t>
            </w:r>
            <w:r w:rsidRPr="00F25EA5">
              <w:rPr>
                <w:rFonts w:ascii="宋体" w:hAnsi="宋体"/>
                <w:szCs w:val="21"/>
              </w:rPr>
              <w:t xml:space="preserve">.1.1用于维护食谱信息，可选择相应的菜谱，组合成一天所有餐次的食谱，同时支持将多份食谱组合成多日食谱套餐使用。支持自动计算每个食谱的营养素含量；可将食谱与疾病关联，支持根据疾病进行个性食谱的制定； </w:t>
            </w:r>
          </w:p>
        </w:tc>
      </w:tr>
      <w:tr w:rsidR="00F25EA5" w:rsidRPr="00F25EA5" w14:paraId="7232C03B" w14:textId="77777777" w:rsidTr="00EA4927">
        <w:trPr>
          <w:trHeight w:val="393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5736B59A" w14:textId="459B1430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6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诊断库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68E1C5B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</w:rPr>
              <w:t>.1ICD-10</w:t>
            </w:r>
            <w:r w:rsidRPr="00F25EA5">
              <w:rPr>
                <w:rFonts w:ascii="宋体" w:hAnsi="宋体"/>
                <w:szCs w:val="21"/>
                <w:lang w:eastAsia="zh-Hans"/>
              </w:rPr>
              <w:t>诊断标准库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386ABF1E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  <w:lang w:eastAsia="zh-Hans"/>
              </w:rPr>
              <w:t>.1.1自带</w:t>
            </w:r>
            <w:r w:rsidRPr="00F25EA5">
              <w:rPr>
                <w:rFonts w:ascii="宋体" w:hAnsi="宋体"/>
                <w:szCs w:val="21"/>
              </w:rPr>
              <w:t>ICD-10</w:t>
            </w:r>
            <w:r w:rsidRPr="00F25EA5">
              <w:rPr>
                <w:rFonts w:ascii="宋体" w:hAnsi="宋体"/>
                <w:szCs w:val="21"/>
                <w:lang w:eastAsia="zh-Hans"/>
              </w:rPr>
              <w:t>诊断标准库，可通过</w:t>
            </w:r>
            <w:r w:rsidRPr="00F25EA5">
              <w:rPr>
                <w:rFonts w:ascii="宋体" w:hAnsi="宋体"/>
                <w:szCs w:val="21"/>
              </w:rPr>
              <w:t>ICD-10</w:t>
            </w:r>
            <w:r w:rsidRPr="00F25EA5">
              <w:rPr>
                <w:rFonts w:ascii="宋体" w:hAnsi="宋体"/>
                <w:szCs w:val="21"/>
                <w:lang w:eastAsia="zh-Hans"/>
              </w:rPr>
              <w:t>编码与his诊断对应</w:t>
            </w:r>
          </w:p>
        </w:tc>
      </w:tr>
      <w:tr w:rsidR="00F25EA5" w:rsidRPr="00F25EA5" w14:paraId="3DA7ECEC" w14:textId="77777777" w:rsidTr="00EA4927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20058B93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0FC84ED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4" w:type="pct"/>
            <w:shd w:val="clear" w:color="auto" w:fill="auto"/>
            <w:vAlign w:val="center"/>
          </w:tcPr>
          <w:p w14:paraId="12861A34" w14:textId="77777777" w:rsidR="00F25EA5" w:rsidRPr="00F25EA5" w:rsidRDefault="00F25EA5" w:rsidP="00F25EA5">
            <w:pPr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6</w:t>
            </w:r>
            <w:r w:rsidRPr="00F25EA5">
              <w:rPr>
                <w:rFonts w:ascii="宋体" w:hAnsi="宋体"/>
                <w:szCs w:val="21"/>
                <w:lang w:eastAsia="zh-Hans"/>
              </w:rPr>
              <w:t>.1.2可设置NRS2002、STAMP疾病严重程度标签，实现NRS2002</w:t>
            </w:r>
            <w:r w:rsidRPr="00F25EA5">
              <w:rPr>
                <w:rFonts w:ascii="宋体" w:hAnsi="宋体"/>
                <w:szCs w:val="21"/>
              </w:rPr>
              <w:t>、STAMP</w:t>
            </w:r>
            <w:r w:rsidRPr="00F25EA5">
              <w:rPr>
                <w:rFonts w:ascii="宋体" w:hAnsi="宋体"/>
                <w:szCs w:val="21"/>
                <w:lang w:eastAsia="zh-Hans"/>
              </w:rPr>
              <w:t>的半自动化筛查</w:t>
            </w:r>
          </w:p>
        </w:tc>
      </w:tr>
      <w:tr w:rsidR="00F25EA5" w:rsidRPr="00F25EA5" w14:paraId="62018A56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6E38DDC4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2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交换份管理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6A0A5B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  <w:lang w:eastAsia="zh-Hans"/>
              </w:rPr>
              <w:t>.1交换份类型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2C01F42F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</w:rPr>
              <w:t>2</w:t>
            </w:r>
            <w:r w:rsidRPr="00F25EA5">
              <w:rPr>
                <w:rFonts w:ascii="宋体" w:hAnsi="宋体" w:hint="eastAsia"/>
                <w:szCs w:val="21"/>
              </w:rPr>
              <w:t>7</w:t>
            </w:r>
            <w:r w:rsidRPr="00F25EA5">
              <w:rPr>
                <w:rFonts w:ascii="宋体" w:hAnsi="宋体"/>
                <w:szCs w:val="21"/>
                <w:lang w:eastAsia="zh-Hans"/>
              </w:rPr>
              <w:t>.1.1提供2023版食物交换份数据。</w:t>
            </w:r>
          </w:p>
        </w:tc>
      </w:tr>
      <w:tr w:rsidR="00F25EA5" w:rsidRPr="00F25EA5" w14:paraId="41DB37BF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7024E83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28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运动管理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2EDAA86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28</w:t>
            </w:r>
            <w:r w:rsidRPr="00F25EA5">
              <w:rPr>
                <w:rFonts w:ascii="宋体" w:hAnsi="宋体"/>
                <w:szCs w:val="21"/>
                <w:lang w:eastAsia="zh-Hans"/>
              </w:rPr>
              <w:t>.1运动项目基础数据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02B3AC07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 w:hint="eastAsia"/>
                <w:szCs w:val="21"/>
              </w:rPr>
              <w:t>28</w:t>
            </w:r>
            <w:r w:rsidRPr="00F25EA5">
              <w:rPr>
                <w:rFonts w:ascii="宋体" w:hAnsi="宋体"/>
                <w:szCs w:val="21"/>
                <w:lang w:eastAsia="zh-Hans"/>
              </w:rPr>
              <w:t>.1.1提供运动项目的MET基础数据。</w:t>
            </w:r>
          </w:p>
        </w:tc>
      </w:tr>
      <w:tr w:rsidR="00F25EA5" w:rsidRPr="00F25EA5" w14:paraId="59375A2E" w14:textId="77777777" w:rsidTr="00EA4927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11F684DE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 w:hint="eastAsia"/>
                <w:b/>
                <w:bCs/>
                <w:szCs w:val="21"/>
              </w:rPr>
              <w:t>29</w:t>
            </w:r>
            <w:r w:rsidRPr="00F25EA5">
              <w:rPr>
                <w:rFonts w:ascii="宋体" w:hAnsi="宋体"/>
                <w:b/>
                <w:bCs/>
                <w:szCs w:val="21"/>
              </w:rPr>
              <w:t>.疾病管理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953E10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29</w:t>
            </w:r>
            <w:r w:rsidRPr="00F25EA5">
              <w:rPr>
                <w:rFonts w:ascii="宋体" w:hAnsi="宋体"/>
                <w:szCs w:val="21"/>
              </w:rPr>
              <w:t>.1疾病管理</w:t>
            </w:r>
          </w:p>
        </w:tc>
        <w:tc>
          <w:tcPr>
            <w:tcW w:w="3184" w:type="pct"/>
            <w:shd w:val="clear" w:color="auto" w:fill="auto"/>
            <w:vAlign w:val="center"/>
          </w:tcPr>
          <w:p w14:paraId="61ECEC6F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 w:hint="eastAsia"/>
                <w:szCs w:val="21"/>
              </w:rPr>
              <w:t>29</w:t>
            </w:r>
            <w:r w:rsidRPr="00F25EA5">
              <w:rPr>
                <w:rFonts w:ascii="宋体" w:hAnsi="宋体"/>
                <w:szCs w:val="21"/>
              </w:rPr>
              <w:t>.1.1用于维护常用的疾病数据；可与食谱进行关联；并提供专业的疾病库和部分常见疾病的营养建议供参考，用户也可以根据实际需要进行修改或完善内容。</w:t>
            </w:r>
          </w:p>
        </w:tc>
      </w:tr>
    </w:tbl>
    <w:p w14:paraId="3B8B7A37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5）质控数据服务</w:t>
      </w:r>
    </w:p>
    <w:tbl>
      <w:tblPr>
        <w:tblW w:w="56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1"/>
        <w:gridCol w:w="5982"/>
      </w:tblGrid>
      <w:tr w:rsidR="00F25EA5" w:rsidRPr="00F25EA5" w14:paraId="5416607A" w14:textId="77777777" w:rsidTr="009C5132">
        <w:trPr>
          <w:trHeight w:val="393"/>
        </w:trPr>
        <w:tc>
          <w:tcPr>
            <w:tcW w:w="5000" w:type="pct"/>
            <w:gridSpan w:val="3"/>
            <w:shd w:val="clear" w:color="auto" w:fill="auto"/>
          </w:tcPr>
          <w:p w14:paraId="70DC7235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质控管理服务</w:t>
            </w:r>
          </w:p>
        </w:tc>
      </w:tr>
      <w:tr w:rsidR="00F25EA5" w:rsidRPr="00F25EA5" w14:paraId="2937CA17" w14:textId="77777777" w:rsidTr="009C5132">
        <w:trPr>
          <w:trHeight w:val="393"/>
        </w:trPr>
        <w:tc>
          <w:tcPr>
            <w:tcW w:w="985" w:type="pct"/>
            <w:shd w:val="clear" w:color="auto" w:fill="auto"/>
          </w:tcPr>
          <w:p w14:paraId="798000A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菜单</w:t>
            </w:r>
          </w:p>
        </w:tc>
        <w:tc>
          <w:tcPr>
            <w:tcW w:w="818" w:type="pct"/>
            <w:shd w:val="clear" w:color="auto" w:fill="auto"/>
          </w:tcPr>
          <w:p w14:paraId="3EA63327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功能</w:t>
            </w:r>
          </w:p>
        </w:tc>
        <w:tc>
          <w:tcPr>
            <w:tcW w:w="3197" w:type="pct"/>
            <w:shd w:val="clear" w:color="auto" w:fill="auto"/>
          </w:tcPr>
          <w:p w14:paraId="09053E68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描述</w:t>
            </w:r>
          </w:p>
        </w:tc>
      </w:tr>
      <w:tr w:rsidR="00F25EA5" w:rsidRPr="00F25EA5" w14:paraId="2B2E051F" w14:textId="77777777" w:rsidTr="009C5132">
        <w:trPr>
          <w:trHeight w:val="393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5C509192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3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0</w:t>
            </w:r>
            <w:r w:rsidRPr="00F25EA5">
              <w:rPr>
                <w:rFonts w:ascii="宋体" w:hAnsi="宋体"/>
                <w:b/>
                <w:bCs/>
                <w:szCs w:val="21"/>
              </w:rPr>
              <w:t>.营养统计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14:paraId="19ED773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.1营养数据汇总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460439E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.1.1汇总全院营养筛查情况及筛查率</w:t>
            </w:r>
          </w:p>
        </w:tc>
      </w:tr>
      <w:tr w:rsidR="00F25EA5" w:rsidRPr="00F25EA5" w14:paraId="6BEBDCE1" w14:textId="77777777" w:rsidTr="009C5132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1F87449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235E1B0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7" w:type="pct"/>
            <w:shd w:val="clear" w:color="auto" w:fill="auto"/>
            <w:vAlign w:val="center"/>
          </w:tcPr>
          <w:p w14:paraId="6C3FF020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.1.2所有筛评量表记录数据</w:t>
            </w:r>
          </w:p>
        </w:tc>
      </w:tr>
      <w:tr w:rsidR="00F25EA5" w:rsidRPr="00F25EA5" w14:paraId="3632C9AE" w14:textId="77777777" w:rsidTr="009C5132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52859B40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6AA1B54C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7" w:type="pct"/>
            <w:shd w:val="clear" w:color="auto" w:fill="auto"/>
            <w:vAlign w:val="center"/>
          </w:tcPr>
          <w:p w14:paraId="58B516A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.1.3汇总营养诊疗（评估诊断、营养干预、营养监测、营养会诊、住院查房）的所有记录数据</w:t>
            </w:r>
          </w:p>
        </w:tc>
      </w:tr>
      <w:tr w:rsidR="00F25EA5" w:rsidRPr="00F25EA5" w14:paraId="65F8643F" w14:textId="77777777" w:rsidTr="009C5132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556FD6D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3E923D57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7" w:type="pct"/>
            <w:shd w:val="clear" w:color="auto" w:fill="auto"/>
            <w:vAlign w:val="center"/>
          </w:tcPr>
          <w:p w14:paraId="0B480BC6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0</w:t>
            </w:r>
            <w:r w:rsidRPr="00F25EA5">
              <w:rPr>
                <w:rFonts w:ascii="宋体" w:hAnsi="宋体"/>
                <w:szCs w:val="21"/>
              </w:rPr>
              <w:t>.1.4所有特医管理的记录数据。</w:t>
            </w:r>
          </w:p>
        </w:tc>
      </w:tr>
      <w:tr w:rsidR="00F25EA5" w:rsidRPr="00F25EA5" w14:paraId="1416D864" w14:textId="77777777" w:rsidTr="009C5132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052AC35F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3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F25EA5">
              <w:rPr>
                <w:rFonts w:ascii="宋体" w:hAnsi="宋体"/>
                <w:b/>
                <w:bCs/>
                <w:szCs w:val="21"/>
              </w:rPr>
              <w:t>.工作量统计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495B800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.1汇总用户工作量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0EC0C373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1</w:t>
            </w:r>
            <w:r w:rsidRPr="00F25EA5">
              <w:rPr>
                <w:rFonts w:ascii="宋体" w:hAnsi="宋体"/>
                <w:szCs w:val="21"/>
              </w:rPr>
              <w:t>.1.1展示系统所有用户在营养诊疗过程中的工作量数据。</w:t>
            </w:r>
          </w:p>
        </w:tc>
      </w:tr>
      <w:tr w:rsidR="00F25EA5" w:rsidRPr="00F25EA5" w14:paraId="755BE80F" w14:textId="77777777" w:rsidTr="009C5132">
        <w:trPr>
          <w:trHeight w:val="1027"/>
        </w:trPr>
        <w:tc>
          <w:tcPr>
            <w:tcW w:w="985" w:type="pct"/>
            <w:shd w:val="clear" w:color="auto" w:fill="auto"/>
            <w:vAlign w:val="center"/>
          </w:tcPr>
          <w:p w14:paraId="4B781DFD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lastRenderedPageBreak/>
              <w:t>3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省质控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A234C73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  <w:lang w:eastAsia="zh-Hans"/>
              </w:rPr>
              <w:t>.1省质控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1738B3F1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2</w:t>
            </w:r>
            <w:r w:rsidRPr="00F25EA5">
              <w:rPr>
                <w:rFonts w:ascii="宋体" w:hAnsi="宋体"/>
                <w:szCs w:val="21"/>
                <w:lang w:eastAsia="zh-Hans"/>
              </w:rPr>
              <w:t>.1.1支持地方性质控统计数据生成，可根据当地质控数据要求进行配置</w:t>
            </w:r>
          </w:p>
        </w:tc>
      </w:tr>
      <w:tr w:rsidR="00F25EA5" w:rsidRPr="00F25EA5" w14:paraId="1B0E8661" w14:textId="77777777" w:rsidTr="009C5132">
        <w:trPr>
          <w:trHeight w:val="393"/>
        </w:trPr>
        <w:tc>
          <w:tcPr>
            <w:tcW w:w="985" w:type="pct"/>
            <w:shd w:val="clear" w:color="auto" w:fill="auto"/>
            <w:vAlign w:val="center"/>
          </w:tcPr>
          <w:p w14:paraId="61E27A8A" w14:textId="77777777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3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F25EA5">
              <w:rPr>
                <w:rFonts w:ascii="宋体" w:hAnsi="宋体"/>
                <w:b/>
                <w:bCs/>
                <w:szCs w:val="21"/>
              </w:rPr>
              <w:t>.</w:t>
            </w:r>
            <w:r w:rsidRPr="00F25EA5">
              <w:rPr>
                <w:rFonts w:ascii="宋体" w:hAnsi="宋体"/>
                <w:b/>
                <w:bCs/>
                <w:szCs w:val="21"/>
                <w:lang w:eastAsia="zh-Hans"/>
              </w:rPr>
              <w:t>国家质控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883D9F9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  <w:lang w:eastAsia="zh-Hans"/>
              </w:rPr>
              <w:t>.1国家质控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054DF722" w14:textId="77777777" w:rsidR="00F25EA5" w:rsidRPr="00F25EA5" w:rsidRDefault="00F25EA5" w:rsidP="00F25EA5">
            <w:pPr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3</w:t>
            </w:r>
            <w:r w:rsidRPr="00F25EA5">
              <w:rPr>
                <w:rFonts w:ascii="宋体" w:hAnsi="宋体"/>
                <w:szCs w:val="21"/>
                <w:lang w:eastAsia="zh-Hans"/>
              </w:rPr>
              <w:t>.1.1提供国家质控统计报表</w:t>
            </w:r>
          </w:p>
        </w:tc>
      </w:tr>
      <w:tr w:rsidR="00F25EA5" w:rsidRPr="00F25EA5" w14:paraId="0C2AA1B7" w14:textId="77777777" w:rsidTr="009C5132">
        <w:trPr>
          <w:trHeight w:val="393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17460577" w14:textId="69625618" w:rsidR="00F25EA5" w:rsidRPr="00F25EA5" w:rsidRDefault="00F25EA5" w:rsidP="00F25E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5EA5">
              <w:rPr>
                <w:rFonts w:ascii="宋体" w:hAnsi="宋体"/>
                <w:b/>
                <w:bCs/>
                <w:szCs w:val="21"/>
              </w:rPr>
              <w:t>3</w:t>
            </w:r>
            <w:r w:rsidRPr="00F25EA5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F25EA5">
              <w:rPr>
                <w:rFonts w:ascii="宋体" w:hAnsi="宋体"/>
                <w:b/>
                <w:bCs/>
                <w:szCs w:val="21"/>
              </w:rPr>
              <w:t>.营养质控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44C71FB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  <w:lang w:eastAsia="zh-Hans"/>
              </w:rPr>
              <w:t>.1院内统计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33BD9C86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  <w:lang w:eastAsia="zh-Hans"/>
              </w:rPr>
              <w:t>.1.1院内数据的多维度统计输出（营养门诊、评估诊断、营养筛查、营养治疗、糖尿病治疗、科室配置等）</w:t>
            </w:r>
          </w:p>
        </w:tc>
      </w:tr>
      <w:tr w:rsidR="00F25EA5" w:rsidRPr="00F25EA5" w14:paraId="3AB8BBB4" w14:textId="77777777" w:rsidTr="009C5132">
        <w:trPr>
          <w:trHeight w:val="393"/>
        </w:trPr>
        <w:tc>
          <w:tcPr>
            <w:tcW w:w="985" w:type="pct"/>
            <w:vMerge/>
            <w:shd w:val="clear" w:color="auto" w:fill="auto"/>
            <w:vAlign w:val="center"/>
          </w:tcPr>
          <w:p w14:paraId="5A8AA592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3FEC5CE" w14:textId="77777777" w:rsidR="00F25EA5" w:rsidRPr="00F25EA5" w:rsidRDefault="00F25EA5" w:rsidP="00F25EA5">
            <w:pPr>
              <w:jc w:val="center"/>
              <w:rPr>
                <w:rFonts w:ascii="宋体" w:hAnsi="宋体"/>
                <w:szCs w:val="21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  <w:lang w:eastAsia="zh-Hans"/>
              </w:rPr>
              <w:t>.2病区明细</w:t>
            </w:r>
          </w:p>
        </w:tc>
        <w:tc>
          <w:tcPr>
            <w:tcW w:w="3197" w:type="pct"/>
            <w:shd w:val="clear" w:color="auto" w:fill="auto"/>
            <w:vAlign w:val="center"/>
          </w:tcPr>
          <w:p w14:paraId="2FF73BAA" w14:textId="77777777" w:rsidR="00F25EA5" w:rsidRPr="00F25EA5" w:rsidRDefault="00F25EA5" w:rsidP="00F25EA5">
            <w:pPr>
              <w:rPr>
                <w:rFonts w:ascii="宋体" w:hAnsi="宋体"/>
                <w:szCs w:val="21"/>
                <w:lang w:bidi="zh-TW"/>
              </w:rPr>
            </w:pPr>
            <w:r w:rsidRPr="00F25EA5">
              <w:rPr>
                <w:rFonts w:ascii="宋体" w:hAnsi="宋体"/>
                <w:szCs w:val="21"/>
                <w:lang w:eastAsia="zh-Hans"/>
              </w:rPr>
              <w:t>3</w:t>
            </w:r>
            <w:r w:rsidRPr="00F25EA5">
              <w:rPr>
                <w:rFonts w:ascii="宋体" w:hAnsi="宋体" w:hint="eastAsia"/>
                <w:szCs w:val="21"/>
              </w:rPr>
              <w:t>4</w:t>
            </w:r>
            <w:r w:rsidRPr="00F25EA5">
              <w:rPr>
                <w:rFonts w:ascii="宋体" w:hAnsi="宋体"/>
                <w:szCs w:val="21"/>
                <w:lang w:eastAsia="zh-Hans"/>
              </w:rPr>
              <w:t>.2.1各病区的营养治疗、营养筛查、评估诊断、出院患者、糖尿病治疗的人次数据统计输出</w:t>
            </w:r>
            <w:r w:rsidRPr="00F25EA5">
              <w:rPr>
                <w:rFonts w:ascii="宋体" w:hAnsi="宋体" w:hint="eastAsia"/>
                <w:szCs w:val="21"/>
              </w:rPr>
              <w:t>（病区排名）</w:t>
            </w:r>
          </w:p>
        </w:tc>
      </w:tr>
    </w:tbl>
    <w:p w14:paraId="50024B20" w14:textId="77777777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6）账户结算管理服务</w:t>
      </w:r>
    </w:p>
    <w:p w14:paraId="0308F5C7" w14:textId="77777777" w:rsidR="00F25EA5" w:rsidRPr="00F25EA5" w:rsidRDefault="00F25EA5" w:rsidP="00F25EA5">
      <w:pPr>
        <w:rPr>
          <w:rFonts w:ascii="Calibri" w:hAnsi="Calibri"/>
          <w:szCs w:val="22"/>
          <w14:ligatures w14:val="standardContextual"/>
        </w:rPr>
      </w:pPr>
    </w:p>
    <w:tbl>
      <w:tblPr>
        <w:tblW w:w="5635" w:type="pct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843"/>
        <w:gridCol w:w="5670"/>
      </w:tblGrid>
      <w:tr w:rsidR="00F25EA5" w:rsidRPr="00F25EA5" w14:paraId="13862245" w14:textId="77777777" w:rsidTr="009C5132">
        <w:trPr>
          <w:trHeight w:val="495"/>
          <w:tblCellSpacing w:w="0" w:type="dxa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887F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b/>
                <w:bCs/>
                <w:szCs w:val="21"/>
                <w:lang w:eastAsia="zh-Hans"/>
                <w14:ligatures w14:val="standardContextual"/>
              </w:rPr>
              <w:t>账户结算管理服务</w:t>
            </w:r>
          </w:p>
        </w:tc>
      </w:tr>
      <w:tr w:rsidR="00F25EA5" w:rsidRPr="00F25EA5" w14:paraId="3DDFD9B1" w14:textId="77777777" w:rsidTr="009C5132">
        <w:trPr>
          <w:trHeight w:val="495"/>
          <w:tblCellSpacing w:w="0" w:type="dxa"/>
        </w:trPr>
        <w:tc>
          <w:tcPr>
            <w:tcW w:w="98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D6908" w14:textId="7C8DBCB1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b/>
                <w:bCs/>
                <w:szCs w:val="21"/>
              </w:rPr>
              <w:t>35.账户管理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1670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35.1账户创建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7D33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35.1.1支持从住院或门诊患者中，创建收款账户</w:t>
            </w:r>
          </w:p>
        </w:tc>
      </w:tr>
      <w:tr w:rsidR="00F25EA5" w:rsidRPr="00F25EA5" w14:paraId="7CE7988D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3A6C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1E99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35.2账户充值</w:t>
            </w:r>
            <w:bookmarkStart w:id="3" w:name="_GoBack"/>
            <w:bookmarkEnd w:id="3"/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937E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35.2.1支持线下充值方案（微信/支付宝/支付平台的二维码或条码支付）</w:t>
            </w:r>
          </w:p>
          <w:p w14:paraId="342A46A7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35.2.2支持线上充值方案（公众号/小程序/H5等）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br/>
              <w:t>35.2.3根据医院条件接入，院方申请商户号，并同意接入对应接口。</w:t>
            </w:r>
          </w:p>
          <w:p w14:paraId="54E55480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35.2.4支持医嘱开立后，自动弹出需要充款金额的充值界面。</w:t>
            </w:r>
          </w:p>
        </w:tc>
      </w:tr>
      <w:tr w:rsidR="00F25EA5" w:rsidRPr="00F25EA5" w14:paraId="47E46DC3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4232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646F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35.3账户退款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E23A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35.3.1充值账户原路退回。</w:t>
            </w:r>
          </w:p>
        </w:tc>
      </w:tr>
      <w:tr w:rsidR="00F25EA5" w:rsidRPr="00F25EA5" w14:paraId="2B8D8057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AF81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9D4A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35.4费用明细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E6EA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35.4.1能够查询指定患者的所有充款，退款，消费，退费的所有明细记录列表。并支持打印出院消费明细单。</w:t>
            </w:r>
          </w:p>
        </w:tc>
      </w:tr>
      <w:tr w:rsidR="00F25EA5" w:rsidRPr="00F25EA5" w14:paraId="10EA47B5" w14:textId="77777777" w:rsidTr="009C5132">
        <w:trPr>
          <w:trHeight w:val="495"/>
          <w:tblCellSpacing w:w="0" w:type="dxa"/>
        </w:trPr>
        <w:tc>
          <w:tcPr>
            <w:tcW w:w="98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6192" w14:textId="648CDAAB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b/>
                <w:bCs/>
                <w:szCs w:val="21"/>
              </w:rPr>
              <w:t>36.结算管理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0151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36.1多条消费记录合并结算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7431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36.1.1人工结算时，支持选择多条消费记录，进行合并结算。</w:t>
            </w:r>
          </w:p>
        </w:tc>
      </w:tr>
      <w:tr w:rsidR="00F25EA5" w:rsidRPr="00F25EA5" w14:paraId="4DBCBAF4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9E4F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EEFB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36.2处方单二维码结算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C217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36.2.1在打印处方单时，将结算二维码直接打印在处方单上，患者扫码就行结算（需要接口接入支持）</w:t>
            </w:r>
          </w:p>
        </w:tc>
      </w:tr>
      <w:tr w:rsidR="00F25EA5" w:rsidRPr="00F25EA5" w14:paraId="72C2B511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113C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0887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36.3公众号发送结算消息结算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32C2A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36.3.1通过公众号推送消息，患者收到支付消息，点击页面直接线上支付。</w:t>
            </w:r>
          </w:p>
          <w:p w14:paraId="38320A52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（需要接口接入支持）</w:t>
            </w:r>
          </w:p>
        </w:tc>
      </w:tr>
      <w:tr w:rsidR="00F25EA5" w:rsidRPr="00F25EA5" w14:paraId="00E7EB7C" w14:textId="77777777" w:rsidTr="009C5132">
        <w:trPr>
          <w:trHeight w:val="495"/>
          <w:tblCellSpacing w:w="0" w:type="dxa"/>
        </w:trPr>
        <w:tc>
          <w:tcPr>
            <w:tcW w:w="98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93FBE" w14:textId="19C0AC44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b/>
                <w:bCs/>
                <w:szCs w:val="21"/>
              </w:rPr>
              <w:t>37.日汇总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2B86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37.1日汇总查询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82CE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37.1.1按日进行汇总所有的支付汇总包括充值类支付，消费类支付，包括现金，余额，支付平台各种支付渠道的汇总。</w:t>
            </w:r>
          </w:p>
        </w:tc>
      </w:tr>
      <w:tr w:rsidR="00F25EA5" w:rsidRPr="00F25EA5" w14:paraId="19DC11BA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B4EF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1A34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37.2日汇总明细查询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18FA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37.2.1按日汇总中的具体数字进行明细确认和查询。</w:t>
            </w:r>
          </w:p>
        </w:tc>
      </w:tr>
      <w:tr w:rsidR="00F25EA5" w:rsidRPr="00F25EA5" w14:paraId="28192B65" w14:textId="77777777" w:rsidTr="009C5132">
        <w:trPr>
          <w:trHeight w:val="495"/>
          <w:tblCellSpacing w:w="0" w:type="dxa"/>
        </w:trPr>
        <w:tc>
          <w:tcPr>
            <w:tcW w:w="985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0DD6B" w14:textId="77777777" w:rsidR="00F25EA5" w:rsidRPr="00F25EA5" w:rsidRDefault="00F25EA5" w:rsidP="00F25EA5">
            <w:pPr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2B55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37.3自动日对账</w:t>
            </w:r>
          </w:p>
        </w:tc>
        <w:tc>
          <w:tcPr>
            <w:tcW w:w="3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576F" w14:textId="77777777" w:rsidR="00F25EA5" w:rsidRPr="00F25EA5" w:rsidRDefault="00F25EA5" w:rsidP="00F25EA5">
            <w:pPr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37.3.1自动进行相关支付平台接入的日明细对账。</w:t>
            </w:r>
          </w:p>
        </w:tc>
      </w:tr>
    </w:tbl>
    <w:p w14:paraId="06D0CA00" w14:textId="77777777" w:rsid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</w:p>
    <w:p w14:paraId="68A29502" w14:textId="4CF24F15" w:rsidR="00F25EA5" w:rsidRPr="00F25EA5" w:rsidRDefault="00F25EA5" w:rsidP="00F25EA5">
      <w:pPr>
        <w:widowControl/>
        <w:tabs>
          <w:tab w:val="left" w:pos="425"/>
        </w:tabs>
        <w:spacing w:line="360" w:lineRule="auto"/>
        <w:rPr>
          <w:rFonts w:ascii="宋体" w:hAnsi="宋体" w:cs="宋体"/>
          <w:sz w:val="24"/>
          <w14:ligatures w14:val="standardContextual"/>
        </w:rPr>
      </w:pPr>
      <w:r w:rsidRPr="00F25EA5">
        <w:rPr>
          <w:rFonts w:ascii="宋体" w:hAnsi="宋体" w:cs="宋体" w:hint="eastAsia"/>
          <w:sz w:val="24"/>
          <w14:ligatures w14:val="standardContextual"/>
        </w:rPr>
        <w:t>7）营养门诊服务</w:t>
      </w:r>
    </w:p>
    <w:tbl>
      <w:tblPr>
        <w:tblW w:w="5622" w:type="pct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94"/>
        <w:gridCol w:w="898"/>
        <w:gridCol w:w="1303"/>
        <w:gridCol w:w="5640"/>
      </w:tblGrid>
      <w:tr w:rsidR="00F25EA5" w:rsidRPr="00F25EA5" w14:paraId="49CD150D" w14:textId="77777777" w:rsidTr="009C5132">
        <w:trPr>
          <w:trHeight w:val="495"/>
          <w:tblCellSpacing w:w="0" w:type="dxa"/>
        </w:trPr>
        <w:tc>
          <w:tcPr>
            <w:tcW w:w="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6D54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服务名称</w:t>
            </w:r>
          </w:p>
        </w:tc>
        <w:tc>
          <w:tcPr>
            <w:tcW w:w="48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162B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菜单</w:t>
            </w: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439D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功能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CFA1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描述</w:t>
            </w:r>
          </w:p>
        </w:tc>
      </w:tr>
      <w:tr w:rsidR="00F25EA5" w:rsidRPr="00F25EA5" w14:paraId="05A671B3" w14:textId="77777777" w:rsidTr="009C5132">
        <w:trPr>
          <w:trHeight w:val="907"/>
          <w:tblCellSpacing w:w="0" w:type="dxa"/>
        </w:trPr>
        <w:tc>
          <w:tcPr>
            <w:tcW w:w="80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6B16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  <w:p w14:paraId="26F22341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b/>
                <w:bCs/>
                <w:szCs w:val="21"/>
              </w:rPr>
              <w:t>38.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门</w:t>
            </w:r>
          </w:p>
          <w:p w14:paraId="323F3C8C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诊</w:t>
            </w:r>
          </w:p>
          <w:p w14:paraId="3F0288B9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营</w:t>
            </w:r>
          </w:p>
          <w:p w14:paraId="5F43EE15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养</w:t>
            </w:r>
          </w:p>
          <w:p w14:paraId="4C118367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服</w:t>
            </w:r>
          </w:p>
          <w:p w14:paraId="56EAF636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务</w:t>
            </w:r>
          </w:p>
        </w:tc>
        <w:tc>
          <w:tcPr>
            <w:tcW w:w="481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4FC2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38.1当日门诊</w:t>
            </w: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8CA8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38.1.1获取当日门诊患者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F84D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从his获取当日营养科就诊的患者信息并展示在列表中；</w:t>
            </w:r>
          </w:p>
        </w:tc>
      </w:tr>
      <w:tr w:rsidR="00F25EA5" w:rsidRPr="00F25EA5" w14:paraId="24DEEC12" w14:textId="77777777" w:rsidTr="009C5132">
        <w:trPr>
          <w:trHeight w:val="495"/>
          <w:tblCellSpacing w:w="0" w:type="dxa"/>
        </w:trPr>
        <w:tc>
          <w:tcPr>
            <w:tcW w:w="800" w:type="pct"/>
            <w:vMerge/>
            <w:shd w:val="clear" w:color="auto" w:fill="FFFFFF"/>
            <w:vAlign w:val="center"/>
          </w:tcPr>
          <w:p w14:paraId="5D649DB1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481" w:type="pct"/>
            <w:vMerge/>
            <w:shd w:val="clear" w:color="auto" w:fill="FFFFFF"/>
            <w:vAlign w:val="center"/>
          </w:tcPr>
          <w:p w14:paraId="78027BF2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DB4B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:lang w:eastAsia="zh-Hans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38.1.2患者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信息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80C6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用于登记患者的基本信息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，查看过往诊疗记录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。</w:t>
            </w:r>
          </w:p>
        </w:tc>
      </w:tr>
      <w:tr w:rsidR="00F25EA5" w:rsidRPr="00F25EA5" w14:paraId="0330B8AB" w14:textId="77777777" w:rsidTr="009C5132">
        <w:trPr>
          <w:trHeight w:val="90"/>
          <w:tblCellSpacing w:w="0" w:type="dxa"/>
        </w:trPr>
        <w:tc>
          <w:tcPr>
            <w:tcW w:w="800" w:type="pct"/>
            <w:vMerge/>
            <w:shd w:val="clear" w:color="auto" w:fill="FFFFFF"/>
            <w:vAlign w:val="center"/>
          </w:tcPr>
          <w:p w14:paraId="1713349A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481" w:type="pct"/>
            <w:vMerge/>
            <w:shd w:val="clear" w:color="auto" w:fill="FFFFFF"/>
            <w:vAlign w:val="center"/>
          </w:tcPr>
          <w:p w14:paraId="56D5A50D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CAE6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:lang w:eastAsia="zh-Hans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38.1.3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门诊接诊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B7F7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:lang w:eastAsia="zh-Hans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提供营养门诊接诊模版，包含疾病记录、摄入评估、体格评估、筛评与评定和营养诊断评估模块，以及营养素推荐、营养处方、营养食谱、运动处方和营养宣教的方案模块。</w:t>
            </w:r>
          </w:p>
          <w:p w14:paraId="37F3537A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:lang w:eastAsia="zh-Hans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其中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疾病描述用于填写患者的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主诉、现病史等信息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；摄入评估中可以对患者的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生活习惯、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肠膳食摄入情况进行综合评估，并可以结合营养素推荐量进行对比，分析饮食结构的合理性；在体格评估中可以填写患者体格的测量数据；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筛查与评定量表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包含NRS2002和STAMP筛查以及SGA、PG-SGA、MNA、MNA-SF、MUST、PYMS、GLIM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、再喂养综合症 (RS) 风险评估、NUTRIC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等评定量表，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使用时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自动计算总分和得出结果；量表根据患者年龄自动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显示可以量表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。支持历史评定内容的查看和打印。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营养诊断可选择49中常见的营养相关疾病诊断符合医保DRG入并发症组的诊断。</w:t>
            </w:r>
          </w:p>
          <w:p w14:paraId="0CD63382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营养素推荐以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小工具的形式显示在制定治疗方案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前，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会根据患者的特点及一些数据结合HB公式、DRIs推荐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、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孕妇乳母公式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和适用老年人的公式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进行系统自动推荐。</w:t>
            </w:r>
          </w:p>
          <w:p w14:paraId="1082C0F2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:lang w:eastAsia="zh-Hans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营养处方中可以为患者制定特医方案，并自动计算每天的摄入营养素的量；运动处方用于为患者制定周运动方案；营养食谱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用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于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定制患者的营养食谱；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支持交换份或个性化食谱两种方式。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提供专业的食物库、菜谱库和食谱库等基础数据；支持多天的食谱定制；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制定时图文实时显示各食物的营养素值、营养素占比以及各餐占能比；可根据需要随意更换食谱、菜谱以及菜谱中的食物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。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营养宣教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可根据疾病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一键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添加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常用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宣教模版，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支持修改货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直接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创建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宣教内容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。</w:t>
            </w:r>
          </w:p>
        </w:tc>
      </w:tr>
      <w:tr w:rsidR="00F25EA5" w:rsidRPr="00F25EA5" w14:paraId="1D9D0452" w14:textId="77777777" w:rsidTr="009C5132">
        <w:trPr>
          <w:trHeight w:val="495"/>
          <w:tblCellSpacing w:w="0" w:type="dxa"/>
        </w:trPr>
        <w:tc>
          <w:tcPr>
            <w:tcW w:w="800" w:type="pct"/>
            <w:vMerge/>
            <w:shd w:val="clear" w:color="auto" w:fill="FFFFFF"/>
            <w:vAlign w:val="center"/>
          </w:tcPr>
          <w:p w14:paraId="7F2926CC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481" w:type="pct"/>
            <w:vMerge/>
            <w:shd w:val="clear" w:color="auto" w:fill="FFFFFF"/>
            <w:vAlign w:val="center"/>
          </w:tcPr>
          <w:p w14:paraId="68C26688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5B15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38.1.4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门诊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lastRenderedPageBreak/>
              <w:t>病历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E8C7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lastRenderedPageBreak/>
              <w:t>提交接诊记录后自动形成门诊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病历</w:t>
            </w:r>
            <w:r w:rsidRPr="00F25EA5">
              <w:rPr>
                <w:rFonts w:ascii="宋体" w:hAnsi="宋体" w:cs="宋体" w:hint="eastAsia"/>
                <w:szCs w:val="21"/>
                <w:lang w:eastAsia="zh-Hans"/>
                <w14:ligatures w14:val="standardContextual"/>
              </w:rPr>
              <w:t>，支持</w:t>
            </w: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打印。</w:t>
            </w:r>
          </w:p>
        </w:tc>
      </w:tr>
      <w:tr w:rsidR="00F25EA5" w:rsidRPr="00F25EA5" w14:paraId="32576446" w14:textId="77777777" w:rsidTr="009C5132">
        <w:trPr>
          <w:trHeight w:val="495"/>
          <w:tblCellSpacing w:w="0" w:type="dxa"/>
        </w:trPr>
        <w:tc>
          <w:tcPr>
            <w:tcW w:w="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7217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</w:p>
        </w:tc>
        <w:tc>
          <w:tcPr>
            <w:tcW w:w="48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ADF4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38.2历史门诊</w:t>
            </w: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3C10" w14:textId="77777777" w:rsidR="00F25EA5" w:rsidRPr="00F25EA5" w:rsidRDefault="00F25EA5" w:rsidP="00F25EA5">
            <w:pPr>
              <w:spacing w:line="360" w:lineRule="auto"/>
              <w:jc w:val="center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38.2.1汇总历史门诊患者</w:t>
            </w:r>
          </w:p>
        </w:tc>
        <w:tc>
          <w:tcPr>
            <w:tcW w:w="302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0428" w14:textId="77777777" w:rsidR="00F25EA5" w:rsidRPr="00F25EA5" w:rsidRDefault="00F25EA5" w:rsidP="00F25EA5">
            <w:pPr>
              <w:spacing w:line="360" w:lineRule="auto"/>
              <w:jc w:val="left"/>
              <w:rPr>
                <w:rFonts w:ascii="宋体" w:hAnsi="宋体" w:cs="宋体"/>
                <w:szCs w:val="21"/>
                <w14:ligatures w14:val="standardContextual"/>
              </w:rPr>
            </w:pPr>
            <w:r w:rsidRPr="00F25EA5">
              <w:rPr>
                <w:rFonts w:ascii="宋体" w:hAnsi="宋体" w:cs="宋体" w:hint="eastAsia"/>
                <w:szCs w:val="21"/>
                <w14:ligatures w14:val="standardContextual"/>
              </w:rPr>
              <w:t>显示历史营养科的就诊患者信息，可以查看门诊记录。</w:t>
            </w:r>
          </w:p>
        </w:tc>
      </w:tr>
    </w:tbl>
    <w:p w14:paraId="26C3F0C4" w14:textId="77777777" w:rsidR="00F25EA5" w:rsidRPr="00F25EA5" w:rsidRDefault="00F25EA5">
      <w:pPr>
        <w:autoSpaceDE w:val="0"/>
        <w:autoSpaceDN w:val="0"/>
        <w:spacing w:before="1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14:paraId="2EA75F5F" w14:textId="77777777" w:rsidR="0069462A" w:rsidRDefault="00113D57">
      <w:pPr>
        <w:autoSpaceDE w:val="0"/>
        <w:autoSpaceDN w:val="0"/>
        <w:spacing w:before="1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注</w:t>
      </w:r>
      <w:r>
        <w:rPr>
          <w:rFonts w:ascii="仿宋_GB2312" w:eastAsia="仿宋_GB2312" w:hAnsi="宋体" w:cs="宋体"/>
          <w:b/>
          <w:kern w:val="0"/>
          <w:sz w:val="24"/>
        </w:rPr>
        <w:t>：</w:t>
      </w:r>
      <w:r>
        <w:rPr>
          <w:rFonts w:ascii="仿宋_GB2312" w:eastAsia="仿宋_GB2312" w:hAnsi="宋体" w:cs="宋体" w:hint="eastAsia"/>
          <w:b/>
          <w:kern w:val="0"/>
          <w:sz w:val="24"/>
        </w:rPr>
        <w:t>本系统</w:t>
      </w:r>
      <w:r>
        <w:rPr>
          <w:rFonts w:ascii="仿宋_GB2312" w:eastAsia="仿宋_GB2312" w:hAnsi="宋体" w:cs="宋体"/>
          <w:b/>
          <w:kern w:val="0"/>
          <w:sz w:val="24"/>
        </w:rPr>
        <w:t>需</w:t>
      </w:r>
      <w:r>
        <w:rPr>
          <w:rFonts w:ascii="仿宋_GB2312" w:eastAsia="仿宋_GB2312" w:hAnsi="宋体" w:cs="宋体" w:hint="eastAsia"/>
          <w:b/>
          <w:kern w:val="0"/>
          <w:sz w:val="24"/>
        </w:rPr>
        <w:t>满足医院信创要求</w:t>
      </w:r>
    </w:p>
    <w:p w14:paraId="5D7C399E" w14:textId="77777777" w:rsidR="0069462A" w:rsidRDefault="00113D57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系统部署须满足医院的信创要求，支持基于国产操作系统部署，支持金仓、达梦、openGauss等国产数据库。</w:t>
      </w:r>
    </w:p>
    <w:p w14:paraId="230F717D" w14:textId="77777777" w:rsidR="0069462A" w:rsidRDefault="0069462A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DF77324" w14:textId="77777777" w:rsidR="0069462A" w:rsidRDefault="00113D57">
      <w:pPr>
        <w:spacing w:line="36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三</w:t>
      </w:r>
      <w:r>
        <w:rPr>
          <w:rFonts w:ascii="仿宋" w:eastAsia="仿宋" w:hAnsi="仿宋" w:cstheme="majorBidi"/>
          <w:b/>
          <w:bCs/>
          <w:sz w:val="32"/>
          <w:szCs w:val="32"/>
        </w:rPr>
        <w:t>、项目预算</w:t>
      </w:r>
    </w:p>
    <w:p w14:paraId="0E423174" w14:textId="63A08995" w:rsidR="0069462A" w:rsidRDefault="00113D57">
      <w:pPr>
        <w:spacing w:line="420" w:lineRule="exact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</w:t>
      </w:r>
      <w:r w:rsidR="00543BC1">
        <w:rPr>
          <w:rFonts w:ascii="仿宋" w:eastAsia="仿宋" w:hAnsi="仿宋" w:cs="仿宋"/>
          <w:sz w:val="28"/>
          <w:szCs w:val="36"/>
        </w:rPr>
        <w:t>0</w:t>
      </w:r>
      <w:r>
        <w:rPr>
          <w:rFonts w:ascii="仿宋" w:eastAsia="仿宋" w:hAnsi="仿宋" w:cs="仿宋" w:hint="eastAsia"/>
          <w:sz w:val="28"/>
          <w:szCs w:val="36"/>
        </w:rPr>
        <w:t>万元</w:t>
      </w:r>
    </w:p>
    <w:sectPr w:rsidR="0069462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82FE" w14:textId="77777777" w:rsidR="00822EB1" w:rsidRDefault="00822EB1" w:rsidP="00B91A9F">
      <w:r>
        <w:separator/>
      </w:r>
    </w:p>
  </w:endnote>
  <w:endnote w:type="continuationSeparator" w:id="0">
    <w:p w14:paraId="004211AB" w14:textId="77777777" w:rsidR="00822EB1" w:rsidRDefault="00822EB1" w:rsidP="00B9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A023" w14:textId="77777777" w:rsidR="00822EB1" w:rsidRDefault="00822EB1" w:rsidP="00B91A9F">
      <w:r>
        <w:separator/>
      </w:r>
    </w:p>
  </w:footnote>
  <w:footnote w:type="continuationSeparator" w:id="0">
    <w:p w14:paraId="15053C92" w14:textId="77777777" w:rsidR="00822EB1" w:rsidRDefault="00822EB1" w:rsidP="00B9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0E95"/>
    <w:rsid w:val="00044F6E"/>
    <w:rsid w:val="000849B0"/>
    <w:rsid w:val="000B56BE"/>
    <w:rsid w:val="000C3C25"/>
    <w:rsid w:val="000C4BC4"/>
    <w:rsid w:val="0010000C"/>
    <w:rsid w:val="00113D57"/>
    <w:rsid w:val="00140DDE"/>
    <w:rsid w:val="00141DE8"/>
    <w:rsid w:val="00177FD6"/>
    <w:rsid w:val="001A5B88"/>
    <w:rsid w:val="00262B1D"/>
    <w:rsid w:val="002D21F1"/>
    <w:rsid w:val="0030053C"/>
    <w:rsid w:val="0030192D"/>
    <w:rsid w:val="003104CF"/>
    <w:rsid w:val="003147AC"/>
    <w:rsid w:val="003563DA"/>
    <w:rsid w:val="003735B5"/>
    <w:rsid w:val="0039700D"/>
    <w:rsid w:val="00406885"/>
    <w:rsid w:val="004116AD"/>
    <w:rsid w:val="00452349"/>
    <w:rsid w:val="004E2AE8"/>
    <w:rsid w:val="004F7C5F"/>
    <w:rsid w:val="00504E1D"/>
    <w:rsid w:val="00513F36"/>
    <w:rsid w:val="005305EE"/>
    <w:rsid w:val="00541772"/>
    <w:rsid w:val="00543BC1"/>
    <w:rsid w:val="00571900"/>
    <w:rsid w:val="00594140"/>
    <w:rsid w:val="005A0DBB"/>
    <w:rsid w:val="005A2858"/>
    <w:rsid w:val="005C19FF"/>
    <w:rsid w:val="005C36AA"/>
    <w:rsid w:val="005D2A66"/>
    <w:rsid w:val="005E1C33"/>
    <w:rsid w:val="005F7740"/>
    <w:rsid w:val="006378AA"/>
    <w:rsid w:val="00667E66"/>
    <w:rsid w:val="0068018B"/>
    <w:rsid w:val="0069462A"/>
    <w:rsid w:val="00695D5D"/>
    <w:rsid w:val="006B0941"/>
    <w:rsid w:val="00732ABA"/>
    <w:rsid w:val="00741406"/>
    <w:rsid w:val="00762515"/>
    <w:rsid w:val="007B2064"/>
    <w:rsid w:val="007C0FA0"/>
    <w:rsid w:val="007C6A04"/>
    <w:rsid w:val="007D6AC4"/>
    <w:rsid w:val="00804B7A"/>
    <w:rsid w:val="00815134"/>
    <w:rsid w:val="00822EB1"/>
    <w:rsid w:val="00824667"/>
    <w:rsid w:val="00847D82"/>
    <w:rsid w:val="008515C5"/>
    <w:rsid w:val="00876E97"/>
    <w:rsid w:val="008A64BD"/>
    <w:rsid w:val="008D6DC0"/>
    <w:rsid w:val="008E60B7"/>
    <w:rsid w:val="0091275C"/>
    <w:rsid w:val="00913836"/>
    <w:rsid w:val="00943B26"/>
    <w:rsid w:val="0098309E"/>
    <w:rsid w:val="009863E6"/>
    <w:rsid w:val="00997F17"/>
    <w:rsid w:val="009C5132"/>
    <w:rsid w:val="009D6DEF"/>
    <w:rsid w:val="009F04FE"/>
    <w:rsid w:val="00A535AE"/>
    <w:rsid w:val="00A75582"/>
    <w:rsid w:val="00AB5C19"/>
    <w:rsid w:val="00B10F78"/>
    <w:rsid w:val="00B5089D"/>
    <w:rsid w:val="00B91A9F"/>
    <w:rsid w:val="00BF507C"/>
    <w:rsid w:val="00C31ED2"/>
    <w:rsid w:val="00C466A4"/>
    <w:rsid w:val="00C62E2B"/>
    <w:rsid w:val="00C70213"/>
    <w:rsid w:val="00C80664"/>
    <w:rsid w:val="00CB185B"/>
    <w:rsid w:val="00CE2FEA"/>
    <w:rsid w:val="00D5048D"/>
    <w:rsid w:val="00D81330"/>
    <w:rsid w:val="00D82309"/>
    <w:rsid w:val="00DB2A51"/>
    <w:rsid w:val="00E212EC"/>
    <w:rsid w:val="00E83C8C"/>
    <w:rsid w:val="00EA4927"/>
    <w:rsid w:val="00EE5FC4"/>
    <w:rsid w:val="00F02EB0"/>
    <w:rsid w:val="00F155FE"/>
    <w:rsid w:val="00F25EA5"/>
    <w:rsid w:val="00F52DE9"/>
    <w:rsid w:val="00F604DE"/>
    <w:rsid w:val="00F62F83"/>
    <w:rsid w:val="00F94AA0"/>
    <w:rsid w:val="0E5B2E41"/>
    <w:rsid w:val="3A2F2768"/>
    <w:rsid w:val="49C30830"/>
    <w:rsid w:val="50CC030A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DFFDF"/>
  <w15:docId w15:val="{C1AE9DE3-ECD0-498E-BFD9-8983821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楷体_GB2312" w:eastAsia="楷体_GB2312" w:hAnsi="Arial" w:cs="楷体_GB2312"/>
      <w:kern w:val="0"/>
      <w:sz w:val="28"/>
      <w:szCs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出段落 字符"/>
    <w:link w:val="ab"/>
    <w:uiPriority w:val="34"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rPr>
      <w:rFonts w:ascii="楷体_GB2312" w:eastAsia="楷体_GB2312" w:hAnsi="Arial" w:cs="楷体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1221</Words>
  <Characters>6963</Characters>
  <Application>Microsoft Office Word</Application>
  <DocSecurity>0</DocSecurity>
  <Lines>58</Lines>
  <Paragraphs>16</Paragraphs>
  <ScaleCrop>false</ScaleCrop>
  <Company>Microsoft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48</cp:revision>
  <dcterms:created xsi:type="dcterms:W3CDTF">2023-03-10T03:18:00Z</dcterms:created>
  <dcterms:modified xsi:type="dcterms:W3CDTF">2025-04-25T01:12:00Z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FAB29355848D42B78CB36D4C0D511878</vt:lpwstr>
  </property>
  <property fmtid="{D5CDD505-2E9C-101B-9397-08002B2CF9AE}" pid="4" name="KSOTemplateDocerSaveRecord">
    <vt:lpwstr>eyJoZGlkIjoiMmQ5NTJhZWEwNGIzMTQzNzU5YjlmMzJjOWNmMzU3ZWQiLCJ1c2VySWQiOiI2NjgyMjg3NjUifQ==</vt:lpwstr>
  </property>
</Properties>
</file>