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FD073">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color w:val="auto"/>
          <w:sz w:val="44"/>
          <w:szCs w:val="44"/>
          <w:highlight w:val="none"/>
        </w:rPr>
      </w:pPr>
    </w:p>
    <w:p w14:paraId="18194507">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color w:val="auto"/>
          <w:sz w:val="44"/>
          <w:szCs w:val="44"/>
          <w:highlight w:val="none"/>
        </w:rPr>
      </w:pPr>
      <w:r>
        <w:rPr>
          <w:rFonts w:ascii="Times New Roman" w:hAnsi="Times New Roman" w:eastAsia="宋体"/>
          <w:color w:val="auto"/>
          <w:sz w:val="44"/>
          <w:szCs w:val="44"/>
          <w:highlight w:val="none"/>
        </w:rPr>
        <w:tab/>
      </w:r>
    </w:p>
    <w:p w14:paraId="438A055C">
      <w:pPr>
        <w:pStyle w:val="57"/>
        <w:keepNext w:val="0"/>
        <w:keepLines w:val="0"/>
        <w:pageBreakBefore w:val="0"/>
        <w:widowControl w:val="0"/>
        <w:kinsoku/>
        <w:wordWrap/>
        <w:topLinePunct w:val="0"/>
        <w:autoSpaceDE/>
        <w:autoSpaceDN/>
        <w:bidi w:val="0"/>
        <w:spacing w:before="0" w:after="0" w:line="360" w:lineRule="auto"/>
        <w:ind w:firstLine="0"/>
        <w:rPr>
          <w:rFonts w:hint="eastAsia" w:ascii="Times New Roman" w:hAnsi="Times New Roman" w:eastAsia="宋体"/>
          <w:b/>
          <w:color w:val="auto"/>
          <w:sz w:val="56"/>
          <w:szCs w:val="56"/>
          <w:highlight w:val="none"/>
          <w:lang w:eastAsia="zh-CN"/>
        </w:rPr>
      </w:pPr>
      <w:r>
        <w:rPr>
          <w:rFonts w:hint="eastAsia" w:ascii="Times New Roman" w:hAnsi="Times New Roman" w:eastAsia="宋体"/>
          <w:b/>
          <w:color w:val="auto"/>
          <w:sz w:val="56"/>
          <w:szCs w:val="56"/>
          <w:highlight w:val="none"/>
          <w:lang w:eastAsia="zh-CN"/>
        </w:rPr>
        <w:t>南通市第三人民医院软件正版化</w:t>
      </w:r>
    </w:p>
    <w:p w14:paraId="256A3111">
      <w:pPr>
        <w:pStyle w:val="57"/>
        <w:keepNext w:val="0"/>
        <w:keepLines w:val="0"/>
        <w:pageBreakBefore w:val="0"/>
        <w:widowControl w:val="0"/>
        <w:kinsoku/>
        <w:wordWrap/>
        <w:topLinePunct w:val="0"/>
        <w:autoSpaceDE/>
        <w:autoSpaceDN/>
        <w:bidi w:val="0"/>
        <w:spacing w:before="0" w:after="0" w:line="360" w:lineRule="auto"/>
        <w:ind w:firstLine="0"/>
        <w:rPr>
          <w:rFonts w:hint="default" w:ascii="Times New Roman" w:hAnsi="Times New Roman" w:eastAsia="宋体"/>
          <w:b/>
          <w:color w:val="auto"/>
          <w:sz w:val="56"/>
          <w:szCs w:val="56"/>
          <w:highlight w:val="none"/>
          <w:lang w:val="en-US" w:eastAsia="zh-CN"/>
        </w:rPr>
      </w:pPr>
      <w:r>
        <w:rPr>
          <w:rFonts w:hint="eastAsia" w:ascii="Times New Roman" w:hAnsi="Times New Roman" w:eastAsia="宋体"/>
          <w:b/>
          <w:color w:val="auto"/>
          <w:sz w:val="56"/>
          <w:szCs w:val="56"/>
          <w:highlight w:val="none"/>
          <w:lang w:eastAsia="zh-CN"/>
        </w:rPr>
        <w:t>项目（第二次）</w:t>
      </w:r>
    </w:p>
    <w:p w14:paraId="3B9B7B9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p>
    <w:p w14:paraId="05910CD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56"/>
          <w:szCs w:val="56"/>
          <w:highlight w:val="none"/>
        </w:rPr>
      </w:pPr>
    </w:p>
    <w:p w14:paraId="487FB2F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56"/>
          <w:szCs w:val="56"/>
          <w:highlight w:val="none"/>
        </w:rPr>
      </w:pPr>
    </w:p>
    <w:p w14:paraId="05DDC48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p>
    <w:p w14:paraId="627049D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r>
        <w:rPr>
          <w:rFonts w:ascii="Times New Roman" w:hAnsi="Times New Roman" w:eastAsia="宋体"/>
          <w:b/>
          <w:color w:val="auto"/>
          <w:sz w:val="72"/>
          <w:szCs w:val="56"/>
          <w:highlight w:val="none"/>
        </w:rPr>
        <w:t>竞争性磋商文件</w:t>
      </w:r>
    </w:p>
    <w:p w14:paraId="6A1AA93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44"/>
          <w:szCs w:val="44"/>
          <w:highlight w:val="none"/>
        </w:rPr>
      </w:pPr>
      <w:r>
        <w:rPr>
          <w:rFonts w:hint="eastAsia" w:ascii="Times New Roman" w:hAnsi="Times New Roman" w:eastAsia="宋体"/>
          <w:b/>
          <w:color w:val="auto"/>
          <w:sz w:val="44"/>
          <w:szCs w:val="44"/>
          <w:highlight w:val="none"/>
        </w:rPr>
        <w:t>（资格后审）</w:t>
      </w:r>
    </w:p>
    <w:p w14:paraId="2496116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43AF1A5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598111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36"/>
          <w:highlight w:val="none"/>
        </w:rPr>
      </w:pPr>
    </w:p>
    <w:p w14:paraId="4B1DF84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55E9D7B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color w:val="auto"/>
          <w:sz w:val="30"/>
          <w:szCs w:val="30"/>
          <w:highlight w:val="none"/>
        </w:rPr>
      </w:pPr>
    </w:p>
    <w:p w14:paraId="1724E4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color w:val="auto"/>
          <w:sz w:val="30"/>
          <w:szCs w:val="30"/>
          <w:highlight w:val="none"/>
        </w:rPr>
      </w:pPr>
      <w:r>
        <w:rPr>
          <w:rFonts w:hint="eastAsia" w:ascii="Times New Roman" w:hAnsi="Times New Roman" w:eastAsia="宋体" w:cs="宋体"/>
          <w:b/>
          <w:color w:val="auto"/>
          <w:sz w:val="30"/>
          <w:szCs w:val="30"/>
          <w:highlight w:val="none"/>
        </w:rPr>
        <w:t>采购单位：南通市第三人民医院</w:t>
      </w:r>
    </w:p>
    <w:p w14:paraId="60B36CCE">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color w:val="auto"/>
          <w:sz w:val="30"/>
          <w:szCs w:val="30"/>
          <w:highlight w:val="none"/>
        </w:rPr>
      </w:pPr>
      <w:r>
        <w:rPr>
          <w:rFonts w:hint="eastAsia" w:ascii="Times New Roman" w:hAnsi="Times New Roman" w:eastAsia="宋体" w:cs="宋体"/>
          <w:b/>
          <w:color w:val="auto"/>
          <w:sz w:val="30"/>
          <w:szCs w:val="30"/>
          <w:highlight w:val="none"/>
        </w:rPr>
        <w:t>代理机构：宏信天德工程顾问有限公司</w:t>
      </w:r>
    </w:p>
    <w:p w14:paraId="689D664C">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color w:val="auto"/>
          <w:sz w:val="30"/>
          <w:szCs w:val="30"/>
          <w:highlight w:val="none"/>
          <w:lang w:eastAsia="zh-CN"/>
        </w:rPr>
      </w:pPr>
      <w:r>
        <w:rPr>
          <w:rFonts w:hint="eastAsia" w:ascii="Times New Roman" w:hAnsi="Times New Roman" w:eastAsia="宋体" w:cs="宋体"/>
          <w:b/>
          <w:color w:val="auto"/>
          <w:sz w:val="30"/>
          <w:szCs w:val="30"/>
          <w:highlight w:val="none"/>
        </w:rPr>
        <w:t>二○二</w:t>
      </w:r>
      <w:r>
        <w:rPr>
          <w:rFonts w:hint="eastAsia" w:ascii="Times New Roman" w:hAnsi="Times New Roman" w:eastAsia="宋体" w:cs="宋体"/>
          <w:b/>
          <w:color w:val="auto"/>
          <w:sz w:val="30"/>
          <w:szCs w:val="30"/>
          <w:highlight w:val="none"/>
          <w:lang w:eastAsia="zh-CN"/>
        </w:rPr>
        <w:t>四</w:t>
      </w:r>
      <w:r>
        <w:rPr>
          <w:rFonts w:hint="eastAsia" w:ascii="Times New Roman" w:hAnsi="Times New Roman" w:eastAsia="宋体" w:cs="宋体"/>
          <w:b/>
          <w:color w:val="auto"/>
          <w:sz w:val="30"/>
          <w:szCs w:val="30"/>
          <w:highlight w:val="none"/>
        </w:rPr>
        <w:t>年</w:t>
      </w:r>
      <w:r>
        <w:rPr>
          <w:rFonts w:hint="eastAsia" w:ascii="Times New Roman" w:hAnsi="Times New Roman" w:eastAsia="宋体" w:cs="宋体"/>
          <w:b/>
          <w:color w:val="auto"/>
          <w:sz w:val="30"/>
          <w:szCs w:val="30"/>
          <w:highlight w:val="none"/>
          <w:lang w:eastAsia="zh-CN"/>
        </w:rPr>
        <w:t>十二月</w:t>
      </w:r>
    </w:p>
    <w:p w14:paraId="716420A6">
      <w:pPr>
        <w:keepNext w:val="0"/>
        <w:keepLines w:val="0"/>
        <w:pageBreakBefore w:val="0"/>
        <w:widowControl w:val="0"/>
        <w:kinsoku/>
        <w:wordWrap/>
        <w:topLinePunct w:val="0"/>
        <w:autoSpaceDE/>
        <w:autoSpaceDN/>
        <w:bidi w:val="0"/>
        <w:spacing w:line="360" w:lineRule="auto"/>
        <w:rPr>
          <w:rFonts w:hint="eastAsia" w:ascii="Times New Roman" w:hAnsi="Times New Roman" w:eastAsia="宋体" w:cs="仿宋"/>
          <w:b/>
          <w:color w:val="auto"/>
          <w:sz w:val="32"/>
          <w:szCs w:val="32"/>
          <w:highlight w:val="none"/>
          <w:lang w:eastAsia="zh-CN"/>
        </w:rPr>
      </w:pPr>
      <w:r>
        <w:rPr>
          <w:rFonts w:hint="eastAsia" w:ascii="Times New Roman" w:hAnsi="Times New Roman" w:eastAsia="宋体" w:cs="仿宋"/>
          <w:b/>
          <w:color w:val="auto"/>
          <w:sz w:val="32"/>
          <w:szCs w:val="32"/>
          <w:highlight w:val="none"/>
          <w:lang w:eastAsia="zh-CN"/>
        </w:rPr>
        <w:br w:type="page"/>
      </w:r>
    </w:p>
    <w:p w14:paraId="5172A593">
      <w:pPr>
        <w:pStyle w:val="9"/>
        <w:keepNext w:val="0"/>
        <w:keepLines w:val="0"/>
        <w:pageBreakBefore w:val="0"/>
        <w:widowControl w:val="0"/>
        <w:kinsoku/>
        <w:wordWrap/>
        <w:topLinePunct w:val="0"/>
        <w:autoSpaceDE/>
        <w:autoSpaceDN/>
        <w:bidi w:val="0"/>
        <w:spacing w:line="360" w:lineRule="auto"/>
        <w:rPr>
          <w:rFonts w:hint="eastAsia" w:ascii="Times New Roman" w:hAnsi="Times New Roman" w:eastAsia="宋体"/>
          <w:color w:val="auto"/>
          <w:highlight w:val="none"/>
        </w:rPr>
      </w:pPr>
    </w:p>
    <w:p w14:paraId="2AED9958">
      <w:pPr>
        <w:keepNext w:val="0"/>
        <w:keepLines w:val="0"/>
        <w:pageBreakBefore w:val="0"/>
        <w:widowControl w:val="0"/>
        <w:kinsoku/>
        <w:wordWrap/>
        <w:topLinePunct w:val="0"/>
        <w:autoSpaceDE/>
        <w:autoSpaceDN/>
        <w:bidi w:val="0"/>
        <w:adjustRightInd w:val="0"/>
        <w:snapToGrid w:val="0"/>
        <w:spacing w:line="360" w:lineRule="auto"/>
        <w:jc w:val="center"/>
        <w:rPr>
          <w:rFonts w:ascii="Times New Roman" w:hAnsi="Times New Roman" w:eastAsia="宋体"/>
          <w:b/>
          <w:color w:val="auto"/>
          <w:sz w:val="30"/>
          <w:szCs w:val="30"/>
          <w:highlight w:val="none"/>
        </w:rPr>
      </w:pPr>
      <w:r>
        <w:rPr>
          <w:rFonts w:hint="eastAsia" w:ascii="Times New Roman" w:hAnsi="Times New Roman" w:eastAsia="宋体"/>
          <w:b/>
          <w:color w:val="auto"/>
          <w:sz w:val="44"/>
          <w:szCs w:val="44"/>
          <w:highlight w:val="none"/>
        </w:rPr>
        <w:t>目  录</w:t>
      </w:r>
    </w:p>
    <w:p w14:paraId="45A64792">
      <w:pPr>
        <w:pStyle w:val="7"/>
        <w:keepNext w:val="0"/>
        <w:keepLines w:val="0"/>
        <w:pageBreakBefore w:val="0"/>
        <w:widowControl w:val="0"/>
        <w:kinsoku/>
        <w:wordWrap/>
        <w:overflowPunct w:val="0"/>
        <w:topLinePunct w:val="0"/>
        <w:autoSpaceDE/>
        <w:autoSpaceDN/>
        <w:bidi w:val="0"/>
        <w:spacing w:line="360" w:lineRule="auto"/>
        <w:ind w:firstLine="0"/>
        <w:jc w:val="center"/>
        <w:rPr>
          <w:rFonts w:ascii="Times New Roman" w:hAnsi="Times New Roman" w:eastAsia="宋体"/>
          <w:color w:val="auto"/>
          <w:sz w:val="30"/>
          <w:highlight w:val="none"/>
        </w:rPr>
      </w:pPr>
    </w:p>
    <w:p w14:paraId="590627D2">
      <w:pPr>
        <w:pStyle w:val="20"/>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b/>
          <w:bCs/>
          <w:color w:val="auto"/>
          <w:sz w:val="36"/>
          <w:szCs w:val="36"/>
          <w:highlight w:val="none"/>
        </w:rPr>
        <w:fldChar w:fldCharType="begin"/>
      </w:r>
      <w:r>
        <w:rPr>
          <w:rFonts w:ascii="Times New Roman" w:hAnsi="Times New Roman" w:eastAsia="宋体"/>
          <w:b/>
          <w:bCs/>
          <w:color w:val="auto"/>
          <w:sz w:val="36"/>
          <w:szCs w:val="36"/>
          <w:highlight w:val="none"/>
        </w:rPr>
        <w:instrText xml:space="preserve"> TOC \o "1-1"</w:instrText>
      </w:r>
      <w:r>
        <w:rPr>
          <w:rFonts w:ascii="Times New Roman" w:hAnsi="Times New Roman" w:eastAsia="宋体"/>
          <w:b/>
          <w:bCs/>
          <w:color w:val="auto"/>
          <w:sz w:val="36"/>
          <w:szCs w:val="36"/>
          <w:highlight w:val="none"/>
        </w:rPr>
        <w:fldChar w:fldCharType="separate"/>
      </w:r>
      <w:r>
        <w:rPr>
          <w:rFonts w:ascii="Times New Roman" w:hAnsi="Times New Roman" w:eastAsia="宋体"/>
          <w:color w:val="auto"/>
          <w:sz w:val="32"/>
          <w:szCs w:val="32"/>
          <w:highlight w:val="none"/>
        </w:rPr>
        <w:t xml:space="preserve">第一章 </w:t>
      </w:r>
      <w:r>
        <w:rPr>
          <w:rFonts w:hint="eastAsia" w:ascii="Times New Roman" w:hAnsi="Times New Roman" w:eastAsia="宋体"/>
          <w:color w:val="auto"/>
          <w:sz w:val="32"/>
          <w:szCs w:val="32"/>
          <w:highlight w:val="none"/>
        </w:rPr>
        <w:t>竞争性磋商公告</w:t>
      </w:r>
    </w:p>
    <w:p w14:paraId="5D64F6C0">
      <w:pPr>
        <w:pStyle w:val="20"/>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第二章 投标</w:t>
      </w:r>
      <w:r>
        <w:rPr>
          <w:rFonts w:hint="eastAsia" w:ascii="Times New Roman" w:hAnsi="Times New Roman" w:eastAsia="宋体"/>
          <w:color w:val="auto"/>
          <w:sz w:val="32"/>
          <w:szCs w:val="32"/>
          <w:highlight w:val="none"/>
        </w:rPr>
        <w:t>供应商</w:t>
      </w:r>
      <w:r>
        <w:rPr>
          <w:rFonts w:ascii="Times New Roman" w:hAnsi="Times New Roman" w:eastAsia="宋体"/>
          <w:color w:val="auto"/>
          <w:sz w:val="32"/>
          <w:szCs w:val="32"/>
          <w:highlight w:val="none"/>
        </w:rPr>
        <w:t>须知</w:t>
      </w:r>
    </w:p>
    <w:p w14:paraId="114A1FAA">
      <w:pPr>
        <w:pStyle w:val="20"/>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第三章 项目需求</w:t>
      </w:r>
    </w:p>
    <w:p w14:paraId="2BC05041">
      <w:pPr>
        <w:pStyle w:val="20"/>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四</w:t>
      </w:r>
      <w:r>
        <w:rPr>
          <w:rFonts w:ascii="Times New Roman" w:hAnsi="Times New Roman" w:eastAsia="宋体"/>
          <w:color w:val="auto"/>
          <w:sz w:val="32"/>
          <w:szCs w:val="32"/>
          <w:highlight w:val="none"/>
        </w:rPr>
        <w:t xml:space="preserve">章 </w:t>
      </w:r>
      <w:r>
        <w:rPr>
          <w:rFonts w:hint="eastAsia" w:ascii="Times New Roman" w:hAnsi="Times New Roman" w:eastAsia="宋体"/>
          <w:color w:val="auto"/>
          <w:sz w:val="32"/>
          <w:szCs w:val="32"/>
          <w:highlight w:val="none"/>
        </w:rPr>
        <w:t>评审方法和程序</w:t>
      </w:r>
    </w:p>
    <w:p w14:paraId="451A8294">
      <w:pPr>
        <w:pStyle w:val="20"/>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hint="eastAsia" w:ascii="Times New Roman" w:hAnsi="Times New Roman" w:eastAsia="宋体"/>
          <w:color w:val="auto"/>
          <w:sz w:val="32"/>
          <w:szCs w:val="32"/>
          <w:highlight w:val="none"/>
        </w:rPr>
        <w:t>第五章 合同授予</w:t>
      </w:r>
    </w:p>
    <w:p w14:paraId="6AD71410">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六</w:t>
      </w:r>
      <w:r>
        <w:rPr>
          <w:rFonts w:ascii="Times New Roman" w:hAnsi="Times New Roman" w:eastAsia="宋体"/>
          <w:color w:val="auto"/>
          <w:sz w:val="32"/>
          <w:szCs w:val="32"/>
          <w:highlight w:val="none"/>
        </w:rPr>
        <w:t>章</w:t>
      </w:r>
      <w:r>
        <w:rPr>
          <w:rFonts w:hint="eastAsia" w:ascii="Times New Roman" w:hAnsi="Times New Roman" w:eastAsia="宋体"/>
          <w:color w:val="auto"/>
          <w:sz w:val="32"/>
          <w:szCs w:val="32"/>
          <w:highlight w:val="none"/>
        </w:rPr>
        <w:t xml:space="preserve"> 质疑提出和处理</w:t>
      </w:r>
    </w:p>
    <w:p w14:paraId="07FF2F6F">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sz w:val="36"/>
          <w:szCs w:val="36"/>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七</w:t>
      </w:r>
      <w:r>
        <w:rPr>
          <w:rFonts w:ascii="Times New Roman" w:hAnsi="Times New Roman" w:eastAsia="宋体"/>
          <w:color w:val="auto"/>
          <w:sz w:val="32"/>
          <w:szCs w:val="32"/>
          <w:highlight w:val="none"/>
        </w:rPr>
        <w:t>章</w:t>
      </w:r>
      <w:r>
        <w:rPr>
          <w:rFonts w:hint="eastAsia" w:ascii="Times New Roman" w:hAnsi="Times New Roman" w:eastAsia="宋体"/>
          <w:color w:val="auto"/>
          <w:sz w:val="32"/>
          <w:szCs w:val="32"/>
          <w:highlight w:val="none"/>
        </w:rPr>
        <w:t xml:space="preserve"> 响应文件组成及格式</w:t>
      </w:r>
    </w:p>
    <w:p w14:paraId="69EB694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bCs/>
          <w:color w:val="auto"/>
          <w:sz w:val="36"/>
          <w:szCs w:val="36"/>
          <w:highlight w:val="none"/>
        </w:rPr>
      </w:pPr>
      <w:r>
        <w:rPr>
          <w:rFonts w:ascii="Times New Roman" w:hAnsi="Times New Roman" w:eastAsia="宋体"/>
          <w:b/>
          <w:bCs/>
          <w:color w:val="auto"/>
          <w:sz w:val="36"/>
          <w:szCs w:val="36"/>
          <w:highlight w:val="none"/>
        </w:rPr>
        <w:fldChar w:fldCharType="end"/>
      </w:r>
    </w:p>
    <w:p w14:paraId="1B0AB7D1">
      <w:pPr>
        <w:pStyle w:val="25"/>
        <w:keepNext w:val="0"/>
        <w:keepLines w:val="0"/>
        <w:pageBreakBefore w:val="0"/>
        <w:widowControl w:val="0"/>
        <w:kinsoku/>
        <w:wordWrap/>
        <w:topLinePunct w:val="0"/>
        <w:autoSpaceDE/>
        <w:autoSpaceDN/>
        <w:bidi w:val="0"/>
        <w:spacing w:after="0" w:line="360" w:lineRule="auto"/>
        <w:rPr>
          <w:rFonts w:ascii="Times New Roman" w:hAnsi="Times New Roman" w:eastAsia="宋体" w:cs="宋体"/>
          <w:b/>
          <w:color w:val="auto"/>
          <w:sz w:val="24"/>
          <w:szCs w:val="24"/>
          <w:highlight w:val="none"/>
        </w:rPr>
      </w:pPr>
      <w:r>
        <w:rPr>
          <w:rFonts w:ascii="Times New Roman" w:hAnsi="Times New Roman" w:eastAsia="宋体"/>
          <w:color w:val="auto"/>
          <w:highlight w:val="none"/>
        </w:rPr>
        <w:br w:type="page"/>
      </w:r>
    </w:p>
    <w:p w14:paraId="5D35E548">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olor w:val="auto"/>
          <w:w w:val="80"/>
          <w:sz w:val="48"/>
          <w:szCs w:val="44"/>
          <w:highlight w:val="none"/>
        </w:rPr>
      </w:pPr>
      <w:r>
        <w:rPr>
          <w:rFonts w:hint="eastAsia" w:ascii="Times New Roman" w:hAnsi="Times New Roman" w:eastAsia="宋体"/>
          <w:color w:val="auto"/>
          <w:w w:val="80"/>
          <w:sz w:val="48"/>
          <w:szCs w:val="44"/>
          <w:highlight w:val="none"/>
        </w:rPr>
        <w:t>第一章 竞争性磋商公告</w:t>
      </w:r>
    </w:p>
    <w:p w14:paraId="0F9410F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项目概况</w:t>
      </w:r>
    </w:p>
    <w:p w14:paraId="1E81CC4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宋体"/>
          <w:bCs/>
          <w:color w:val="auto"/>
          <w:sz w:val="24"/>
          <w:szCs w:val="24"/>
          <w:highlight w:val="none"/>
          <w:u w:val="single"/>
        </w:rPr>
      </w:pPr>
      <w:r>
        <w:rPr>
          <w:rFonts w:hint="eastAsia" w:ascii="Times New Roman" w:hAnsi="Times New Roman" w:eastAsia="宋体" w:cs="Times New Roman"/>
          <w:color w:val="auto"/>
          <w:sz w:val="24"/>
          <w:szCs w:val="24"/>
          <w:highlight w:val="none"/>
          <w:lang w:eastAsia="zh-CN"/>
        </w:rPr>
        <w:t>南通市第三人民医院软件正版化项目（第二次）</w:t>
      </w:r>
      <w:r>
        <w:rPr>
          <w:rFonts w:hint="eastAsia" w:ascii="Times New Roman" w:hAnsi="Times New Roman" w:eastAsia="宋体" w:cs="Times New Roman"/>
          <w:color w:val="auto"/>
          <w:sz w:val="24"/>
          <w:szCs w:val="24"/>
          <w:highlight w:val="none"/>
        </w:rPr>
        <w:t>的潜在供应商应在南通市第三人民医院官网获取采购文件，并于</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12</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27</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00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bCs/>
          <w:color w:val="auto"/>
          <w:sz w:val="24"/>
          <w:szCs w:val="24"/>
          <w:highlight w:val="none"/>
        </w:rPr>
        <w:t>（北京时间）</w:t>
      </w:r>
      <w:r>
        <w:rPr>
          <w:rFonts w:hint="eastAsia" w:ascii="Times New Roman" w:hAnsi="Times New Roman" w:eastAsia="宋体" w:cs="Times New Roman"/>
          <w:color w:val="auto"/>
          <w:sz w:val="24"/>
          <w:szCs w:val="24"/>
          <w:highlight w:val="none"/>
        </w:rPr>
        <w:t>前提交响应文件。</w:t>
      </w:r>
    </w:p>
    <w:p w14:paraId="49A9D39B">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一、项目基本情况</w:t>
      </w:r>
    </w:p>
    <w:p w14:paraId="54920BA7">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1、项目编号：</w:t>
      </w:r>
      <w:r>
        <w:rPr>
          <w:rFonts w:hint="eastAsia" w:ascii="Times New Roman" w:hAnsi="Times New Roman" w:eastAsia="宋体" w:cs="宋体"/>
          <w:color w:val="auto"/>
          <w:sz w:val="24"/>
          <w:szCs w:val="24"/>
          <w:highlight w:val="none"/>
          <w:lang w:val="en-US" w:eastAsia="zh-CN"/>
        </w:rPr>
        <w:t>SY-HXTDZBH202412001</w:t>
      </w:r>
    </w:p>
    <w:p w14:paraId="1A2D13C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2、项目名称：</w:t>
      </w:r>
      <w:r>
        <w:rPr>
          <w:rFonts w:hint="eastAsia" w:ascii="Times New Roman" w:hAnsi="Times New Roman" w:eastAsia="宋体" w:cs="Times New Roman"/>
          <w:color w:val="auto"/>
          <w:sz w:val="24"/>
          <w:szCs w:val="24"/>
          <w:highlight w:val="none"/>
          <w:lang w:eastAsia="zh-CN"/>
        </w:rPr>
        <w:t>南通市第三人民医院软件正版化项目（第二次）</w:t>
      </w:r>
    </w:p>
    <w:p w14:paraId="099776D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3、采购人式：□竞争性谈判 </w:t>
      </w:r>
      <w:r>
        <w:rPr>
          <w:rFonts w:hint="eastAsia" w:ascii="Times New Roman" w:hAnsi="Times New Roman" w:eastAsia="宋体" w:cs="MS Mincho"/>
          <w:color w:val="auto"/>
          <w:sz w:val="24"/>
          <w:szCs w:val="24"/>
          <w:highlight w:val="none"/>
        </w:rPr>
        <w:t>☑</w:t>
      </w:r>
      <w:r>
        <w:rPr>
          <w:rFonts w:hint="eastAsia" w:ascii="Times New Roman" w:hAnsi="Times New Roman" w:eastAsia="宋体" w:cs="宋体"/>
          <w:color w:val="auto"/>
          <w:sz w:val="24"/>
          <w:szCs w:val="24"/>
          <w:highlight w:val="none"/>
        </w:rPr>
        <w:t>竞争性磋商 □询价</w:t>
      </w:r>
    </w:p>
    <w:p w14:paraId="0BFB2248">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4、预算金额：</w:t>
      </w:r>
      <w:r>
        <w:rPr>
          <w:rFonts w:hint="eastAsia" w:ascii="Times New Roman" w:hAnsi="Times New Roman" w:eastAsia="宋体" w:cs="宋体"/>
          <w:color w:val="auto"/>
          <w:sz w:val="24"/>
          <w:szCs w:val="24"/>
          <w:highlight w:val="none"/>
          <w:u w:val="none"/>
          <w:lang w:val="en-US" w:eastAsia="zh-CN"/>
        </w:rPr>
        <w:t>40</w:t>
      </w:r>
      <w:r>
        <w:rPr>
          <w:rFonts w:hint="eastAsia" w:ascii="Times New Roman" w:hAnsi="Times New Roman" w:eastAsia="宋体" w:cs="宋体"/>
          <w:color w:val="auto"/>
          <w:sz w:val="24"/>
          <w:szCs w:val="24"/>
          <w:highlight w:val="none"/>
        </w:rPr>
        <w:t>万元</w:t>
      </w:r>
    </w:p>
    <w:p w14:paraId="236EEE6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5、</w:t>
      </w:r>
      <w:r>
        <w:rPr>
          <w:rFonts w:hint="eastAsia" w:ascii="Times New Roman" w:hAnsi="Times New Roman" w:eastAsia="宋体" w:cs="宋体"/>
          <w:b/>
          <w:bCs/>
          <w:color w:val="auto"/>
          <w:sz w:val="24"/>
          <w:szCs w:val="24"/>
          <w:highlight w:val="none"/>
        </w:rPr>
        <w:t>最高限价：</w:t>
      </w:r>
      <w:r>
        <w:rPr>
          <w:rFonts w:hint="eastAsia" w:ascii="Times New Roman" w:hAnsi="Times New Roman" w:eastAsia="宋体" w:cs="宋体"/>
          <w:b/>
          <w:bCs/>
          <w:color w:val="auto"/>
          <w:sz w:val="24"/>
          <w:szCs w:val="24"/>
          <w:highlight w:val="none"/>
          <w:u w:val="none"/>
          <w:lang w:val="en-US" w:eastAsia="zh-CN"/>
        </w:rPr>
        <w:t>40</w:t>
      </w:r>
      <w:r>
        <w:rPr>
          <w:rFonts w:hint="eastAsia" w:ascii="Times New Roman" w:hAnsi="Times New Roman" w:eastAsia="宋体" w:cs="宋体"/>
          <w:b/>
          <w:bCs/>
          <w:color w:val="auto"/>
          <w:sz w:val="24"/>
          <w:szCs w:val="24"/>
          <w:highlight w:val="none"/>
          <w:u w:val="none"/>
        </w:rPr>
        <w:t>万</w:t>
      </w:r>
      <w:r>
        <w:rPr>
          <w:rFonts w:hint="eastAsia" w:ascii="Times New Roman" w:hAnsi="Times New Roman" w:eastAsia="宋体" w:cs="宋体"/>
          <w:b/>
          <w:bCs/>
          <w:color w:val="auto"/>
          <w:sz w:val="24"/>
          <w:szCs w:val="24"/>
          <w:highlight w:val="none"/>
        </w:rPr>
        <w:t>元</w:t>
      </w:r>
      <w:r>
        <w:rPr>
          <w:rFonts w:hint="eastAsia" w:ascii="Times New Roman" w:hAnsi="Times New Roman" w:eastAsia="宋体" w:cs="仿宋"/>
          <w:b/>
          <w:bCs/>
          <w:color w:val="auto"/>
          <w:sz w:val="24"/>
          <w:szCs w:val="20"/>
          <w:highlight w:val="none"/>
        </w:rPr>
        <w:t>，报价超过最高限价的为无效响应文件；</w:t>
      </w:r>
    </w:p>
    <w:p w14:paraId="2783644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6、采购需求：</w:t>
      </w:r>
      <w:r>
        <w:rPr>
          <w:rFonts w:hint="eastAsia" w:ascii="Times New Roman" w:hAnsi="Times New Roman" w:eastAsia="宋体" w:cs="宋体"/>
          <w:color w:val="auto"/>
          <w:sz w:val="24"/>
          <w:szCs w:val="24"/>
          <w:highlight w:val="none"/>
          <w:lang w:eastAsia="zh-CN"/>
        </w:rPr>
        <w:t>南通市第三人民医院软件正版化项目（第二次），具体内容详见竞争性磋商文件第三章项目需求。</w:t>
      </w:r>
    </w:p>
    <w:p w14:paraId="2BE8C299">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color w:val="auto"/>
          <w:sz w:val="24"/>
          <w:szCs w:val="24"/>
          <w:highlight w:val="none"/>
          <w:lang w:val="zh-CN" w:eastAsia="zh-CN"/>
        </w:rPr>
      </w:pPr>
      <w:r>
        <w:rPr>
          <w:rFonts w:hint="eastAsia" w:ascii="Times New Roman" w:hAnsi="Times New Roman" w:eastAsia="宋体" w:cs="宋体"/>
          <w:b/>
          <w:bCs/>
          <w:color w:val="auto"/>
          <w:sz w:val="24"/>
          <w:szCs w:val="24"/>
          <w:highlight w:val="none"/>
        </w:rPr>
        <w:t>7、</w:t>
      </w:r>
      <w:r>
        <w:rPr>
          <w:rFonts w:hint="eastAsia" w:ascii="Times New Roman" w:hAnsi="Times New Roman" w:eastAsia="宋体" w:cs="宋体"/>
          <w:b/>
          <w:bCs/>
          <w:color w:val="auto"/>
          <w:sz w:val="24"/>
          <w:szCs w:val="24"/>
          <w:highlight w:val="none"/>
          <w:lang w:eastAsia="zh-CN"/>
        </w:rPr>
        <w:t>合同履行期限</w:t>
      </w:r>
      <w:r>
        <w:rPr>
          <w:rFonts w:hint="eastAsia" w:ascii="Times New Roman" w:hAnsi="Times New Roman" w:eastAsia="宋体" w:cs="宋体"/>
          <w:b/>
          <w:bCs/>
          <w:color w:val="auto"/>
          <w:sz w:val="24"/>
          <w:szCs w:val="24"/>
          <w:highlight w:val="none"/>
        </w:rPr>
        <w:t>：签订合同后</w:t>
      </w:r>
      <w:r>
        <w:rPr>
          <w:rFonts w:hint="eastAsia" w:ascii="Times New Roman" w:hAnsi="Times New Roman" w:eastAsia="宋体" w:cs="宋体"/>
          <w:b/>
          <w:bCs/>
          <w:color w:val="auto"/>
          <w:sz w:val="24"/>
          <w:szCs w:val="24"/>
          <w:highlight w:val="none"/>
          <w:lang w:val="en-US" w:eastAsia="zh-CN"/>
        </w:rPr>
        <w:t>30</w:t>
      </w:r>
      <w:r>
        <w:rPr>
          <w:rFonts w:hint="eastAsia" w:ascii="Times New Roman" w:hAnsi="Times New Roman" w:eastAsia="宋体" w:cs="宋体"/>
          <w:b/>
          <w:bCs/>
          <w:color w:val="auto"/>
          <w:sz w:val="24"/>
          <w:szCs w:val="24"/>
          <w:highlight w:val="none"/>
          <w:lang w:val="zh-CN"/>
        </w:rPr>
        <w:t>天内</w:t>
      </w:r>
      <w:r>
        <w:rPr>
          <w:rFonts w:hint="eastAsia" w:ascii="Times New Roman" w:hAnsi="Times New Roman" w:eastAsia="宋体" w:cs="宋体"/>
          <w:b/>
          <w:bCs/>
          <w:color w:val="auto"/>
          <w:sz w:val="24"/>
          <w:szCs w:val="24"/>
          <w:highlight w:val="none"/>
        </w:rPr>
        <w:t>完成相关软件的采购及安装、配置、调试工作。</w:t>
      </w:r>
    </w:p>
    <w:p w14:paraId="5FDE01E6">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8、本项目不接受联合体。</w:t>
      </w:r>
    </w:p>
    <w:p w14:paraId="3680559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二、申请人的资格要求</w:t>
      </w:r>
    </w:p>
    <w:p w14:paraId="50454A6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1、符合《中华人民共和国政府采购法》第二十二条规定，并提供声明函：</w:t>
      </w:r>
    </w:p>
    <w:p w14:paraId="240208D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（1）具有独立承担民事责任的能力；</w:t>
      </w:r>
    </w:p>
    <w:p w14:paraId="51A1B4B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（2）具有良好的商业信誉和健全的财务会计制度；</w:t>
      </w:r>
    </w:p>
    <w:p w14:paraId="0E28A25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（3）具有履行合同所必需的设备和专业技术能力；</w:t>
      </w:r>
    </w:p>
    <w:p w14:paraId="12591A9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（4）有依法缴纳税收和社会保障资金的良好记录；</w:t>
      </w:r>
    </w:p>
    <w:p w14:paraId="0BC7FBF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（5）参加政府采购活动前三年内，在经营活动中没有重大违法记录；</w:t>
      </w:r>
    </w:p>
    <w:p w14:paraId="2AC9B18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（6）法律、行政法规规定的其他条件。</w:t>
      </w:r>
    </w:p>
    <w:p w14:paraId="04229FCD">
      <w:pPr>
        <w:keepNext w:val="0"/>
        <w:keepLines w:val="0"/>
        <w:pageBreakBefore w:val="0"/>
        <w:widowControl w:val="0"/>
        <w:kinsoku/>
        <w:wordWrap/>
        <w:topLinePunct w:val="0"/>
        <w:autoSpaceDE/>
        <w:autoSpaceDN/>
        <w:bidi w:val="0"/>
        <w:spacing w:line="360" w:lineRule="auto"/>
        <w:ind w:firstLine="482"/>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2、落实政府采购政策需满足的资格要求：</w:t>
      </w:r>
      <w:r>
        <w:rPr>
          <w:rFonts w:hint="eastAsia" w:ascii="Times New Roman" w:hAnsi="Times New Roman" w:eastAsia="宋体" w:cs="宋体"/>
          <w:color w:val="auto"/>
          <w:sz w:val="24"/>
          <w:szCs w:val="24"/>
          <w:highlight w:val="none"/>
          <w:u w:val="single"/>
          <w:lang w:eastAsia="zh-CN"/>
        </w:rPr>
        <w:t>无</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eastAsia="宋体" w:cs="宋体"/>
          <w:color w:val="auto"/>
          <w:sz w:val="24"/>
          <w:szCs w:val="24"/>
          <w:highlight w:val="none"/>
          <w:lang w:eastAsia="zh-CN"/>
        </w:rPr>
        <w:t>。</w:t>
      </w:r>
    </w:p>
    <w:p w14:paraId="5A400B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3、本项目的特定资格要求：</w:t>
      </w:r>
    </w:p>
    <w:p w14:paraId="3810257C">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r>
        <w:rPr>
          <w:rFonts w:hint="eastAsia" w:ascii="Times New Roman" w:hAnsi="Times New Roman" w:eastAsia="宋体"/>
          <w:bCs/>
          <w:color w:val="auto"/>
          <w:sz w:val="24"/>
          <w:szCs w:val="24"/>
          <w:highlight w:val="none"/>
        </w:rPr>
        <w:t>供应商须具有有效的三证合一的营业执照（或事业单位法人证书）</w:t>
      </w:r>
      <w:r>
        <w:rPr>
          <w:rFonts w:hint="eastAsia" w:eastAsia="宋体"/>
          <w:bCs/>
          <w:color w:val="auto"/>
          <w:sz w:val="24"/>
          <w:szCs w:val="24"/>
          <w:highlight w:val="none"/>
          <w:lang w:eastAsia="zh-CN"/>
        </w:rPr>
        <w:t>，</w:t>
      </w:r>
      <w:r>
        <w:rPr>
          <w:rFonts w:hint="eastAsia" w:ascii="Times New Roman" w:hAnsi="Times New Roman" w:eastAsia="宋体"/>
          <w:color w:val="auto"/>
          <w:sz w:val="24"/>
          <w:szCs w:val="24"/>
          <w:highlight w:val="none"/>
        </w:rPr>
        <w:t>有能力按本</w:t>
      </w:r>
      <w:r>
        <w:rPr>
          <w:rFonts w:hint="eastAsia" w:ascii="Times New Roman" w:hAnsi="Times New Roman" w:eastAsia="宋体"/>
          <w:color w:val="auto"/>
          <w:sz w:val="24"/>
          <w:szCs w:val="24"/>
          <w:highlight w:val="none"/>
          <w:lang w:eastAsia="zh-CN"/>
        </w:rPr>
        <w:t>采购</w:t>
      </w:r>
      <w:r>
        <w:rPr>
          <w:rFonts w:hint="eastAsia" w:ascii="Times New Roman" w:hAnsi="Times New Roman" w:eastAsia="宋体"/>
          <w:color w:val="auto"/>
          <w:sz w:val="24"/>
          <w:szCs w:val="24"/>
          <w:highlight w:val="none"/>
        </w:rPr>
        <w:t>文件规定的要求提供相关服务。</w:t>
      </w:r>
    </w:p>
    <w:p w14:paraId="00035F5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olor w:val="auto"/>
          <w:sz w:val="24"/>
          <w:szCs w:val="24"/>
          <w:highlight w:val="none"/>
        </w:rPr>
        <w:t>（2）法定代表人参加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的，必须提供法定代表人身份证明及法定代表人本人身份证两项复印件（须加盖单位公章）；非法定代表人参加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的，必须提供法定代表人签字或印章的授权委托书及被授权人本人身份证两项复印件</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rPr>
        <w:t>（须加盖单位公章）</w:t>
      </w:r>
      <w:r>
        <w:rPr>
          <w:rFonts w:hint="eastAsia" w:ascii="Times New Roman" w:hAnsi="Times New Roman" w:eastAsia="宋体" w:cs="Times New Roman"/>
          <w:color w:val="auto"/>
          <w:sz w:val="24"/>
          <w:szCs w:val="24"/>
          <w:highlight w:val="none"/>
          <w:lang w:val="en-US" w:eastAsia="zh-CN"/>
        </w:rPr>
        <w:t xml:space="preserve">   </w:t>
      </w:r>
    </w:p>
    <w:p w14:paraId="60884909">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4、未被“信用中国”网站（www.creditchina.gov.cn）列入失信被执行人、重大税收违法案件当事人名单、政府采购严重失信行为记录名单。</w:t>
      </w:r>
    </w:p>
    <w:p w14:paraId="4EE0DDC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lang w:val="zh-CN"/>
        </w:rPr>
      </w:pPr>
      <w:r>
        <w:rPr>
          <w:rFonts w:hint="eastAsia" w:ascii="Times New Roman" w:hAnsi="Times New Roman" w:eastAsia="宋体"/>
          <w:b/>
          <w:color w:val="auto"/>
          <w:sz w:val="24"/>
          <w:szCs w:val="24"/>
          <w:highlight w:val="none"/>
          <w:lang w:val="zh-CN"/>
        </w:rPr>
        <w:t>具体资格要求详见第</w:t>
      </w:r>
      <w:r>
        <w:rPr>
          <w:rFonts w:hint="eastAsia" w:ascii="Times New Roman" w:hAnsi="Times New Roman" w:eastAsia="宋体"/>
          <w:b/>
          <w:color w:val="auto"/>
          <w:sz w:val="24"/>
          <w:szCs w:val="24"/>
          <w:highlight w:val="none"/>
        </w:rPr>
        <w:t>七</w:t>
      </w:r>
      <w:r>
        <w:rPr>
          <w:rFonts w:hint="eastAsia" w:ascii="Times New Roman" w:hAnsi="Times New Roman" w:eastAsia="宋体"/>
          <w:b/>
          <w:color w:val="auto"/>
          <w:sz w:val="24"/>
          <w:szCs w:val="24"/>
          <w:highlight w:val="none"/>
          <w:lang w:val="zh-CN"/>
        </w:rPr>
        <w:t>章中的“资格审查文件”。</w:t>
      </w:r>
    </w:p>
    <w:p w14:paraId="666DDEE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bookmarkStart w:id="0" w:name="_Toc35393623"/>
      <w:bookmarkStart w:id="1" w:name="_Toc35393792"/>
      <w:r>
        <w:rPr>
          <w:rFonts w:hint="eastAsia" w:ascii="Times New Roman" w:hAnsi="Times New Roman" w:eastAsia="宋体" w:cs="宋体"/>
          <w:b/>
          <w:color w:val="auto"/>
          <w:kern w:val="0"/>
          <w:sz w:val="24"/>
          <w:szCs w:val="24"/>
          <w:highlight w:val="none"/>
        </w:rPr>
        <w:t>三、获取采购文件</w:t>
      </w:r>
      <w:bookmarkEnd w:id="0"/>
      <w:bookmarkEnd w:id="1"/>
      <w:r>
        <w:rPr>
          <w:rFonts w:hint="eastAsia" w:ascii="Times New Roman" w:hAnsi="Times New Roman" w:eastAsia="宋体" w:cs="宋体"/>
          <w:b/>
          <w:color w:val="auto"/>
          <w:kern w:val="0"/>
          <w:sz w:val="24"/>
          <w:szCs w:val="24"/>
          <w:highlight w:val="none"/>
        </w:rPr>
        <w:t>及投标报名</w:t>
      </w:r>
    </w:p>
    <w:p w14:paraId="2DB55DC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bookmarkStart w:id="2" w:name="_Toc35393624"/>
      <w:bookmarkStart w:id="3" w:name="_Toc28359005"/>
      <w:bookmarkStart w:id="4" w:name="_Toc35393793"/>
      <w:bookmarkStart w:id="5" w:name="_Toc28359082"/>
      <w:r>
        <w:rPr>
          <w:rFonts w:hint="eastAsia" w:ascii="Times New Roman" w:hAnsi="Times New Roman" w:eastAsia="宋体" w:cs="宋体"/>
          <w:color w:val="auto"/>
          <w:sz w:val="24"/>
          <w:szCs w:val="24"/>
          <w:highlight w:val="none"/>
        </w:rPr>
        <w:t>1、时间：</w:t>
      </w:r>
      <w:r>
        <w:rPr>
          <w:rFonts w:hint="eastAsia" w:ascii="Times New Roman" w:hAnsi="Times New Roman" w:eastAsia="宋体" w:cs="宋体"/>
          <w:color w:val="auto"/>
          <w:sz w:val="24"/>
          <w:szCs w:val="24"/>
          <w:highlight w:val="none"/>
          <w:u w:val="single"/>
        </w:rPr>
        <w:t>自本磋商公告发布之日起至20</w:t>
      </w:r>
      <w:r>
        <w:rPr>
          <w:rFonts w:hint="eastAsia" w:ascii="Times New Roman" w:hAnsi="Times New Roman" w:eastAsia="宋体" w:cs="宋体"/>
          <w:color w:val="auto"/>
          <w:sz w:val="24"/>
          <w:szCs w:val="24"/>
          <w:highlight w:val="none"/>
          <w:u w:val="single"/>
          <w:lang w:val="en-US" w:eastAsia="zh-CN"/>
        </w:rPr>
        <w:t>24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12</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27</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00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color w:val="auto"/>
          <w:sz w:val="24"/>
          <w:szCs w:val="24"/>
          <w:highlight w:val="none"/>
        </w:rPr>
        <w:t>（北京时间）。</w:t>
      </w:r>
    </w:p>
    <w:p w14:paraId="3C3B874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2、方式：在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南通市第三人民医院</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官网自行下载采购文件。</w:t>
      </w:r>
    </w:p>
    <w:p w14:paraId="3D01948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3、售价：300元/份，</w:t>
      </w:r>
      <w:r>
        <w:rPr>
          <w:rFonts w:hint="eastAsia" w:ascii="Times New Roman" w:hAnsi="Times New Roman" w:eastAsia="宋体" w:cs="宋体"/>
          <w:color w:val="auto"/>
          <w:sz w:val="24"/>
          <w:szCs w:val="24"/>
          <w:highlight w:val="none"/>
          <w:lang w:eastAsia="zh-CN"/>
        </w:rPr>
        <w:t>报名时递交给采购代理机构</w:t>
      </w:r>
      <w:r>
        <w:rPr>
          <w:rFonts w:hint="eastAsia" w:ascii="Times New Roman" w:hAnsi="Times New Roman" w:eastAsia="宋体" w:cs="宋体"/>
          <w:color w:val="auto"/>
          <w:sz w:val="24"/>
          <w:szCs w:val="24"/>
          <w:highlight w:val="none"/>
        </w:rPr>
        <w:t>，售后不退。</w:t>
      </w:r>
    </w:p>
    <w:p w14:paraId="2D1C10D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4、报名方式：请有意参与本项目</w:t>
      </w:r>
      <w:r>
        <w:rPr>
          <w:rFonts w:hint="eastAsia" w:ascii="Times New Roman" w:hAnsi="Times New Roman" w:eastAsia="宋体" w:cs="宋体"/>
          <w:b/>
          <w:color w:val="auto"/>
          <w:sz w:val="24"/>
          <w:szCs w:val="24"/>
          <w:highlight w:val="none"/>
          <w:lang w:eastAsia="zh-CN"/>
        </w:rPr>
        <w:t>响应</w:t>
      </w:r>
      <w:r>
        <w:rPr>
          <w:rFonts w:hint="eastAsia" w:ascii="Times New Roman" w:hAnsi="Times New Roman" w:eastAsia="宋体" w:cs="宋体"/>
          <w:b/>
          <w:color w:val="auto"/>
          <w:sz w:val="24"/>
          <w:szCs w:val="24"/>
          <w:highlight w:val="none"/>
        </w:rPr>
        <w:t>的供应商于202</w:t>
      </w:r>
      <w:r>
        <w:rPr>
          <w:rFonts w:hint="eastAsia" w:ascii="Times New Roman" w:hAnsi="Times New Roman" w:eastAsia="宋体" w:cs="宋体"/>
          <w:b/>
          <w:color w:val="auto"/>
          <w:sz w:val="24"/>
          <w:szCs w:val="24"/>
          <w:highlight w:val="none"/>
          <w:lang w:val="en-US" w:eastAsia="zh-CN"/>
        </w:rPr>
        <w:t>4</w:t>
      </w:r>
      <w:r>
        <w:rPr>
          <w:rFonts w:hint="eastAsia" w:ascii="Times New Roman" w:hAnsi="Times New Roman" w:eastAsia="宋体" w:cs="宋体"/>
          <w:b/>
          <w:color w:val="auto"/>
          <w:sz w:val="24"/>
          <w:szCs w:val="24"/>
          <w:highlight w:val="none"/>
        </w:rPr>
        <w:t>年</w:t>
      </w:r>
      <w:r>
        <w:rPr>
          <w:rFonts w:hint="eastAsia" w:ascii="Times New Roman" w:hAnsi="Times New Roman" w:eastAsia="宋体" w:cs="宋体"/>
          <w:b/>
          <w:color w:val="auto"/>
          <w:sz w:val="24"/>
          <w:szCs w:val="24"/>
          <w:highlight w:val="none"/>
          <w:lang w:val="en-US" w:eastAsia="zh-CN"/>
        </w:rPr>
        <w:t>12</w:t>
      </w:r>
      <w:r>
        <w:rPr>
          <w:rFonts w:hint="eastAsia" w:ascii="Times New Roman" w:hAnsi="Times New Roman" w:eastAsia="宋体" w:cs="宋体"/>
          <w:b/>
          <w:color w:val="auto"/>
          <w:sz w:val="24"/>
          <w:szCs w:val="24"/>
          <w:highlight w:val="none"/>
        </w:rPr>
        <w:t>月</w:t>
      </w:r>
      <w:r>
        <w:rPr>
          <w:rFonts w:hint="eastAsia" w:ascii="Times New Roman" w:hAnsi="Times New Roman" w:eastAsia="宋体" w:cs="宋体"/>
          <w:b/>
          <w:color w:val="auto"/>
          <w:sz w:val="24"/>
          <w:szCs w:val="24"/>
          <w:highlight w:val="none"/>
          <w:lang w:val="en-US" w:eastAsia="zh-CN"/>
        </w:rPr>
        <w:t>27</w:t>
      </w:r>
      <w:r>
        <w:rPr>
          <w:rFonts w:hint="eastAsia" w:ascii="Times New Roman" w:hAnsi="Times New Roman" w:eastAsia="宋体" w:cs="宋体"/>
          <w:b/>
          <w:color w:val="auto"/>
          <w:sz w:val="24"/>
          <w:szCs w:val="24"/>
          <w:highlight w:val="none"/>
        </w:rPr>
        <w:t>日</w:t>
      </w:r>
      <w:r>
        <w:rPr>
          <w:rFonts w:hint="eastAsia" w:ascii="Times New Roman" w:hAnsi="Times New Roman" w:eastAsia="宋体" w:cs="宋体"/>
          <w:b/>
          <w:color w:val="auto"/>
          <w:sz w:val="24"/>
          <w:szCs w:val="24"/>
          <w:highlight w:val="none"/>
          <w:lang w:val="en-US" w:eastAsia="zh-CN"/>
        </w:rPr>
        <w:t>11</w:t>
      </w:r>
      <w:r>
        <w:rPr>
          <w:rFonts w:hint="eastAsia" w:ascii="Times New Roman" w:hAnsi="Times New Roman" w:eastAsia="宋体" w:cs="宋体"/>
          <w:b/>
          <w:color w:val="auto"/>
          <w:sz w:val="24"/>
          <w:szCs w:val="24"/>
          <w:highlight w:val="none"/>
        </w:rPr>
        <w:t>时00分前</w:t>
      </w:r>
      <w:r>
        <w:rPr>
          <w:rFonts w:hint="eastAsia" w:ascii="Times New Roman" w:hAnsi="Times New Roman" w:eastAsia="宋体" w:cs="宋体"/>
          <w:b/>
          <w:color w:val="auto"/>
          <w:sz w:val="24"/>
          <w:szCs w:val="24"/>
          <w:highlight w:val="none"/>
          <w:lang w:eastAsia="zh-CN"/>
        </w:rPr>
        <w:t>联系</w:t>
      </w:r>
      <w:r>
        <w:rPr>
          <w:rFonts w:hint="eastAsia" w:ascii="Times New Roman" w:hAnsi="Times New Roman" w:eastAsia="宋体" w:cs="宋体"/>
          <w:b/>
          <w:color w:val="auto"/>
          <w:sz w:val="24"/>
          <w:szCs w:val="24"/>
          <w:highlight w:val="none"/>
        </w:rPr>
        <w:t>代理机构报名</w:t>
      </w:r>
      <w:r>
        <w:rPr>
          <w:rFonts w:hint="eastAsia" w:ascii="Times New Roman" w:hAnsi="Times New Roman" w:eastAsia="宋体" w:cs="宋体"/>
          <w:b/>
          <w:bCs w:val="0"/>
          <w:color w:val="auto"/>
          <w:sz w:val="24"/>
          <w:szCs w:val="24"/>
          <w:highlight w:val="none"/>
          <w:lang w:eastAsia="zh-CN"/>
        </w:rPr>
        <w:t>（联系人：</w:t>
      </w:r>
      <w:r>
        <w:rPr>
          <w:rFonts w:hint="eastAsia" w:ascii="Times New Roman" w:hAnsi="Times New Roman" w:eastAsia="宋体"/>
          <w:b/>
          <w:bCs w:val="0"/>
          <w:color w:val="auto"/>
          <w:sz w:val="24"/>
          <w:szCs w:val="24"/>
          <w:highlight w:val="none"/>
        </w:rPr>
        <w:t>董安国</w:t>
      </w:r>
      <w:r>
        <w:rPr>
          <w:rFonts w:hint="eastAsia" w:ascii="Times New Roman" w:hAnsi="Times New Roman" w:eastAsia="宋体"/>
          <w:b/>
          <w:bCs w:val="0"/>
          <w:color w:val="auto"/>
          <w:sz w:val="24"/>
          <w:szCs w:val="24"/>
          <w:highlight w:val="none"/>
          <w:lang w:eastAsia="zh-CN"/>
        </w:rPr>
        <w:t>，</w:t>
      </w:r>
      <w:r>
        <w:rPr>
          <w:rFonts w:hint="eastAsia" w:ascii="Times New Roman" w:hAnsi="Times New Roman" w:eastAsia="宋体"/>
          <w:b/>
          <w:bCs w:val="0"/>
          <w:color w:val="auto"/>
          <w:sz w:val="24"/>
          <w:szCs w:val="24"/>
          <w:highlight w:val="none"/>
        </w:rPr>
        <w:t>联系电话：</w:t>
      </w:r>
      <w:r>
        <w:rPr>
          <w:rFonts w:hint="eastAsia" w:ascii="Times New Roman" w:hAnsi="Times New Roman" w:eastAsia="宋体" w:cs="宋体"/>
          <w:b/>
          <w:bCs w:val="0"/>
          <w:color w:val="auto"/>
          <w:kern w:val="0"/>
          <w:sz w:val="24"/>
          <w:highlight w:val="none"/>
        </w:rPr>
        <w:t>18912299056</w:t>
      </w:r>
      <w:r>
        <w:rPr>
          <w:rFonts w:hint="eastAsia" w:ascii="Times New Roman" w:hAnsi="Times New Roman" w:eastAsia="宋体" w:cs="宋体"/>
          <w:b/>
          <w:bCs w:val="0"/>
          <w:color w:val="auto"/>
          <w:kern w:val="0"/>
          <w:sz w:val="24"/>
          <w:highlight w:val="none"/>
          <w:lang w:eastAsia="zh-CN"/>
        </w:rPr>
        <w:t>，</w:t>
      </w:r>
      <w:r>
        <w:rPr>
          <w:rFonts w:hint="eastAsia" w:ascii="Times New Roman" w:hAnsi="Times New Roman" w:eastAsia="宋体" w:cs="宋体"/>
          <w:b/>
          <w:bCs w:val="0"/>
          <w:color w:val="auto"/>
          <w:kern w:val="0"/>
          <w:sz w:val="24"/>
          <w:highlight w:val="none"/>
        </w:rPr>
        <w:t>邮箱：812298892@qq.com</w:t>
      </w:r>
      <w:r>
        <w:rPr>
          <w:rFonts w:hint="eastAsia" w:ascii="Times New Roman" w:hAnsi="Times New Roman" w:eastAsia="宋体" w:cs="宋体"/>
          <w:b/>
          <w:bCs w:val="0"/>
          <w:color w:val="auto"/>
          <w:sz w:val="24"/>
          <w:szCs w:val="24"/>
          <w:highlight w:val="none"/>
          <w:lang w:eastAsia="zh-CN"/>
        </w:rPr>
        <w:t>）</w:t>
      </w:r>
      <w:r>
        <w:rPr>
          <w:rFonts w:hint="eastAsia" w:ascii="Times New Roman" w:hAnsi="Times New Roman" w:eastAsia="宋体" w:cs="宋体"/>
          <w:b/>
          <w:color w:val="auto"/>
          <w:sz w:val="24"/>
          <w:szCs w:val="24"/>
          <w:highlight w:val="none"/>
        </w:rPr>
        <w:t>，未报名单位不得参加本项目的</w:t>
      </w:r>
      <w:r>
        <w:rPr>
          <w:rFonts w:hint="eastAsia" w:ascii="Times New Roman" w:hAnsi="Times New Roman" w:eastAsia="宋体" w:cs="宋体"/>
          <w:b/>
          <w:color w:val="auto"/>
          <w:sz w:val="24"/>
          <w:szCs w:val="24"/>
          <w:highlight w:val="none"/>
          <w:lang w:eastAsia="zh-CN"/>
        </w:rPr>
        <w:t>响应</w:t>
      </w:r>
      <w:r>
        <w:rPr>
          <w:rFonts w:hint="eastAsia" w:ascii="Times New Roman" w:hAnsi="Times New Roman" w:eastAsia="宋体" w:cs="宋体"/>
          <w:b/>
          <w:color w:val="auto"/>
          <w:sz w:val="24"/>
          <w:szCs w:val="24"/>
          <w:highlight w:val="none"/>
        </w:rPr>
        <w:t>。</w:t>
      </w:r>
    </w:p>
    <w:bookmarkEnd w:id="2"/>
    <w:bookmarkEnd w:id="3"/>
    <w:bookmarkEnd w:id="4"/>
    <w:bookmarkEnd w:id="5"/>
    <w:p w14:paraId="3D073BB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bookmarkStart w:id="6" w:name="_Toc35393794"/>
      <w:bookmarkStart w:id="7" w:name="_Toc35393625"/>
      <w:bookmarkStart w:id="8" w:name="_Toc28359007"/>
      <w:bookmarkStart w:id="9" w:name="_Toc28359084"/>
      <w:r>
        <w:rPr>
          <w:rFonts w:hint="eastAsia" w:ascii="Times New Roman" w:hAnsi="Times New Roman" w:eastAsia="宋体" w:cs="宋体"/>
          <w:b/>
          <w:color w:val="auto"/>
          <w:kern w:val="0"/>
          <w:sz w:val="24"/>
          <w:szCs w:val="24"/>
          <w:highlight w:val="none"/>
        </w:rPr>
        <w:t>四、响应文件提交</w:t>
      </w:r>
    </w:p>
    <w:p w14:paraId="206C519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1、提交响应文件截止时间：</w:t>
      </w:r>
      <w:bookmarkStart w:id="16" w:name="_GoBack"/>
      <w:bookmarkEnd w:id="16"/>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12</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27</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00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color w:val="auto"/>
          <w:sz w:val="24"/>
          <w:szCs w:val="24"/>
          <w:highlight w:val="none"/>
        </w:rPr>
        <w:t>（北京时间）。</w:t>
      </w:r>
      <w:r>
        <w:rPr>
          <w:rFonts w:hint="eastAsia" w:ascii="Times New Roman" w:hAnsi="Times New Roman" w:eastAsia="宋体"/>
          <w:color w:val="auto"/>
          <w:sz w:val="24"/>
          <w:highlight w:val="none"/>
        </w:rPr>
        <w:t>逾时，采购人将拒绝接受响应文件纸质文档。</w:t>
      </w:r>
    </w:p>
    <w:p w14:paraId="31FA91AD">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2、提交响应文件地点：</w:t>
      </w:r>
      <w:r>
        <w:rPr>
          <w:rFonts w:hint="eastAsia" w:ascii="Times New Roman" w:hAnsi="Times New Roman" w:eastAsia="宋体" w:cs="Times New Roman"/>
          <w:color w:val="auto"/>
          <w:sz w:val="24"/>
          <w:szCs w:val="24"/>
          <w:highlight w:val="none"/>
          <w:u w:val="single"/>
          <w:lang w:eastAsia="zh-CN"/>
        </w:rPr>
        <w:t>南通市崇川区江海大道488号金贸国际25楼（宏信天德工程顾问有限公司开标室）</w:t>
      </w:r>
      <w:r>
        <w:rPr>
          <w:rFonts w:hint="eastAsia" w:ascii="Times New Roman" w:hAnsi="Times New Roman" w:eastAsia="宋体" w:cs="宋体"/>
          <w:color w:val="auto"/>
          <w:sz w:val="24"/>
          <w:szCs w:val="24"/>
          <w:highlight w:val="none"/>
        </w:rPr>
        <w:t>，如有变动另行通知。</w:t>
      </w:r>
    </w:p>
    <w:p w14:paraId="0CFEAE89">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五、开启</w:t>
      </w:r>
    </w:p>
    <w:p w14:paraId="5849BDD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1、时间：</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12</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27</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00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color w:val="auto"/>
          <w:sz w:val="24"/>
          <w:szCs w:val="24"/>
          <w:highlight w:val="none"/>
        </w:rPr>
        <w:t>（北京时间）。</w:t>
      </w:r>
    </w:p>
    <w:p w14:paraId="1C27D16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2、开启文件及开标地点：</w:t>
      </w:r>
      <w:r>
        <w:rPr>
          <w:rFonts w:hint="eastAsia" w:ascii="Times New Roman" w:hAnsi="Times New Roman" w:eastAsia="宋体" w:cs="Times New Roman"/>
          <w:color w:val="auto"/>
          <w:sz w:val="24"/>
          <w:szCs w:val="24"/>
          <w:highlight w:val="none"/>
          <w:u w:val="single"/>
          <w:lang w:eastAsia="zh-CN"/>
        </w:rPr>
        <w:t>南通市崇川区江海大道488号金贸国际25楼（宏信天德工程顾问有限公司开标室）</w:t>
      </w:r>
      <w:r>
        <w:rPr>
          <w:rFonts w:hint="eastAsia" w:ascii="Times New Roman" w:hAnsi="Times New Roman" w:eastAsia="宋体" w:cs="宋体"/>
          <w:color w:val="auto"/>
          <w:sz w:val="24"/>
          <w:szCs w:val="24"/>
          <w:highlight w:val="none"/>
        </w:rPr>
        <w:t>。</w:t>
      </w:r>
    </w:p>
    <w:p w14:paraId="01BC8F7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六、公告期限</w:t>
      </w:r>
      <w:bookmarkEnd w:id="6"/>
      <w:bookmarkEnd w:id="7"/>
      <w:bookmarkEnd w:id="8"/>
      <w:bookmarkEnd w:id="9"/>
    </w:p>
    <w:p w14:paraId="1A25B28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kern w:val="0"/>
          <w:sz w:val="24"/>
          <w:szCs w:val="24"/>
          <w:highlight w:val="none"/>
        </w:rPr>
        <w:t>自本公告发布之日起3个工作日。</w:t>
      </w:r>
    </w:p>
    <w:p w14:paraId="1063B434">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
          <w:bCs/>
          <w:color w:val="auto"/>
          <w:sz w:val="24"/>
          <w:szCs w:val="24"/>
          <w:highlight w:val="none"/>
        </w:rPr>
        <w:t>七、</w:t>
      </w:r>
      <w:r>
        <w:rPr>
          <w:rFonts w:hint="eastAsia" w:ascii="Times New Roman" w:hAnsi="Times New Roman" w:eastAsia="宋体" w:cs="宋体"/>
          <w:b/>
          <w:color w:val="auto"/>
          <w:sz w:val="24"/>
          <w:szCs w:val="24"/>
          <w:highlight w:val="none"/>
        </w:rPr>
        <w:t>其他补充事宜</w:t>
      </w:r>
    </w:p>
    <w:p w14:paraId="31763BC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1、</w:t>
      </w:r>
      <w:r>
        <w:rPr>
          <w:rFonts w:hint="eastAsia" w:ascii="Times New Roman" w:hAnsi="Times New Roman" w:eastAsia="宋体" w:cs="宋体"/>
          <w:color w:val="auto"/>
          <w:kern w:val="0"/>
          <w:sz w:val="24"/>
          <w:szCs w:val="24"/>
          <w:highlight w:val="none"/>
          <w:lang w:val="en-US" w:eastAsia="zh-CN"/>
        </w:rPr>
        <w:t>磋商保证金：免收。</w:t>
      </w:r>
      <w:r>
        <w:rPr>
          <w:rFonts w:hint="eastAsia" w:ascii="Times New Roman" w:hAnsi="Times New Roman" w:eastAsia="宋体" w:cs="宋体"/>
          <w:color w:val="auto"/>
          <w:kern w:val="0"/>
          <w:sz w:val="24"/>
          <w:szCs w:val="24"/>
          <w:highlight w:val="none"/>
        </w:rPr>
        <w:t>本项目不收取磋商保证金，采购文件中涉及磋商保证金的事项，均按免收保证金执行。</w:t>
      </w:r>
    </w:p>
    <w:p w14:paraId="45ECEFF1">
      <w:pPr>
        <w:keepNext w:val="0"/>
        <w:keepLines w:val="0"/>
        <w:pageBreakBefore w:val="0"/>
        <w:kinsoku/>
        <w:topLinePunct w:val="0"/>
        <w:autoSpaceDE/>
        <w:autoSpaceDN/>
        <w:bidi w:val="0"/>
        <w:spacing w:line="360" w:lineRule="auto"/>
        <w:ind w:firstLine="480" w:firstLineChars="200"/>
        <w:rPr>
          <w:rFonts w:cs="宋体"/>
          <w:color w:val="auto"/>
          <w:kern w:val="0"/>
          <w:sz w:val="24"/>
          <w:szCs w:val="24"/>
          <w:highlight w:val="none"/>
        </w:rPr>
      </w:pPr>
      <w:r>
        <w:rPr>
          <w:rFonts w:hint="eastAsia" w:cs="宋体"/>
          <w:bCs/>
          <w:color w:val="auto"/>
          <w:sz w:val="24"/>
          <w:szCs w:val="24"/>
          <w:highlight w:val="none"/>
          <w:lang w:val="en-US" w:eastAsia="zh-CN"/>
        </w:rPr>
        <w:t>2</w:t>
      </w:r>
      <w:r>
        <w:rPr>
          <w:rFonts w:hint="eastAsia" w:cs="宋体"/>
          <w:bCs/>
          <w:color w:val="auto"/>
          <w:sz w:val="24"/>
          <w:szCs w:val="24"/>
          <w:highlight w:val="none"/>
        </w:rPr>
        <w:t>、</w:t>
      </w:r>
      <w:r>
        <w:rPr>
          <w:rFonts w:cs="宋体"/>
          <w:color w:val="auto"/>
          <w:kern w:val="0"/>
          <w:sz w:val="24"/>
          <w:szCs w:val="24"/>
          <w:highlight w:val="none"/>
        </w:rPr>
        <w:t>项目</w:t>
      </w:r>
      <w:r>
        <w:rPr>
          <w:rFonts w:hint="eastAsia" w:cs="宋体"/>
          <w:color w:val="auto"/>
          <w:kern w:val="0"/>
          <w:sz w:val="24"/>
          <w:szCs w:val="24"/>
          <w:highlight w:val="none"/>
        </w:rPr>
        <w:t>磋商</w:t>
      </w:r>
      <w:r>
        <w:rPr>
          <w:rFonts w:cs="宋体"/>
          <w:color w:val="auto"/>
          <w:kern w:val="0"/>
          <w:sz w:val="24"/>
          <w:szCs w:val="24"/>
          <w:highlight w:val="none"/>
        </w:rPr>
        <w:t>活动模式：</w:t>
      </w:r>
      <w:r>
        <w:rPr>
          <w:rFonts w:hint="eastAsia" w:cs="宋体"/>
          <w:color w:val="auto"/>
          <w:kern w:val="0"/>
          <w:sz w:val="24"/>
          <w:szCs w:val="24"/>
          <w:highlight w:val="none"/>
        </w:rPr>
        <w:t>现场磋商模式</w:t>
      </w:r>
      <w:r>
        <w:rPr>
          <w:rFonts w:cs="宋体"/>
          <w:color w:val="auto"/>
          <w:kern w:val="0"/>
          <w:sz w:val="24"/>
          <w:szCs w:val="24"/>
          <w:highlight w:val="none"/>
        </w:rPr>
        <w:t>。</w:t>
      </w:r>
    </w:p>
    <w:p w14:paraId="62022B04">
      <w:pPr>
        <w:keepNext w:val="0"/>
        <w:keepLines w:val="0"/>
        <w:pageBreakBefore w:val="0"/>
        <w:kinsoku/>
        <w:topLinePunct w:val="0"/>
        <w:autoSpaceDE/>
        <w:autoSpaceDN/>
        <w:bidi w:val="0"/>
        <w:spacing w:line="360" w:lineRule="auto"/>
        <w:ind w:firstLine="480" w:firstLineChars="200"/>
        <w:rPr>
          <w:color w:val="auto"/>
          <w:highlight w:val="none"/>
        </w:rPr>
      </w:pPr>
      <w:r>
        <w:rPr>
          <w:rFonts w:hint="eastAsia" w:cs="宋体"/>
          <w:color w:val="auto"/>
          <w:kern w:val="0"/>
          <w:sz w:val="24"/>
          <w:szCs w:val="24"/>
          <w:highlight w:val="none"/>
          <w:lang w:val="en-US" w:eastAsia="zh-CN"/>
        </w:rPr>
        <w:t>3</w:t>
      </w:r>
      <w:r>
        <w:rPr>
          <w:rFonts w:cs="宋体"/>
          <w:color w:val="auto"/>
          <w:kern w:val="0"/>
          <w:sz w:val="24"/>
          <w:szCs w:val="24"/>
          <w:highlight w:val="none"/>
        </w:rPr>
        <w:t>、项目演示、样品、答辩等：无</w:t>
      </w:r>
      <w:r>
        <w:rPr>
          <w:rFonts w:hint="eastAsia" w:cs="宋体"/>
          <w:color w:val="auto"/>
          <w:kern w:val="0"/>
          <w:sz w:val="24"/>
          <w:szCs w:val="24"/>
          <w:highlight w:val="none"/>
        </w:rPr>
        <w:t>。</w:t>
      </w:r>
    </w:p>
    <w:p w14:paraId="05019CFE">
      <w:pPr>
        <w:keepNext w:val="0"/>
        <w:keepLines w:val="0"/>
        <w:pageBreakBefore w:val="0"/>
        <w:kinsoku/>
        <w:topLinePunct w:val="0"/>
        <w:autoSpaceDE/>
        <w:autoSpaceDN/>
        <w:bidi w:val="0"/>
        <w:spacing w:line="360" w:lineRule="auto"/>
        <w:ind w:firstLine="480" w:firstLineChars="200"/>
        <w:textAlignment w:val="baseline"/>
        <w:rPr>
          <w:color w:val="auto"/>
          <w:sz w:val="24"/>
          <w:szCs w:val="24"/>
          <w:highlight w:val="none"/>
        </w:rPr>
      </w:pPr>
      <w:r>
        <w:rPr>
          <w:rFonts w:hint="eastAsia" w:cs="宋体"/>
          <w:color w:val="auto"/>
          <w:sz w:val="24"/>
          <w:highlight w:val="none"/>
          <w:lang w:val="en-US" w:eastAsia="zh-CN"/>
        </w:rPr>
        <w:t>4</w:t>
      </w:r>
      <w:r>
        <w:rPr>
          <w:rFonts w:hint="eastAsia" w:cs="宋体"/>
          <w:color w:val="auto"/>
          <w:sz w:val="24"/>
          <w:highlight w:val="none"/>
        </w:rPr>
        <w:t>、</w:t>
      </w:r>
      <w:r>
        <w:rPr>
          <w:rFonts w:hint="eastAsia"/>
          <w:color w:val="auto"/>
          <w:sz w:val="24"/>
          <w:szCs w:val="24"/>
          <w:highlight w:val="none"/>
        </w:rPr>
        <w:t>对项目需求部分（供应商其他资格要求、项目需求、评分标准）的询问、质疑请向采购人提出，由采购人负责答复；对项目磋商文件其它部分的询问请向采购人或招标代理提出。</w:t>
      </w:r>
    </w:p>
    <w:p w14:paraId="125A902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5</w:t>
      </w:r>
      <w:r>
        <w:rPr>
          <w:rFonts w:hint="eastAsia"/>
          <w:color w:val="auto"/>
          <w:sz w:val="24"/>
          <w:szCs w:val="24"/>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r>
        <w:rPr>
          <w:rFonts w:hint="eastAsia"/>
          <w:color w:val="auto"/>
          <w:sz w:val="24"/>
          <w:szCs w:val="24"/>
          <w:highlight w:val="none"/>
          <w:lang w:val="en-US" w:eastAsia="zh-CN"/>
        </w:rPr>
        <w:t xml:space="preserve">     </w:t>
      </w:r>
    </w:p>
    <w:p w14:paraId="49BD68DE">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八、凡对本次采购提出询问，请按以下方式联系</w:t>
      </w:r>
    </w:p>
    <w:p w14:paraId="7DF947D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1、采购人信息</w:t>
      </w:r>
    </w:p>
    <w:p w14:paraId="632D16B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名称：南通市第三人民医院</w:t>
      </w:r>
    </w:p>
    <w:p w14:paraId="1827BC18">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地址：江苏省南通市青年中路</w:t>
      </w:r>
      <w:r>
        <w:rPr>
          <w:rFonts w:hint="eastAsia" w:ascii="Times New Roman" w:hAnsi="Times New Roman" w:eastAsia="宋体"/>
          <w:color w:val="auto"/>
          <w:sz w:val="24"/>
          <w:szCs w:val="24"/>
          <w:highlight w:val="none"/>
          <w:lang w:val="en-US" w:eastAsia="zh-CN"/>
        </w:rPr>
        <w:t>60</w:t>
      </w:r>
      <w:r>
        <w:rPr>
          <w:rFonts w:hint="eastAsia" w:ascii="Times New Roman" w:hAnsi="Times New Roman" w:eastAsia="宋体"/>
          <w:color w:val="auto"/>
          <w:sz w:val="24"/>
          <w:szCs w:val="24"/>
          <w:highlight w:val="none"/>
        </w:rPr>
        <w:t>号</w:t>
      </w:r>
    </w:p>
    <w:p w14:paraId="2092EE77">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bCs/>
          <w:color w:val="auto"/>
          <w:sz w:val="24"/>
          <w:highlight w:val="none"/>
          <w:lang w:eastAsia="zh-CN"/>
        </w:rPr>
      </w:pPr>
      <w:r>
        <w:rPr>
          <w:rFonts w:hint="eastAsia" w:ascii="Times New Roman" w:hAnsi="Times New Roman" w:eastAsia="宋体" w:cs="宋体"/>
          <w:bCs/>
          <w:color w:val="auto"/>
          <w:sz w:val="24"/>
          <w:highlight w:val="none"/>
        </w:rPr>
        <w:t>联系人：钱</w:t>
      </w:r>
      <w:r>
        <w:rPr>
          <w:rFonts w:hint="eastAsia" w:ascii="Times New Roman" w:hAnsi="Times New Roman" w:eastAsia="宋体" w:cs="宋体"/>
          <w:bCs/>
          <w:color w:val="auto"/>
          <w:sz w:val="24"/>
          <w:highlight w:val="none"/>
          <w:lang w:eastAsia="zh-CN"/>
        </w:rPr>
        <w:t>先生</w:t>
      </w:r>
    </w:p>
    <w:p w14:paraId="4E618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联系电话：0513-85116168</w:t>
      </w:r>
    </w:p>
    <w:p w14:paraId="5F705B3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2、采购代理机构信息</w:t>
      </w:r>
    </w:p>
    <w:p w14:paraId="445C7E5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名称：宏信天德工程顾问有限公司</w:t>
      </w:r>
    </w:p>
    <w:p w14:paraId="70CFEE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地址：南通市崇川区江海大道488号金贸国际25楼</w:t>
      </w:r>
    </w:p>
    <w:p w14:paraId="345F879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联系人：董安国</w:t>
      </w:r>
    </w:p>
    <w:p w14:paraId="6EAD7A8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olor w:val="auto"/>
          <w:sz w:val="24"/>
          <w:szCs w:val="24"/>
          <w:highlight w:val="none"/>
        </w:rPr>
        <w:t>联系电话：</w:t>
      </w:r>
      <w:r>
        <w:rPr>
          <w:rFonts w:hint="eastAsia" w:ascii="Times New Roman" w:hAnsi="Times New Roman" w:eastAsia="宋体" w:cs="宋体"/>
          <w:color w:val="auto"/>
          <w:kern w:val="0"/>
          <w:sz w:val="24"/>
          <w:highlight w:val="none"/>
        </w:rPr>
        <w:t>18912299056</w:t>
      </w:r>
    </w:p>
    <w:p w14:paraId="2D2133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邮箱：812298892@qq.com</w:t>
      </w:r>
    </w:p>
    <w:p w14:paraId="4D54756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3、项目联系方式</w:t>
      </w:r>
    </w:p>
    <w:p w14:paraId="530951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项目联系人：董安国</w:t>
      </w:r>
    </w:p>
    <w:p w14:paraId="7B9698F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kern w:val="0"/>
          <w:sz w:val="24"/>
          <w:highlight w:val="none"/>
        </w:rPr>
      </w:pPr>
      <w:r>
        <w:rPr>
          <w:rFonts w:hint="eastAsia" w:ascii="Times New Roman" w:hAnsi="Times New Roman" w:eastAsia="宋体"/>
          <w:color w:val="auto"/>
          <w:sz w:val="24"/>
          <w:szCs w:val="24"/>
          <w:highlight w:val="none"/>
        </w:rPr>
        <w:t>电　话：</w:t>
      </w:r>
      <w:r>
        <w:rPr>
          <w:rFonts w:hint="eastAsia" w:ascii="Times New Roman" w:hAnsi="Times New Roman" w:eastAsia="宋体" w:cs="宋体"/>
          <w:color w:val="auto"/>
          <w:kern w:val="0"/>
          <w:sz w:val="24"/>
          <w:highlight w:val="none"/>
        </w:rPr>
        <w:t>18912299056</w:t>
      </w:r>
    </w:p>
    <w:p w14:paraId="7878B4C5">
      <w:pPr>
        <w:pStyle w:val="11"/>
        <w:keepNext w:val="0"/>
        <w:keepLines w:val="0"/>
        <w:pageBreakBefore w:val="0"/>
        <w:widowControl w:val="0"/>
        <w:kinsoku/>
        <w:wordWrap/>
        <w:topLinePunct w:val="0"/>
        <w:autoSpaceDE/>
        <w:autoSpaceDN/>
        <w:bidi w:val="0"/>
        <w:spacing w:line="360" w:lineRule="auto"/>
        <w:rPr>
          <w:rFonts w:ascii="Times New Roman" w:hAnsi="Times New Roman" w:eastAsia="宋体"/>
          <w:color w:val="auto"/>
          <w:kern w:val="0"/>
          <w:highlight w:val="none"/>
        </w:rPr>
      </w:pPr>
      <w:r>
        <w:rPr>
          <w:rFonts w:ascii="Times New Roman" w:hAnsi="Times New Roman" w:eastAsia="宋体"/>
          <w:color w:val="auto"/>
          <w:kern w:val="0"/>
          <w:highlight w:val="none"/>
        </w:rPr>
        <w:br w:type="page"/>
      </w:r>
    </w:p>
    <w:p w14:paraId="2AA378F3">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olor w:val="auto"/>
          <w:w w:val="80"/>
          <w:sz w:val="48"/>
          <w:szCs w:val="44"/>
          <w:highlight w:val="none"/>
        </w:rPr>
      </w:pPr>
      <w:r>
        <w:rPr>
          <w:rFonts w:hint="eastAsia" w:ascii="Times New Roman" w:hAnsi="Times New Roman" w:eastAsia="宋体"/>
          <w:color w:val="auto"/>
          <w:w w:val="80"/>
          <w:sz w:val="48"/>
          <w:szCs w:val="44"/>
          <w:highlight w:val="none"/>
        </w:rPr>
        <w:t>第二章 投标供应商须知</w:t>
      </w:r>
    </w:p>
    <w:p w14:paraId="5586FE3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一、说明</w:t>
      </w:r>
    </w:p>
    <w:p w14:paraId="42DBB24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1、本竞争性磋商文件仅适用于采购人组织的竞争性磋商采购活动。</w:t>
      </w:r>
    </w:p>
    <w:p w14:paraId="191377F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2、竞争性磋商活动及因本次磋商产生的合同受中国法律制约和保护。</w:t>
      </w:r>
    </w:p>
    <w:p w14:paraId="0F581CB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3、竞争性磋商文件的解释权属于采购人。</w:t>
      </w:r>
    </w:p>
    <w:p w14:paraId="222F883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color w:val="auto"/>
          <w:sz w:val="24"/>
          <w:szCs w:val="24"/>
          <w:highlight w:val="none"/>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b/>
          <w:color w:val="auto"/>
          <w:sz w:val="24"/>
          <w:szCs w:val="24"/>
          <w:highlight w:val="none"/>
        </w:rPr>
        <w:t>非书面形式的不作为日后质疑提出的依据。</w:t>
      </w:r>
    </w:p>
    <w:p w14:paraId="53B8395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5、供应商应认真审阅磋商文件中所有的事项、格式、条款和规范要求等，如果供应商没有按照磋商文件要求提交响应文件，或者响应文件没有对磋商文件做出实质性响应，将被拒绝参与项目的磋商。</w:t>
      </w:r>
    </w:p>
    <w:p w14:paraId="1620B33A">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二、本项目涉及到的现场勘察</w:t>
      </w:r>
    </w:p>
    <w:p w14:paraId="590F4E0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1、根据自身需要，供应商可在响应文件递交之日前对有关现场和周围环境进行勘察，以获取编制响应文件和签署合同所需的信息。勘察现场所发生的费用由供应商自己承担。</w:t>
      </w:r>
    </w:p>
    <w:p w14:paraId="76ABF4E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2、采购人向供应商提供的有关现场的资料和数据，是采购人现有的并认为能使供应商可利用的资料。采购人对供应商由此而做出的推论、理解和结论概不负责。</w:t>
      </w:r>
    </w:p>
    <w:p w14:paraId="09A6E0D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3、经采购人允许，供应商可为勘察目的进入采购人的项目现场，但供应商不得因此使采购人承担有关的责任和蒙受损失。供应商应承担勘察现场的责任和风险。</w:t>
      </w:r>
    </w:p>
    <w:p w14:paraId="773D6EE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14:paraId="08F1E32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三、磋商文件的澄清、修改、答疑</w:t>
      </w:r>
    </w:p>
    <w:p w14:paraId="687F5B3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1、代理机构有权对发出的磋商文件进行必要的澄清、修改或补充。</w:t>
      </w:r>
    </w:p>
    <w:p w14:paraId="755CEFF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2、磋商文件的澄清、修改、补充等内容均以书面明确的形式发布，并以南通市第三人民医院官网发布的信息为准。</w:t>
      </w:r>
    </w:p>
    <w:p w14:paraId="3631A0C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3、代理机构对磋商文件的澄清、修改将构成磋商文件的一部分，对响应磋商的供应商具有约束力。</w:t>
      </w:r>
    </w:p>
    <w:p w14:paraId="712FA2E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4、澄清或者修改的内容可能影响到响应文件编制的，代理机构应当在提交响应文件接收截止之日3个工作日前，发布澄清或者修改公告，不足3个工作日的，当顺延提交响应文件接收截止时间。</w:t>
      </w:r>
    </w:p>
    <w:p w14:paraId="767CF4F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5、除非代理机构以书面的形式对磋商文件作出澄清、修改及补充，供应商对涉及磋商文件的任何推论、理解和结论所造成的结果，均由供应商自负。</w:t>
      </w:r>
    </w:p>
    <w:p w14:paraId="38D9FA6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6、采购单位视情组织答疑会。如有产生答疑且对磋商文件内容有修改，代理机构将按照本须知有关规定，以补充通知（公告）的方式发出。</w:t>
      </w:r>
    </w:p>
    <w:p w14:paraId="05D64943">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四、响应文件的编制及装订</w:t>
      </w:r>
    </w:p>
    <w:p w14:paraId="474761A5">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供应商按磋商文件要求编写响应文件，并牢固装订成册。响应文件均需采用A4纸（图纸等除外）装订。响应文件不得行间插字、涂改、增删，如修改错漏处，须经响应文件签署人签字并加盖公章。</w:t>
      </w:r>
    </w:p>
    <w:p w14:paraId="055F8A0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五、响应文件的份数和签署</w:t>
      </w:r>
    </w:p>
    <w:p w14:paraId="113B25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1、响应文件由：</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资格审查文件、</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技术响应文件、③报价响应文件共3部分组成（以下由文件序号代称）。</w:t>
      </w:r>
    </w:p>
    <w:p w14:paraId="4EAC643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color w:val="auto"/>
          <w:sz w:val="24"/>
          <w:szCs w:val="24"/>
          <w:highlight w:val="none"/>
          <w:u w:val="single"/>
        </w:rPr>
      </w:pPr>
      <w:r>
        <w:rPr>
          <w:rFonts w:hint="eastAsia" w:ascii="Times New Roman" w:hAnsi="Times New Roman" w:eastAsia="宋体" w:cs="宋体"/>
          <w:color w:val="auto"/>
          <w:sz w:val="24"/>
          <w:szCs w:val="24"/>
          <w:highlight w:val="none"/>
        </w:rPr>
        <w:t>2、</w:t>
      </w:r>
      <w:r>
        <w:rPr>
          <w:rFonts w:hint="eastAsia" w:ascii="Times New Roman" w:hAnsi="Times New Roman" w:eastAsia="宋体" w:cs="宋体"/>
          <w:b/>
          <w:color w:val="auto"/>
          <w:sz w:val="24"/>
          <w:szCs w:val="24"/>
          <w:highlight w:val="none"/>
        </w:rPr>
        <w:t>响应文件均为一式</w:t>
      </w:r>
      <w:r>
        <w:rPr>
          <w:rFonts w:hint="eastAsia" w:ascii="Times New Roman" w:hAnsi="Times New Roman" w:eastAsia="宋体" w:cs="宋体"/>
          <w:b/>
          <w:color w:val="auto"/>
          <w:sz w:val="24"/>
          <w:szCs w:val="24"/>
          <w:highlight w:val="none"/>
          <w:lang w:eastAsia="zh-CN"/>
        </w:rPr>
        <w:t>叁</w:t>
      </w:r>
      <w:r>
        <w:rPr>
          <w:rFonts w:hint="eastAsia" w:ascii="Times New Roman" w:hAnsi="Times New Roman" w:eastAsia="宋体" w:cs="宋体"/>
          <w:b/>
          <w:color w:val="auto"/>
          <w:sz w:val="24"/>
          <w:szCs w:val="24"/>
          <w:highlight w:val="none"/>
        </w:rPr>
        <w:t>份，其中</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正本</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壹份和</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副本</w:t>
      </w:r>
      <w:r>
        <w:rPr>
          <w:rFonts w:hint="eastAsia" w:ascii="Times New Roman" w:hAnsi="Times New Roman" w:eastAsia="宋体" w:cs="宋体"/>
          <w:b/>
          <w:color w:val="auto"/>
          <w:sz w:val="24"/>
          <w:szCs w:val="24"/>
          <w:highlight w:val="none"/>
          <w:lang w:eastAsia="zh-CN"/>
        </w:rPr>
        <w:t>”贰</w:t>
      </w:r>
      <w:r>
        <w:rPr>
          <w:rFonts w:hint="eastAsia" w:ascii="Times New Roman" w:hAnsi="Times New Roman" w:eastAsia="宋体" w:cs="宋体"/>
          <w:b/>
          <w:color w:val="auto"/>
          <w:sz w:val="24"/>
          <w:szCs w:val="24"/>
          <w:highlight w:val="none"/>
        </w:rPr>
        <w:t>份。</w:t>
      </w:r>
    </w:p>
    <w:p w14:paraId="4FACA949">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3、在每份响应文件上要明确标注项目名称、对应的响应文件名称、供应商的全称、日期、</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字样。</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和</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若有差异，概以</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为准。</w:t>
      </w:r>
    </w:p>
    <w:p w14:paraId="462B9602">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4、供应商可将响应文件正副本统一密封或分别密封，如正本和副本分别密封的，应在封袋上标明正、副本字样。</w:t>
      </w:r>
    </w:p>
    <w:p w14:paraId="10A8B01A">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5、响应文件中的所有</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，其正文内容须按磋商文件要求由供应商法定代表人或被授权人签字（或盖章）并加盖单位公章。</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可复印，但须加盖单位公章。</w:t>
      </w:r>
    </w:p>
    <w:p w14:paraId="6830A851">
      <w:pPr>
        <w:keepNext w:val="0"/>
        <w:keepLines w:val="0"/>
        <w:pageBreakBefore w:val="0"/>
        <w:widowControl w:val="0"/>
        <w:kinsoku/>
        <w:wordWrap/>
        <w:topLinePunct w:val="0"/>
        <w:autoSpaceDE/>
        <w:autoSpaceDN/>
        <w:bidi w:val="0"/>
        <w:spacing w:line="360" w:lineRule="auto"/>
        <w:ind w:firstLine="472" w:firstLineChars="19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六、响应文件的密封及标记</w:t>
      </w:r>
    </w:p>
    <w:p w14:paraId="7A047CA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1、供应商须将本项目响应文件：</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3 \* GB3</w:instrText>
      </w:r>
      <w:r>
        <w:rPr>
          <w:rFonts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③</w:t>
      </w:r>
      <w:r>
        <w:rPr>
          <w:rFonts w:ascii="Times New Roman" w:hAnsi="Times New Roman" w:eastAsia="宋体" w:cs="宋体"/>
          <w:color w:val="auto"/>
          <w:sz w:val="20"/>
          <w:szCs w:val="24"/>
          <w:highlight w:val="none"/>
        </w:rPr>
        <w:fldChar w:fldCharType="end"/>
      </w:r>
      <w:r>
        <w:rPr>
          <w:rFonts w:hint="eastAsia" w:ascii="Times New Roman" w:hAnsi="Times New Roman" w:eastAsia="宋体" w:cs="宋体"/>
          <w:b/>
          <w:color w:val="auto"/>
          <w:sz w:val="24"/>
          <w:szCs w:val="24"/>
          <w:highlight w:val="none"/>
        </w:rPr>
        <w:t>单独密封</w:t>
      </w:r>
      <w:r>
        <w:rPr>
          <w:rFonts w:hint="eastAsia" w:ascii="Times New Roman" w:hAnsi="Times New Roman" w:eastAsia="宋体" w:cs="宋体"/>
          <w:color w:val="auto"/>
          <w:sz w:val="24"/>
          <w:szCs w:val="24"/>
          <w:highlight w:val="none"/>
        </w:rPr>
        <w:t>。</w:t>
      </w:r>
    </w:p>
    <w:p w14:paraId="5DBB13A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2、密封后，应在每一份密封的响应文件上明确标注磋商项目名称、响应文件各自对应的名称、供应商的全称及日期并加盖供应商公章。</w:t>
      </w:r>
    </w:p>
    <w:p w14:paraId="6651779D">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【特别提醒】</w:t>
      </w:r>
      <w:r>
        <w:rPr>
          <w:rFonts w:hint="eastAsia" w:ascii="Times New Roman" w:hAnsi="Times New Roman" w:eastAsia="宋体" w:cs="宋体"/>
          <w:color w:val="auto"/>
          <w:sz w:val="24"/>
          <w:szCs w:val="24"/>
          <w:highlight w:val="none"/>
        </w:rPr>
        <w:t>响应文件中的</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和</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的</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或</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中，均不得含有报价响应文件中报价表（报价单）内的任何项目价格，否则作无效投标处理。</w:t>
      </w:r>
    </w:p>
    <w:p w14:paraId="56EC8E2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七、磋商报价</w:t>
      </w:r>
    </w:p>
    <w:p w14:paraId="752A621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highlight w:val="none"/>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color w:val="auto"/>
          <w:sz w:val="24"/>
          <w:szCs w:val="24"/>
          <w:highlight w:val="none"/>
        </w:rPr>
        <w:t>。</w:t>
      </w:r>
    </w:p>
    <w:p w14:paraId="467FDC3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2、磋商报价均以人民币为报价的币种。</w:t>
      </w:r>
    </w:p>
    <w:p w14:paraId="08E7542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53B59C29">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4、供应商应充分考虑服务实施期间各类市场价格和政策性价格调整因素，确定价格风险计入总报价，今后不作调整。（</w:t>
      </w:r>
      <w:r>
        <w:rPr>
          <w:rFonts w:hint="eastAsia" w:ascii="Times New Roman" w:hAnsi="Times New Roman" w:eastAsia="宋体" w:cs="宋体"/>
          <w:b/>
          <w:bCs/>
          <w:color w:val="auto"/>
          <w:sz w:val="24"/>
          <w:szCs w:val="24"/>
          <w:highlight w:val="none"/>
          <w:lang w:eastAsia="zh-CN"/>
        </w:rPr>
        <w:t>响应</w:t>
      </w:r>
      <w:r>
        <w:rPr>
          <w:rFonts w:hint="eastAsia" w:ascii="Times New Roman" w:hAnsi="Times New Roman" w:eastAsia="宋体" w:cs="宋体"/>
          <w:b/>
          <w:bCs/>
          <w:color w:val="auto"/>
          <w:sz w:val="24"/>
          <w:szCs w:val="24"/>
          <w:highlight w:val="none"/>
        </w:rPr>
        <w:t>报价应包括完成本项目所需的一切费用，包括但不限于</w:t>
      </w:r>
      <w:r>
        <w:rPr>
          <w:rFonts w:hint="eastAsia" w:ascii="Times New Roman" w:hAnsi="Times New Roman" w:eastAsia="宋体"/>
          <w:b/>
          <w:bCs/>
          <w:color w:val="auto"/>
          <w:sz w:val="24"/>
          <w:szCs w:val="24"/>
          <w:highlight w:val="none"/>
        </w:rPr>
        <w:t>成本、利润、税金、开办费、政策性调整风险费等的所有费用；</w:t>
      </w:r>
      <w:r>
        <w:rPr>
          <w:rFonts w:hint="eastAsia" w:ascii="Times New Roman" w:hAnsi="Times New Roman" w:eastAsia="宋体" w:cs="宋体"/>
          <w:b/>
          <w:bCs/>
          <w:color w:val="auto"/>
          <w:sz w:val="24"/>
          <w:szCs w:val="24"/>
          <w:highlight w:val="none"/>
        </w:rPr>
        <w:t>辅材费、</w:t>
      </w:r>
      <w:r>
        <w:rPr>
          <w:rFonts w:hint="eastAsia" w:ascii="Times New Roman" w:hAnsi="Times New Roman" w:eastAsia="宋体"/>
          <w:b/>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cs="宋体"/>
          <w:b/>
          <w:bCs/>
          <w:color w:val="auto"/>
          <w:sz w:val="24"/>
          <w:szCs w:val="24"/>
          <w:highlight w:val="none"/>
        </w:rPr>
        <w:t>。同时，报价也应包含合同履行过程中可能发生的一切风险。）</w:t>
      </w:r>
    </w:p>
    <w:p w14:paraId="1176815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14:paraId="2787124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w:t>
      </w:r>
      <w:r>
        <w:rPr>
          <w:rFonts w:hint="eastAsia" w:ascii="Times New Roman" w:hAnsi="Times New Roman" w:eastAsia="宋体" w:cs="宋体"/>
          <w:color w:val="auto"/>
          <w:sz w:val="24"/>
          <w:highlight w:val="none"/>
        </w:rPr>
        <w:t>除非在磋商中磋商小组对采购单位需求内容作了调整增加，或对采购内容作了实质性变更，否则</w:t>
      </w:r>
      <w:r>
        <w:rPr>
          <w:rFonts w:hint="eastAsia" w:ascii="Times New Roman" w:hAnsi="Times New Roman" w:eastAsia="宋体" w:cs="宋体"/>
          <w:b/>
          <w:color w:val="auto"/>
          <w:sz w:val="24"/>
          <w:highlight w:val="none"/>
        </w:rPr>
        <w:t>采购单位不接受供应商高于自己前一轮的磋商报价。</w:t>
      </w:r>
    </w:p>
    <w:p w14:paraId="1C2798E4">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7、竞争性磋商的最终报价为成交价。同时，供应商的最终成交价在合同实施期间不因市场变化因素而变动。</w:t>
      </w:r>
    </w:p>
    <w:p w14:paraId="3C2E314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w:t>
      </w:r>
      <w:r>
        <w:rPr>
          <w:rFonts w:hint="eastAsia" w:ascii="Times New Roman" w:hAnsi="Times New Roman" w:eastAsia="宋体" w:cs="宋体"/>
          <w:color w:val="auto"/>
          <w:sz w:val="24"/>
          <w:highlight w:val="none"/>
        </w:rPr>
        <w:t>最终报价将作为磋商小组评定成交供应商的依据</w:t>
      </w:r>
      <w:r>
        <w:rPr>
          <w:rFonts w:hint="eastAsia" w:ascii="Times New Roman" w:hAnsi="Times New Roman" w:eastAsia="宋体" w:cs="宋体"/>
          <w:color w:val="auto"/>
          <w:sz w:val="24"/>
          <w:szCs w:val="24"/>
          <w:highlight w:val="none"/>
        </w:rPr>
        <w:t>。</w:t>
      </w:r>
    </w:p>
    <w:p w14:paraId="722C767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八、联合体参与磋商</w:t>
      </w:r>
    </w:p>
    <w:p w14:paraId="27D212B7">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不接受任何形式的联合体参与本项目的竞争性磋商。</w:t>
      </w:r>
    </w:p>
    <w:p w14:paraId="35B465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rPr>
        <w:t>九、响应文件及</w:t>
      </w:r>
      <w:r>
        <w:rPr>
          <w:rFonts w:hint="eastAsia" w:ascii="Times New Roman" w:hAnsi="Times New Roman" w:eastAsia="宋体" w:cs="宋体"/>
          <w:b/>
          <w:color w:val="auto"/>
          <w:kern w:val="0"/>
          <w:sz w:val="24"/>
          <w:szCs w:val="24"/>
          <w:highlight w:val="none"/>
        </w:rPr>
        <w:t>磋商</w:t>
      </w:r>
      <w:r>
        <w:rPr>
          <w:rFonts w:hint="eastAsia" w:ascii="Times New Roman" w:hAnsi="Times New Roman" w:eastAsia="宋体" w:cs="宋体"/>
          <w:b/>
          <w:bCs/>
          <w:color w:val="auto"/>
          <w:sz w:val="24"/>
          <w:szCs w:val="24"/>
          <w:highlight w:val="none"/>
        </w:rPr>
        <w:t>费用</w:t>
      </w:r>
    </w:p>
    <w:p w14:paraId="71871DA7">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1、磋商文件每套售价300元，在</w:t>
      </w:r>
      <w:r>
        <w:rPr>
          <w:rFonts w:hint="eastAsia" w:ascii="Times New Roman" w:hAnsi="Times New Roman" w:eastAsia="宋体" w:cs="宋体"/>
          <w:color w:val="auto"/>
          <w:sz w:val="24"/>
          <w:szCs w:val="24"/>
          <w:highlight w:val="none"/>
          <w:lang w:eastAsia="zh-CN"/>
        </w:rPr>
        <w:t>报名</w:t>
      </w:r>
      <w:r>
        <w:rPr>
          <w:rFonts w:hint="eastAsia" w:ascii="Times New Roman" w:hAnsi="Times New Roman" w:eastAsia="宋体" w:cs="宋体"/>
          <w:color w:val="auto"/>
          <w:sz w:val="24"/>
          <w:szCs w:val="24"/>
          <w:highlight w:val="none"/>
        </w:rPr>
        <w:t>的同时提交给</w:t>
      </w:r>
      <w:r>
        <w:rPr>
          <w:rFonts w:hint="eastAsia" w:ascii="Times New Roman" w:hAnsi="Times New Roman" w:eastAsia="宋体" w:cs="宋体"/>
          <w:color w:val="auto"/>
          <w:sz w:val="24"/>
          <w:szCs w:val="24"/>
          <w:highlight w:val="none"/>
          <w:lang w:eastAsia="zh-CN"/>
        </w:rPr>
        <w:t>采购</w:t>
      </w:r>
      <w:r>
        <w:rPr>
          <w:rFonts w:hint="eastAsia" w:ascii="Times New Roman" w:hAnsi="Times New Roman" w:eastAsia="宋体" w:cs="宋体"/>
          <w:color w:val="auto"/>
          <w:sz w:val="24"/>
          <w:szCs w:val="24"/>
          <w:highlight w:val="none"/>
        </w:rPr>
        <w:t>代理机构。</w:t>
      </w:r>
    </w:p>
    <w:p w14:paraId="7E0385F4">
      <w:pPr>
        <w:keepNext w:val="0"/>
        <w:keepLines w:val="0"/>
        <w:pageBreakBefore w:val="0"/>
        <w:widowControl w:val="0"/>
        <w:kinsoku/>
        <w:wordWrap/>
        <w:topLinePunct w:val="0"/>
        <w:autoSpaceDE/>
        <w:autoSpaceDN/>
        <w:bidi w:val="0"/>
        <w:spacing w:line="360" w:lineRule="auto"/>
        <w:ind w:firstLine="460" w:firstLineChars="192"/>
        <w:textAlignment w:val="baseline"/>
        <w:rPr>
          <w:rFonts w:hint="eastAsia" w:ascii="Times New Roman" w:hAnsi="Times New Roman" w:cs="宋体" w:eastAsiaTheme="minorEastAsia"/>
          <w:color w:val="auto"/>
          <w:sz w:val="24"/>
          <w:szCs w:val="24"/>
          <w:highlight w:val="none"/>
          <w:lang w:eastAsia="zh-CN"/>
        </w:rPr>
      </w:pPr>
      <w:r>
        <w:rPr>
          <w:rFonts w:hint="eastAsia" w:ascii="Times New Roman" w:hAnsi="Times New Roman" w:eastAsia="宋体" w:cs="宋体"/>
          <w:color w:val="auto"/>
          <w:sz w:val="24"/>
          <w:szCs w:val="24"/>
          <w:highlight w:val="none"/>
        </w:rPr>
        <w:t>2、本次</w:t>
      </w:r>
      <w:r>
        <w:rPr>
          <w:rFonts w:hint="eastAsia" w:ascii="Times New Roman" w:hAnsi="Times New Roman" w:eastAsia="宋体" w:cs="宋体"/>
          <w:color w:val="auto"/>
          <w:sz w:val="24"/>
          <w:szCs w:val="24"/>
          <w:highlight w:val="none"/>
          <w:lang w:eastAsia="zh-CN"/>
        </w:rPr>
        <w:t>磋商</w:t>
      </w:r>
      <w:r>
        <w:rPr>
          <w:rFonts w:hint="eastAsia" w:ascii="Times New Roman" w:hAnsi="Times New Roman" w:eastAsia="宋体" w:cs="宋体"/>
          <w:color w:val="auto"/>
          <w:sz w:val="24"/>
          <w:szCs w:val="24"/>
          <w:highlight w:val="none"/>
        </w:rPr>
        <w:t>向成交供应商收取代理服务费，按国家发改委颁发的[2011]534号文《国家发改委关于降低部分建设项目收费标准规范收费行为等有关问题的通知》的有关规定执行，具体如下：</w:t>
      </w:r>
      <w:r>
        <w:rPr>
          <w:rFonts w:hint="eastAsia" w:ascii="Times New Roman" w:hAnsi="Times New Roman" w:eastAsia="宋体" w:cs="宋体"/>
          <w:color w:val="auto"/>
          <w:sz w:val="24"/>
          <w:szCs w:val="24"/>
          <w:highlight w:val="none"/>
          <w:lang w:eastAsia="zh-CN"/>
        </w:rPr>
        <w:t>成交</w:t>
      </w:r>
      <w:r>
        <w:rPr>
          <w:rFonts w:hint="eastAsia" w:ascii="Times New Roman" w:hAnsi="Times New Roman" w:eastAsia="宋体" w:cs="宋体"/>
          <w:color w:val="auto"/>
          <w:sz w:val="24"/>
          <w:szCs w:val="24"/>
          <w:highlight w:val="none"/>
        </w:rPr>
        <w:t>服务费按差额定率累进法计算，以成交通知书确定的</w:t>
      </w:r>
      <w:r>
        <w:rPr>
          <w:rFonts w:hint="eastAsia" w:ascii="Times New Roman" w:hAnsi="Times New Roman" w:eastAsia="宋体" w:cs="宋体"/>
          <w:color w:val="auto"/>
          <w:sz w:val="24"/>
          <w:szCs w:val="24"/>
          <w:highlight w:val="none"/>
          <w:lang w:eastAsia="zh-CN"/>
        </w:rPr>
        <w:t>成交</w:t>
      </w:r>
      <w:r>
        <w:rPr>
          <w:rFonts w:hint="eastAsia" w:ascii="Times New Roman" w:hAnsi="Times New Roman" w:eastAsia="宋体" w:cs="宋体"/>
          <w:color w:val="auto"/>
          <w:sz w:val="24"/>
          <w:szCs w:val="24"/>
          <w:highlight w:val="none"/>
        </w:rPr>
        <w:t>金额作为收费的计算依据，按招标收费标准下浮40%计算，不满1500元的，按1500元收取。</w:t>
      </w:r>
      <w:r>
        <w:rPr>
          <w:rFonts w:hint="eastAsia" w:ascii="Times New Roman" w:cs="仿宋"/>
          <w:color w:val="auto"/>
          <w:sz w:val="24"/>
          <w:szCs w:val="24"/>
          <w:highlight w:val="none"/>
        </w:rPr>
        <w:t>评委费按照南通市财政局通财购【2018】18 号文</w:t>
      </w:r>
      <w:r>
        <w:rPr>
          <w:rFonts w:hint="eastAsia" w:ascii="Times New Roman" w:cs="仿宋"/>
          <w:color w:val="auto"/>
          <w:sz w:val="24"/>
          <w:szCs w:val="24"/>
          <w:highlight w:val="none"/>
          <w:lang w:eastAsia="zh-CN"/>
        </w:rPr>
        <w:t>执行。</w:t>
      </w:r>
    </w:p>
    <w:p w14:paraId="74E7B100">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3、磋商程序顺利进行后，除供应商的原件可退回外，其余所有的响应文件都将作为档案保存，不论成交与否，代理机构均不退回。</w:t>
      </w:r>
    </w:p>
    <w:p w14:paraId="58CC8B51">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4、无论磋商过程和结果如何，参加项目磋商的供应商自行承担与本次项目磋商有关的全部费用。</w:t>
      </w:r>
    </w:p>
    <w:p w14:paraId="29D58D17">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color w:val="auto"/>
          <w:sz w:val="24"/>
          <w:szCs w:val="24"/>
          <w:highlight w:val="none"/>
        </w:rPr>
        <w:t>十、</w:t>
      </w:r>
      <w:r>
        <w:rPr>
          <w:rFonts w:hint="eastAsia" w:ascii="Times New Roman" w:hAnsi="Times New Roman" w:eastAsia="宋体" w:cs="宋体"/>
          <w:b/>
          <w:bCs/>
          <w:color w:val="auto"/>
          <w:sz w:val="24"/>
          <w:szCs w:val="24"/>
          <w:highlight w:val="none"/>
        </w:rPr>
        <w:t>磋商响应文件的有效期</w:t>
      </w:r>
    </w:p>
    <w:p w14:paraId="31E380B5">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1、从磋商响应文件接收截止之日算起，45个</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日历天</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内响应文件应保持有效。有效期短于这个规定期限的磋商，将被拒绝。</w:t>
      </w:r>
    </w:p>
    <w:p w14:paraId="060FA8E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14:paraId="070D48B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十一、未尽事宜</w:t>
      </w:r>
    </w:p>
    <w:p w14:paraId="5E2AD763">
      <w:pPr>
        <w:keepNext w:val="0"/>
        <w:keepLines w:val="0"/>
        <w:pageBreakBefore w:val="0"/>
        <w:kinsoku/>
        <w:wordWrap w:val="0"/>
        <w:topLinePunct w:val="0"/>
        <w:autoSpaceDE/>
        <w:autoSpaceDN/>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按《中华人民共和国政府采购法》及《政府采购竞争性磋商采购方式管理暂行办法》与其他有关法律法规的规定执行。</w:t>
      </w:r>
    </w:p>
    <w:p w14:paraId="4DF9C9B8">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color w:val="auto"/>
          <w:w w:val="80"/>
          <w:kern w:val="44"/>
          <w:sz w:val="48"/>
          <w:szCs w:val="44"/>
          <w:highlight w:val="none"/>
        </w:rPr>
      </w:pPr>
      <w:r>
        <w:rPr>
          <w:rFonts w:ascii="Times New Roman" w:hAnsi="Times New Roman" w:eastAsia="宋体" w:cs="宋体"/>
          <w:color w:val="auto"/>
          <w:w w:val="80"/>
          <w:sz w:val="48"/>
          <w:szCs w:val="44"/>
          <w:highlight w:val="none"/>
        </w:rPr>
        <w:br w:type="page"/>
      </w:r>
    </w:p>
    <w:p w14:paraId="49FAFCA5">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第三章 项目需求</w:t>
      </w:r>
    </w:p>
    <w:p w14:paraId="5B04D98C">
      <w:pPr>
        <w:keepNext w:val="0"/>
        <w:keepLines w:val="0"/>
        <w:pageBreakBefore w:val="0"/>
        <w:kinsoku/>
        <w:wordWrap w:val="0"/>
        <w:topLinePunct w:val="0"/>
        <w:autoSpaceDE/>
        <w:autoSpaceDN/>
        <w:bidi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请响应供应商在报名前和制作响应文件时仔细研究项目需求说明。</w:t>
      </w:r>
    </w:p>
    <w:p w14:paraId="7BCFE75A">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一、项目概况</w:t>
      </w:r>
    </w:p>
    <w:p w14:paraId="73AC8676">
      <w:pPr>
        <w:keepNext w:val="0"/>
        <w:keepLines w:val="0"/>
        <w:pageBreakBefore w:val="0"/>
        <w:kinsoku/>
        <w:wordWrap w:val="0"/>
        <w:topLinePunct w:val="0"/>
        <w:autoSpaceDE/>
        <w:autoSpaceDN/>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根据《国家推进使用正版软件工作部际联席会议第十二次全体会议部署》、《江苏省 2023 年推进使用正版软件工作安排》、《关于2023年关于迎接省软件正版化工作调研检查的通知》等要求，为确保医院正版化工作的顺利实施，切实保障医院信息系统稳定运行，需要专业正版化授权机构为单位提供软件正版化整改服务。本项目将完成相关软件的采购，及安装、配置、调试工作。</w:t>
      </w:r>
    </w:p>
    <w:p w14:paraId="50F32FA0">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二、项目具体需求</w:t>
      </w:r>
    </w:p>
    <w:p w14:paraId="559AF96F">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（一）项目建设范围</w:t>
      </w:r>
    </w:p>
    <w:p w14:paraId="44CB68D3">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cs="宋体" w:eastAsiaTheme="minorEastAsia"/>
          <w:color w:val="auto"/>
          <w:kern w:val="2"/>
          <w:sz w:val="24"/>
          <w:szCs w:val="22"/>
          <w:highlight w:val="none"/>
          <w:lang w:val="en-US" w:eastAsia="zh-CN" w:bidi="ar-SA"/>
        </w:rPr>
      </w:pPr>
      <w:r>
        <w:rPr>
          <w:rFonts w:hint="eastAsia" w:ascii="宋体" w:hAnsi="宋体" w:cs="宋体" w:eastAsiaTheme="minorEastAsia"/>
          <w:color w:val="auto"/>
          <w:kern w:val="2"/>
          <w:sz w:val="24"/>
          <w:szCs w:val="22"/>
          <w:highlight w:val="none"/>
          <w:lang w:val="en-US" w:eastAsia="zh-CN" w:bidi="ar-SA"/>
        </w:rPr>
        <w:t>1、软件产品</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2"/>
        <w:gridCol w:w="891"/>
        <w:gridCol w:w="4553"/>
      </w:tblGrid>
      <w:tr w14:paraId="3AB8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72" w:type="dxa"/>
            <w:shd w:val="clear" w:color="auto" w:fill="D8D8D8" w:themeFill="background1" w:themeFillShade="D9"/>
            <w:noWrap/>
            <w:vAlign w:val="center"/>
          </w:tcPr>
          <w:p w14:paraId="4A81315B">
            <w:pPr>
              <w:pStyle w:val="71"/>
              <w:keepNext w:val="0"/>
              <w:keepLines w:val="0"/>
              <w:pageBreakBefore w:val="0"/>
              <w:kinsoku/>
              <w:topLinePunct w:val="0"/>
              <w:autoSpaceDE/>
              <w:autoSpaceDN/>
              <w:bidi w:val="0"/>
              <w:snapToGrid w:val="0"/>
              <w:spacing w:line="360" w:lineRule="auto"/>
              <w:rPr>
                <w:rFonts w:ascii="宋体" w:hAnsi="宋体" w:eastAsia="宋体"/>
                <w:b/>
                <w:bCs w:val="0"/>
                <w:color w:val="auto"/>
                <w:sz w:val="24"/>
                <w:szCs w:val="24"/>
                <w:highlight w:val="none"/>
              </w:rPr>
            </w:pPr>
            <w:r>
              <w:rPr>
                <w:rFonts w:hint="eastAsia" w:ascii="宋体" w:hAnsi="宋体" w:eastAsia="宋体"/>
                <w:b/>
                <w:bCs w:val="0"/>
                <w:color w:val="auto"/>
                <w:sz w:val="24"/>
                <w:szCs w:val="24"/>
                <w:highlight w:val="none"/>
              </w:rPr>
              <w:t>名称</w:t>
            </w:r>
          </w:p>
        </w:tc>
        <w:tc>
          <w:tcPr>
            <w:tcW w:w="891" w:type="dxa"/>
            <w:shd w:val="clear" w:color="auto" w:fill="D8D8D8" w:themeFill="background1" w:themeFillShade="D9"/>
            <w:noWrap/>
            <w:vAlign w:val="center"/>
          </w:tcPr>
          <w:p w14:paraId="594F4D91">
            <w:pPr>
              <w:pStyle w:val="71"/>
              <w:keepNext w:val="0"/>
              <w:keepLines w:val="0"/>
              <w:pageBreakBefore w:val="0"/>
              <w:kinsoku/>
              <w:topLinePunct w:val="0"/>
              <w:autoSpaceDE/>
              <w:autoSpaceDN/>
              <w:bidi w:val="0"/>
              <w:snapToGrid w:val="0"/>
              <w:spacing w:line="360" w:lineRule="auto"/>
              <w:rPr>
                <w:rFonts w:ascii="宋体" w:hAnsi="宋体" w:eastAsia="宋体"/>
                <w:b/>
                <w:bCs w:val="0"/>
                <w:color w:val="auto"/>
                <w:sz w:val="24"/>
                <w:szCs w:val="24"/>
                <w:highlight w:val="none"/>
              </w:rPr>
            </w:pPr>
            <w:r>
              <w:rPr>
                <w:rFonts w:hint="eastAsia" w:ascii="宋体" w:hAnsi="宋体" w:eastAsia="宋体"/>
                <w:b/>
                <w:bCs w:val="0"/>
                <w:color w:val="auto"/>
                <w:sz w:val="24"/>
                <w:szCs w:val="24"/>
                <w:highlight w:val="none"/>
              </w:rPr>
              <w:t>数量</w:t>
            </w:r>
          </w:p>
        </w:tc>
        <w:tc>
          <w:tcPr>
            <w:tcW w:w="4553" w:type="dxa"/>
            <w:shd w:val="clear" w:color="auto" w:fill="D8D8D8" w:themeFill="background1" w:themeFillShade="D9"/>
            <w:noWrap/>
            <w:vAlign w:val="center"/>
          </w:tcPr>
          <w:p w14:paraId="525FA7E4">
            <w:pPr>
              <w:pStyle w:val="71"/>
              <w:keepNext w:val="0"/>
              <w:keepLines w:val="0"/>
              <w:pageBreakBefore w:val="0"/>
              <w:kinsoku/>
              <w:topLinePunct w:val="0"/>
              <w:autoSpaceDE/>
              <w:autoSpaceDN/>
              <w:bidi w:val="0"/>
              <w:snapToGrid w:val="0"/>
              <w:spacing w:line="360" w:lineRule="auto"/>
              <w:rPr>
                <w:rFonts w:ascii="宋体" w:hAnsi="宋体" w:eastAsia="宋体"/>
                <w:b/>
                <w:bCs w:val="0"/>
                <w:color w:val="auto"/>
                <w:sz w:val="24"/>
                <w:szCs w:val="24"/>
                <w:highlight w:val="none"/>
              </w:rPr>
            </w:pPr>
            <w:r>
              <w:rPr>
                <w:rFonts w:hint="eastAsia" w:ascii="宋体" w:hAnsi="宋体" w:eastAsia="宋体"/>
                <w:b/>
                <w:bCs w:val="0"/>
                <w:color w:val="auto"/>
                <w:sz w:val="24"/>
                <w:szCs w:val="24"/>
                <w:highlight w:val="none"/>
              </w:rPr>
              <w:t>配置明细</w:t>
            </w:r>
          </w:p>
        </w:tc>
      </w:tr>
      <w:tr w14:paraId="0C12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72" w:type="dxa"/>
            <w:shd w:val="clear" w:color="auto" w:fill="auto"/>
            <w:noWrap/>
            <w:vAlign w:val="center"/>
          </w:tcPr>
          <w:p w14:paraId="58A2B707">
            <w:pPr>
              <w:pStyle w:val="72"/>
              <w:keepNext w:val="0"/>
              <w:keepLines w:val="0"/>
              <w:pageBreakBefore w:val="0"/>
              <w:kinsoku/>
              <w:topLinePunct w:val="0"/>
              <w:autoSpaceDE/>
              <w:autoSpaceDN/>
              <w:bidi w:val="0"/>
              <w:snapToGrid w:val="0"/>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W</w:t>
            </w:r>
            <w:r>
              <w:rPr>
                <w:rFonts w:hint="eastAsia" w:ascii="宋体" w:hAnsi="宋体" w:eastAsia="宋体"/>
                <w:color w:val="auto"/>
                <w:sz w:val="24"/>
                <w:szCs w:val="24"/>
                <w:highlight w:val="none"/>
              </w:rPr>
              <w:t>indows企业版套件服务</w:t>
            </w:r>
          </w:p>
        </w:tc>
        <w:tc>
          <w:tcPr>
            <w:tcW w:w="891" w:type="dxa"/>
            <w:shd w:val="clear" w:color="auto" w:fill="auto"/>
            <w:noWrap/>
            <w:vAlign w:val="center"/>
          </w:tcPr>
          <w:p w14:paraId="7554668D">
            <w:pPr>
              <w:pStyle w:val="72"/>
              <w:keepNext w:val="0"/>
              <w:keepLines w:val="0"/>
              <w:pageBreakBefore w:val="0"/>
              <w:kinsoku/>
              <w:topLinePunct w:val="0"/>
              <w:autoSpaceDE/>
              <w:autoSpaceDN/>
              <w:bidi w:val="0"/>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3年</w:t>
            </w:r>
          </w:p>
        </w:tc>
        <w:tc>
          <w:tcPr>
            <w:tcW w:w="4553" w:type="dxa"/>
            <w:shd w:val="clear" w:color="auto" w:fill="auto"/>
            <w:noWrap/>
            <w:vAlign w:val="center"/>
          </w:tcPr>
          <w:p w14:paraId="41EF155A">
            <w:pPr>
              <w:pStyle w:val="72"/>
              <w:keepNext w:val="0"/>
              <w:keepLines w:val="0"/>
              <w:pageBreakBefore w:val="0"/>
              <w:kinsoku/>
              <w:topLinePunct w:val="0"/>
              <w:autoSpaceDE/>
              <w:autoSpaceDN/>
              <w:bidi w:val="0"/>
              <w:snapToGri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W</w:t>
            </w:r>
            <w:r>
              <w:rPr>
                <w:rFonts w:ascii="宋体" w:hAnsi="宋体" w:eastAsia="宋体"/>
                <w:color w:val="auto"/>
                <w:sz w:val="24"/>
                <w:szCs w:val="24"/>
                <w:highlight w:val="none"/>
              </w:rPr>
              <w:t>i</w:t>
            </w:r>
            <w:r>
              <w:rPr>
                <w:rFonts w:hint="eastAsia" w:ascii="宋体" w:hAnsi="宋体" w:eastAsia="宋体"/>
                <w:color w:val="auto"/>
                <w:sz w:val="24"/>
                <w:szCs w:val="24"/>
                <w:highlight w:val="none"/>
              </w:rPr>
              <w:t>ndows企业版，支持升级以及降级使用。覆盖全院终端设备</w:t>
            </w:r>
          </w:p>
        </w:tc>
      </w:tr>
      <w:tr w14:paraId="1352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72" w:type="dxa"/>
            <w:shd w:val="clear" w:color="auto" w:fill="auto"/>
            <w:noWrap/>
            <w:vAlign w:val="center"/>
          </w:tcPr>
          <w:p w14:paraId="4C423060">
            <w:pPr>
              <w:pStyle w:val="72"/>
              <w:keepNext w:val="0"/>
              <w:keepLines w:val="0"/>
              <w:pageBreakBefore w:val="0"/>
              <w:kinsoku/>
              <w:topLinePunct w:val="0"/>
              <w:autoSpaceDE/>
              <w:autoSpaceDN/>
              <w:bidi w:val="0"/>
              <w:snapToGrid w:val="0"/>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O</w:t>
            </w:r>
            <w:r>
              <w:rPr>
                <w:rFonts w:hint="eastAsia" w:ascii="宋体" w:hAnsi="宋体" w:eastAsia="宋体"/>
                <w:color w:val="auto"/>
                <w:sz w:val="24"/>
                <w:szCs w:val="24"/>
                <w:highlight w:val="none"/>
              </w:rPr>
              <w:t>ffice专业增强版套件服务</w:t>
            </w:r>
          </w:p>
        </w:tc>
        <w:tc>
          <w:tcPr>
            <w:tcW w:w="891" w:type="dxa"/>
            <w:shd w:val="clear" w:color="auto" w:fill="auto"/>
            <w:noWrap/>
            <w:vAlign w:val="center"/>
          </w:tcPr>
          <w:p w14:paraId="2246B40F">
            <w:pPr>
              <w:pStyle w:val="72"/>
              <w:keepNext w:val="0"/>
              <w:keepLines w:val="0"/>
              <w:pageBreakBefore w:val="0"/>
              <w:kinsoku/>
              <w:topLinePunct w:val="0"/>
              <w:autoSpaceDE/>
              <w:autoSpaceDN/>
              <w:bidi w:val="0"/>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3年</w:t>
            </w:r>
          </w:p>
        </w:tc>
        <w:tc>
          <w:tcPr>
            <w:tcW w:w="4553" w:type="dxa"/>
            <w:shd w:val="clear" w:color="auto" w:fill="auto"/>
            <w:noWrap/>
            <w:vAlign w:val="center"/>
          </w:tcPr>
          <w:p w14:paraId="0D766D7B">
            <w:pPr>
              <w:pStyle w:val="72"/>
              <w:keepNext w:val="0"/>
              <w:keepLines w:val="0"/>
              <w:pageBreakBefore w:val="0"/>
              <w:kinsoku/>
              <w:topLinePunct w:val="0"/>
              <w:autoSpaceDE/>
              <w:autoSpaceDN/>
              <w:bidi w:val="0"/>
              <w:snapToGrid w:val="0"/>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O</w:t>
            </w:r>
            <w:r>
              <w:rPr>
                <w:rFonts w:hint="eastAsia" w:ascii="宋体" w:hAnsi="宋体" w:eastAsia="宋体"/>
                <w:color w:val="auto"/>
                <w:sz w:val="24"/>
                <w:szCs w:val="24"/>
                <w:highlight w:val="none"/>
              </w:rPr>
              <w:t>ffice专业增强版，支持升级以及降级使用。覆盖全院终端设备</w:t>
            </w:r>
          </w:p>
        </w:tc>
      </w:tr>
      <w:tr w14:paraId="1E13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72" w:type="dxa"/>
            <w:shd w:val="clear" w:color="auto" w:fill="auto"/>
            <w:noWrap/>
            <w:vAlign w:val="center"/>
          </w:tcPr>
          <w:p w14:paraId="6A89470B">
            <w:pPr>
              <w:pStyle w:val="72"/>
              <w:keepNext w:val="0"/>
              <w:keepLines w:val="0"/>
              <w:pageBreakBefore w:val="0"/>
              <w:kinsoku/>
              <w:topLinePunct w:val="0"/>
              <w:autoSpaceDE/>
              <w:autoSpaceDN/>
              <w:bidi w:val="0"/>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Windows</w:t>
            </w:r>
            <w:r>
              <w:rPr>
                <w:rFonts w:ascii="宋体" w:hAnsi="宋体" w:eastAsia="宋体"/>
                <w:color w:val="auto"/>
                <w:sz w:val="24"/>
                <w:szCs w:val="24"/>
                <w:highlight w:val="none"/>
              </w:rPr>
              <w:t xml:space="preserve"> S</w:t>
            </w:r>
            <w:r>
              <w:rPr>
                <w:rFonts w:hint="eastAsia" w:ascii="宋体" w:hAnsi="宋体" w:eastAsia="宋体"/>
                <w:color w:val="auto"/>
                <w:sz w:val="24"/>
                <w:szCs w:val="24"/>
                <w:highlight w:val="none"/>
              </w:rPr>
              <w:t>erver标准版套件服务</w:t>
            </w:r>
          </w:p>
        </w:tc>
        <w:tc>
          <w:tcPr>
            <w:tcW w:w="891" w:type="dxa"/>
            <w:shd w:val="clear" w:color="auto" w:fill="auto"/>
            <w:noWrap/>
            <w:vAlign w:val="center"/>
          </w:tcPr>
          <w:p w14:paraId="2F776343">
            <w:pPr>
              <w:pStyle w:val="72"/>
              <w:keepNext w:val="0"/>
              <w:keepLines w:val="0"/>
              <w:pageBreakBefore w:val="0"/>
              <w:kinsoku/>
              <w:topLinePunct w:val="0"/>
              <w:autoSpaceDE/>
              <w:autoSpaceDN/>
              <w:bidi w:val="0"/>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3年</w:t>
            </w:r>
          </w:p>
        </w:tc>
        <w:tc>
          <w:tcPr>
            <w:tcW w:w="4553" w:type="dxa"/>
            <w:shd w:val="clear" w:color="auto" w:fill="auto"/>
            <w:noWrap/>
            <w:vAlign w:val="center"/>
          </w:tcPr>
          <w:p w14:paraId="1227DB42">
            <w:pPr>
              <w:pStyle w:val="72"/>
              <w:keepNext w:val="0"/>
              <w:keepLines w:val="0"/>
              <w:pageBreakBefore w:val="0"/>
              <w:kinsoku/>
              <w:topLinePunct w:val="0"/>
              <w:autoSpaceDE/>
              <w:autoSpaceDN/>
              <w:bidi w:val="0"/>
              <w:snapToGri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Windows</w:t>
            </w:r>
            <w:r>
              <w:rPr>
                <w:rFonts w:ascii="宋体" w:hAnsi="宋体" w:eastAsia="宋体"/>
                <w:color w:val="auto"/>
                <w:sz w:val="24"/>
                <w:szCs w:val="24"/>
                <w:highlight w:val="none"/>
              </w:rPr>
              <w:t xml:space="preserve"> S</w:t>
            </w:r>
            <w:r>
              <w:rPr>
                <w:rFonts w:hint="eastAsia" w:ascii="宋体" w:hAnsi="宋体" w:eastAsia="宋体"/>
                <w:color w:val="auto"/>
                <w:sz w:val="24"/>
                <w:szCs w:val="24"/>
                <w:highlight w:val="none"/>
              </w:rPr>
              <w:t>erver标准版，支持升级以及降级使用。覆盖全院终端设备</w:t>
            </w:r>
          </w:p>
        </w:tc>
      </w:tr>
    </w:tbl>
    <w:p w14:paraId="5F8903E1">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cs="宋体" w:eastAsiaTheme="minorEastAsia"/>
          <w:color w:val="auto"/>
          <w:kern w:val="2"/>
          <w:sz w:val="24"/>
          <w:szCs w:val="22"/>
          <w:highlight w:val="none"/>
          <w:lang w:val="en-US" w:eastAsia="zh-CN" w:bidi="ar-SA"/>
        </w:rPr>
      </w:pPr>
      <w:r>
        <w:rPr>
          <w:rFonts w:hint="eastAsia" w:ascii="宋体" w:hAnsi="宋体" w:cs="宋体" w:eastAsiaTheme="minorEastAsia"/>
          <w:color w:val="auto"/>
          <w:kern w:val="2"/>
          <w:sz w:val="24"/>
          <w:szCs w:val="22"/>
          <w:highlight w:val="none"/>
          <w:lang w:val="en-US" w:eastAsia="zh-CN" w:bidi="ar-SA"/>
        </w:rPr>
        <w:t xml:space="preserve">2、软件授权许可要求 </w:t>
      </w:r>
    </w:p>
    <w:p w14:paraId="2666C3B4">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（1）所有产品授权许可方式为</w:t>
      </w:r>
      <w:r>
        <w:rPr>
          <w:rFonts w:hint="eastAsia" w:ascii="宋体" w:hAnsi="宋体" w:eastAsia="宋体" w:cs="宋体"/>
          <w:b/>
          <w:bCs/>
          <w:color w:val="auto"/>
          <w:sz w:val="24"/>
          <w:szCs w:val="24"/>
          <w:highlight w:val="none"/>
        </w:rPr>
        <w:t>Microsoft Hospital Agreement</w:t>
      </w:r>
      <w:r>
        <w:rPr>
          <w:rFonts w:hint="eastAsia" w:ascii="宋体" w:hAnsi="宋体" w:eastAsia="宋体" w:cs="宋体"/>
          <w:color w:val="auto"/>
          <w:sz w:val="24"/>
          <w:szCs w:val="24"/>
          <w:highlight w:val="none"/>
        </w:rPr>
        <w:t>，非OEM，COEM或彩盒包装产品。授权许可必须由原厂商</w:t>
      </w:r>
      <w:r>
        <w:rPr>
          <w:rFonts w:hint="eastAsia" w:ascii="宋体" w:hAnsi="宋体" w:eastAsia="宋体" w:cs="宋体"/>
          <w:b/>
          <w:bCs/>
          <w:color w:val="auto"/>
          <w:sz w:val="24"/>
          <w:szCs w:val="24"/>
          <w:highlight w:val="none"/>
        </w:rPr>
        <w:t>官方电子邮件</w:t>
      </w:r>
      <w:r>
        <w:rPr>
          <w:rFonts w:hint="eastAsia" w:ascii="宋体" w:hAnsi="宋体" w:eastAsia="宋体" w:cs="宋体"/>
          <w:color w:val="auto"/>
          <w:sz w:val="24"/>
          <w:szCs w:val="24"/>
          <w:highlight w:val="none"/>
        </w:rPr>
        <w:t>交付。</w:t>
      </w:r>
    </w:p>
    <w:p w14:paraId="4F6E989F">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（2）软件产品授权许可，可任意降级使用早前历史版本或升级到协议期内的最新版权，不得与硬件绑定，当硬件损坏或更新换代以后，该授权还可用于更换后的新硬件。</w:t>
      </w:r>
    </w:p>
    <w:p w14:paraId="60E1E97F">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必须提供</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人院内使用所需的上述软件的所有正版激活码。</w:t>
      </w:r>
    </w:p>
    <w:p w14:paraId="55C78FE4">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cs="宋体" w:eastAsiaTheme="minorEastAsia"/>
          <w:color w:val="auto"/>
          <w:kern w:val="2"/>
          <w:sz w:val="24"/>
          <w:szCs w:val="22"/>
          <w:highlight w:val="none"/>
          <w:lang w:val="en-US" w:eastAsia="zh-CN" w:bidi="ar-SA"/>
        </w:rPr>
      </w:pPr>
      <w:r>
        <w:rPr>
          <w:rFonts w:hint="eastAsia" w:ascii="宋体" w:hAnsi="宋体" w:cs="宋体" w:eastAsiaTheme="minorEastAsia"/>
          <w:color w:val="auto"/>
          <w:kern w:val="2"/>
          <w:sz w:val="24"/>
          <w:szCs w:val="22"/>
          <w:highlight w:val="none"/>
          <w:lang w:val="en-US" w:eastAsia="zh-CN" w:bidi="ar-SA"/>
        </w:rPr>
        <w:t xml:space="preserve">3、售后要求 </w:t>
      </w:r>
    </w:p>
    <w:p w14:paraId="63E8071A">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须协助医院配合国家、省、市各级正版化领导小组及版权行政主管部门的软件正版化检查工作。</w:t>
      </w:r>
    </w:p>
    <w:p w14:paraId="57655227">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须承诺</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并签订合同后的30个工作日内完成产品交付。</w:t>
      </w:r>
    </w:p>
    <w:p w14:paraId="650D769C">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须承诺签署合同后的三年内（以合同签订之日起计算），须根据医院系统和应用软件升级需要，在当前购买的软件授权清单范围内，</w:t>
      </w:r>
      <w:r>
        <w:rPr>
          <w:rFonts w:hint="eastAsia" w:ascii="宋体" w:hAnsi="宋体" w:eastAsia="宋体" w:cs="宋体"/>
          <w:b/>
          <w:bCs/>
          <w:color w:val="auto"/>
          <w:sz w:val="24"/>
          <w:szCs w:val="24"/>
          <w:highlight w:val="none"/>
        </w:rPr>
        <w:t>须向</w:t>
      </w:r>
      <w:r>
        <w:rPr>
          <w:rFonts w:hint="eastAsia" w:ascii="宋体" w:hAnsi="宋体" w:eastAsia="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提供满足其全院区设备使用所需的软件产品激活码，</w:t>
      </w:r>
      <w:r>
        <w:rPr>
          <w:rFonts w:hint="eastAsia" w:ascii="宋体" w:hAnsi="宋体" w:eastAsia="宋体" w:cs="宋体"/>
          <w:color w:val="auto"/>
          <w:sz w:val="24"/>
          <w:szCs w:val="24"/>
          <w:highlight w:val="none"/>
        </w:rPr>
        <w:t>协助医院完成所投产品系列升级更新和部署（允许降级使用早前版本），并帮助医院逐步完善知识产权内部管理规范，负责解决与本次采购的软件授权相关问题或纠纷。</w:t>
      </w:r>
    </w:p>
    <w:p w14:paraId="508C33B6">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（二）技术要求</w:t>
      </w:r>
    </w:p>
    <w:p w14:paraId="2DA89C51">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提供Windows企业版系列、Office专业增强版系列以及Windows Server标准版套件的Microsoft Hospital Agreement授权。</w:t>
      </w:r>
    </w:p>
    <w:p w14:paraId="3881A90A">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授权方式：Microsoft Hospital Agreement</w:t>
      </w:r>
    </w:p>
    <w:p w14:paraId="613EC7C3">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涵盖范围：覆盖医院所有固定资产电脑，办公室、临床科室、工作站等场所的所有计算机，包括在院人员的电脑和笔记本。</w:t>
      </w:r>
    </w:p>
    <w:p w14:paraId="40826998">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授权产品：Windows企业版系列和Office专业增强版系列，不低于Windows 10企业版和Office 2021专业增强版包括上述软件的当前版本和降级版本，以及Windows Server标准版套件。</w:t>
      </w:r>
    </w:p>
    <w:p w14:paraId="6619B951">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产品语言：中英文2种版本</w:t>
      </w:r>
    </w:p>
    <w:p w14:paraId="03E7551C">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2.1.5技术指标：</w:t>
      </w:r>
    </w:p>
    <w:p w14:paraId="5CB8D03D">
      <w:pPr>
        <w:pStyle w:val="73"/>
        <w:keepNext w:val="0"/>
        <w:keepLines w:val="0"/>
        <w:pageBreakBefore w:val="0"/>
        <w:tabs>
          <w:tab w:val="left" w:pos="1440"/>
        </w:tabs>
        <w:kinsoku/>
        <w:topLinePunct w:val="0"/>
        <w:autoSpaceDE/>
        <w:autoSpaceDN/>
        <w:bidi w:val="0"/>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Windows企业版套件服务的技术指标：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20"/>
        <w:gridCol w:w="7026"/>
      </w:tblGrid>
      <w:tr w14:paraId="29F4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045" w:type="dxa"/>
            <w:shd w:val="clear" w:color="auto" w:fill="BFBFBF"/>
            <w:tcMar>
              <w:top w:w="0" w:type="dxa"/>
              <w:left w:w="108" w:type="dxa"/>
              <w:bottom w:w="0" w:type="dxa"/>
              <w:right w:w="108" w:type="dxa"/>
            </w:tcMar>
            <w:vAlign w:val="top"/>
          </w:tcPr>
          <w:p w14:paraId="39198F6C">
            <w:pPr>
              <w:pStyle w:val="71"/>
              <w:keepNext w:val="0"/>
              <w:keepLines w:val="0"/>
              <w:pageBreakBefore w:val="0"/>
              <w:kinsoku/>
              <w:topLinePunct w:val="0"/>
              <w:autoSpaceDE/>
              <w:autoSpaceDN/>
              <w:bidi w:val="0"/>
              <w:snapToGrid w:val="0"/>
              <w:spacing w:line="360" w:lineRule="auto"/>
              <w:rPr>
                <w:rFonts w:ascii="宋体" w:hAnsi="宋体" w:eastAsia="宋体"/>
                <w:b w:val="0"/>
                <w:color w:val="auto"/>
                <w:szCs w:val="24"/>
                <w:highlight w:val="none"/>
              </w:rPr>
            </w:pPr>
            <w:r>
              <w:rPr>
                <w:rFonts w:hint="eastAsia" w:ascii="宋体" w:hAnsi="宋体" w:eastAsia="宋体"/>
                <w:b w:val="0"/>
                <w:color w:val="auto"/>
                <w:szCs w:val="24"/>
                <w:highlight w:val="none"/>
              </w:rPr>
              <w:t>指标项目</w:t>
            </w:r>
          </w:p>
        </w:tc>
        <w:tc>
          <w:tcPr>
            <w:tcW w:w="7486" w:type="dxa"/>
            <w:shd w:val="clear" w:color="auto" w:fill="BFBFBF"/>
            <w:tcMar>
              <w:top w:w="0" w:type="dxa"/>
              <w:left w:w="108" w:type="dxa"/>
              <w:bottom w:w="0" w:type="dxa"/>
              <w:right w:w="108" w:type="dxa"/>
            </w:tcMar>
            <w:vAlign w:val="top"/>
          </w:tcPr>
          <w:p w14:paraId="24A00537">
            <w:pPr>
              <w:pStyle w:val="71"/>
              <w:keepNext w:val="0"/>
              <w:keepLines w:val="0"/>
              <w:pageBreakBefore w:val="0"/>
              <w:kinsoku/>
              <w:topLinePunct w:val="0"/>
              <w:autoSpaceDE/>
              <w:autoSpaceDN/>
              <w:bidi w:val="0"/>
              <w:snapToGrid w:val="0"/>
              <w:spacing w:line="360" w:lineRule="auto"/>
              <w:rPr>
                <w:rFonts w:ascii="宋体" w:hAnsi="宋体" w:eastAsia="宋体"/>
                <w:b w:val="0"/>
                <w:color w:val="auto"/>
                <w:szCs w:val="24"/>
                <w:highlight w:val="none"/>
              </w:rPr>
            </w:pPr>
            <w:r>
              <w:rPr>
                <w:rFonts w:hint="eastAsia" w:ascii="宋体" w:hAnsi="宋体" w:eastAsia="宋体"/>
                <w:b w:val="0"/>
                <w:color w:val="auto"/>
                <w:szCs w:val="24"/>
                <w:highlight w:val="none"/>
              </w:rPr>
              <w:t>指标要求</w:t>
            </w:r>
          </w:p>
        </w:tc>
      </w:tr>
      <w:tr w14:paraId="7E04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top"/>
          </w:tcPr>
          <w:p w14:paraId="3346F574">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★版本</w:t>
            </w:r>
          </w:p>
        </w:tc>
        <w:tc>
          <w:tcPr>
            <w:tcW w:w="7486" w:type="dxa"/>
            <w:tcMar>
              <w:top w:w="0" w:type="dxa"/>
              <w:left w:w="108" w:type="dxa"/>
              <w:bottom w:w="0" w:type="dxa"/>
              <w:right w:w="108" w:type="dxa"/>
            </w:tcMar>
            <w:vAlign w:val="top"/>
          </w:tcPr>
          <w:p w14:paraId="444338B5">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中文版或英文版</w:t>
            </w:r>
          </w:p>
          <w:p w14:paraId="61E3623A">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授权模式必须是批量式授权许可，非OEM/COEM版</w:t>
            </w:r>
          </w:p>
          <w:p w14:paraId="6B3C292E">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产品许可可降级使用，产品生命周期不与硬件绑定（</w:t>
            </w:r>
            <w:r>
              <w:rPr>
                <w:rFonts w:hint="eastAsia" w:ascii="宋体" w:hAnsi="宋体" w:eastAsia="宋体"/>
                <w:color w:val="auto"/>
                <w:szCs w:val="24"/>
                <w:highlight w:val="none"/>
                <w:lang w:eastAsia="zh-CN"/>
              </w:rPr>
              <w:t>响应</w:t>
            </w:r>
            <w:r>
              <w:rPr>
                <w:rFonts w:hint="eastAsia" w:ascii="宋体" w:hAnsi="宋体" w:eastAsia="宋体"/>
                <w:color w:val="auto"/>
                <w:szCs w:val="24"/>
                <w:highlight w:val="none"/>
              </w:rPr>
              <w:t>时，提供证明截图）</w:t>
            </w:r>
          </w:p>
        </w:tc>
      </w:tr>
      <w:tr w14:paraId="3101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top"/>
          </w:tcPr>
          <w:p w14:paraId="13D220A9">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提高效率</w:t>
            </w:r>
          </w:p>
        </w:tc>
        <w:tc>
          <w:tcPr>
            <w:tcW w:w="7486" w:type="dxa"/>
            <w:tcMar>
              <w:top w:w="0" w:type="dxa"/>
              <w:left w:w="108" w:type="dxa"/>
              <w:bottom w:w="0" w:type="dxa"/>
              <w:right w:w="108" w:type="dxa"/>
            </w:tcMar>
            <w:vAlign w:val="top"/>
          </w:tcPr>
          <w:p w14:paraId="7F3BB7A7">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提供最基本的兼容x86/x64/ARM硬件平台的操作系统，提供图形化的用户操作交互。无论是简洁的触摸式平板电脑、轻便易携的笔记本电脑，还是功能强大的大型高清屏幕一体机，新操作系统漂亮、快速、流畅的设计均能与之完美契合。它提供流畅，直观的体验。具有强大的兼容性，并提供虚拟桌面、语音助手、自然交互、高效浏览。</w:t>
            </w:r>
          </w:p>
        </w:tc>
      </w:tr>
      <w:tr w14:paraId="5CD4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2045" w:type="dxa"/>
            <w:tcMar>
              <w:top w:w="0" w:type="dxa"/>
              <w:left w:w="108" w:type="dxa"/>
              <w:bottom w:w="0" w:type="dxa"/>
              <w:right w:w="108" w:type="dxa"/>
            </w:tcMar>
            <w:vAlign w:val="top"/>
          </w:tcPr>
          <w:p w14:paraId="1EDADCA0">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节约能耗</w:t>
            </w:r>
          </w:p>
        </w:tc>
        <w:tc>
          <w:tcPr>
            <w:tcW w:w="7486" w:type="dxa"/>
            <w:tcMar>
              <w:top w:w="0" w:type="dxa"/>
              <w:left w:w="108" w:type="dxa"/>
              <w:bottom w:w="0" w:type="dxa"/>
              <w:right w:w="108" w:type="dxa"/>
            </w:tcMar>
            <w:vAlign w:val="top"/>
          </w:tcPr>
          <w:p w14:paraId="4D4EA31E">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支持自适应性显示器亮度。典型移动 PC 的显示器比计算机的其他部分消耗更多的电量。操作系统会在休息一段时间后自动降低显示器亮度，与如今的手机极为相似。</w:t>
            </w:r>
          </w:p>
        </w:tc>
      </w:tr>
      <w:tr w14:paraId="52A2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top"/>
          </w:tcPr>
          <w:p w14:paraId="60C660E7">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安全保护强化</w:t>
            </w:r>
          </w:p>
        </w:tc>
        <w:tc>
          <w:tcPr>
            <w:tcW w:w="7486" w:type="dxa"/>
            <w:tcMar>
              <w:top w:w="0" w:type="dxa"/>
              <w:left w:w="108" w:type="dxa"/>
              <w:bottom w:w="0" w:type="dxa"/>
              <w:right w:w="108" w:type="dxa"/>
            </w:tcMar>
            <w:vAlign w:val="top"/>
          </w:tcPr>
          <w:p w14:paraId="3580555C">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支持Kernel Patch 保护、Service Hardening、数据执行保护、地址空间布局随机化和强制完整性级别等基本安全性特性继续提供对恶意软件和其他形式安全威胁的增强保护；</w:t>
            </w:r>
          </w:p>
          <w:p w14:paraId="1757834A">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支持用户帐户控制。</w:t>
            </w:r>
          </w:p>
          <w:p w14:paraId="135471B2">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支持家长控制（Parental Controls）。</w:t>
            </w:r>
          </w:p>
          <w:p w14:paraId="299A7BE7">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支持Assigned Access功能，可以实施一个用户只允许运行一个应用程序的特定任务场景（无桌面、开始菜单和任务栏，只有指定程序）。</w:t>
            </w:r>
          </w:p>
          <w:p w14:paraId="26901646">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操作系统支持对 USB 移动存储设备（如移动硬盘）驱动器的加密支持，以便在这些数据丢失或被盗时帮助保护它们；</w:t>
            </w:r>
          </w:p>
          <w:p w14:paraId="00B34E9B">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支持集成的人脸识别、虹膜扫描、指纹读取器和操作系统登录；</w:t>
            </w:r>
          </w:p>
          <w:p w14:paraId="79DB353F">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提供反恶意软件保护，提高了从开机到关机的安全性。</w:t>
            </w:r>
          </w:p>
          <w:p w14:paraId="6996A0C8">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平台安全稳定。具有基本的安全功能（如内核修补程序保护、服务强化、数据执行保护、地址空间布局随机选择和强制完整性级别），并针对恶意软件和攻击提供增强的防护。</w:t>
            </w:r>
          </w:p>
        </w:tc>
      </w:tr>
      <w:tr w14:paraId="43FA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045" w:type="dxa"/>
            <w:vMerge w:val="restart"/>
            <w:tcMar>
              <w:top w:w="0" w:type="dxa"/>
              <w:left w:w="108" w:type="dxa"/>
              <w:bottom w:w="0" w:type="dxa"/>
              <w:right w:w="108" w:type="dxa"/>
            </w:tcMar>
            <w:vAlign w:val="top"/>
          </w:tcPr>
          <w:p w14:paraId="50FB7B46">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可靠性高</w:t>
            </w:r>
          </w:p>
        </w:tc>
        <w:tc>
          <w:tcPr>
            <w:tcW w:w="7486" w:type="dxa"/>
            <w:vMerge w:val="restart"/>
            <w:tcMar>
              <w:top w:w="0" w:type="dxa"/>
              <w:left w:w="108" w:type="dxa"/>
              <w:bottom w:w="0" w:type="dxa"/>
              <w:right w:w="108" w:type="dxa"/>
            </w:tcMar>
            <w:vAlign w:val="top"/>
          </w:tcPr>
          <w:p w14:paraId="5AB5025F">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支持系统还原。系统还原点在备份中也可用，可以从一个更大的还原点列表中进行选择，并且可能覆盖很长一段时间</w:t>
            </w:r>
          </w:p>
          <w:p w14:paraId="6D28DD76">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支持操作系统疑难解答可以诊断并解决常见的操作系统和硬件问题，它针对一些不同类型的问题提供了内置的疑难解答程序</w:t>
            </w:r>
          </w:p>
          <w:p w14:paraId="53C4E7BC">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支持自动化的启动修复（Startup Repair）工具来诊断和恢复无法启动的系统。如果遇到无法成功启动的情况，操作系统会自动加载启动修复，它会扫描 PC 中的问题（比如注册表损坏、系统文件丢失或启动配置数据无效），并在可能的情况下自动修复它们，然后像往常一样重新启动</w:t>
            </w:r>
          </w:p>
        </w:tc>
      </w:tr>
      <w:tr w14:paraId="5D86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2045" w:type="dxa"/>
            <w:vMerge w:val="continue"/>
            <w:tcMar>
              <w:top w:w="0" w:type="dxa"/>
              <w:left w:w="108" w:type="dxa"/>
              <w:bottom w:w="0" w:type="dxa"/>
              <w:right w:w="108" w:type="dxa"/>
            </w:tcMar>
            <w:vAlign w:val="top"/>
          </w:tcPr>
          <w:p w14:paraId="0E1B50B7">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p>
        </w:tc>
        <w:tc>
          <w:tcPr>
            <w:tcW w:w="7486" w:type="dxa"/>
            <w:vMerge w:val="continue"/>
            <w:tcMar>
              <w:top w:w="0" w:type="dxa"/>
              <w:left w:w="108" w:type="dxa"/>
              <w:bottom w:w="0" w:type="dxa"/>
              <w:right w:w="108" w:type="dxa"/>
            </w:tcMar>
            <w:vAlign w:val="top"/>
          </w:tcPr>
          <w:p w14:paraId="48F441A4">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p>
        </w:tc>
      </w:tr>
      <w:tr w14:paraId="466F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top"/>
          </w:tcPr>
          <w:p w14:paraId="1EAAB370">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网络连接方便性</w:t>
            </w:r>
          </w:p>
        </w:tc>
        <w:tc>
          <w:tcPr>
            <w:tcW w:w="7486" w:type="dxa"/>
            <w:tcMar>
              <w:top w:w="0" w:type="dxa"/>
              <w:left w:w="108" w:type="dxa"/>
              <w:bottom w:w="0" w:type="dxa"/>
              <w:right w:w="108" w:type="dxa"/>
            </w:tcMar>
            <w:vAlign w:val="top"/>
          </w:tcPr>
          <w:p w14:paraId="15B2833E">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提供全新的操作系统内置的 Wi-Fi 和移动宽带解决方案，内置移动宽带功能原生支持 3G 和 4G 通信，使移动办公人员能够即时联网。</w:t>
            </w:r>
          </w:p>
          <w:p w14:paraId="7C6193CC">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支持家庭组，使联网更加方便。</w:t>
            </w:r>
          </w:p>
        </w:tc>
      </w:tr>
      <w:tr w14:paraId="7353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top"/>
          </w:tcPr>
          <w:p w14:paraId="500CEBC6">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外设管理功能强</w:t>
            </w:r>
          </w:p>
        </w:tc>
        <w:tc>
          <w:tcPr>
            <w:tcW w:w="7486" w:type="dxa"/>
            <w:tcMar>
              <w:top w:w="0" w:type="dxa"/>
              <w:left w:w="108" w:type="dxa"/>
              <w:bottom w:w="0" w:type="dxa"/>
              <w:right w:w="108" w:type="dxa"/>
            </w:tcMar>
            <w:vAlign w:val="top"/>
          </w:tcPr>
          <w:p w14:paraId="1ABDE11A">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全新的操作系统有更强大和广泛的硬件和外设的兼容性。自动支持包括打印机、照相机、媒体播放器和显示器在内的各类设备。全新的设计能够实现“即插即用”。</w:t>
            </w:r>
          </w:p>
          <w:p w14:paraId="01715194">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支持称为 Device Stage的功能，支持查看连接到基于该操作系统的 PC 的移动电话、便携媒体播放器、照相机和打印机等设备的状态，并在为每个设备定制的单一的、优雅的窗口中运行常用任务。</w:t>
            </w:r>
          </w:p>
        </w:tc>
      </w:tr>
      <w:tr w14:paraId="1E40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top"/>
          </w:tcPr>
          <w:p w14:paraId="5F604183">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支持增强的文件访问功能</w:t>
            </w:r>
          </w:p>
        </w:tc>
        <w:tc>
          <w:tcPr>
            <w:tcW w:w="7486" w:type="dxa"/>
            <w:tcMar>
              <w:top w:w="0" w:type="dxa"/>
              <w:left w:w="108" w:type="dxa"/>
              <w:bottom w:w="0" w:type="dxa"/>
              <w:right w:w="108" w:type="dxa"/>
            </w:tcMar>
            <w:vAlign w:val="top"/>
          </w:tcPr>
          <w:p w14:paraId="0ABE2911">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支持从其他电脑远程访问某台电脑上的文件和程序。能够进行脱机操作，自动将电脑和网络上的内容同步；</w:t>
            </w:r>
          </w:p>
          <w:p w14:paraId="3C3A28EC">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支持透明缓存，客户端 PC 能够更有效地缓存远程文件，减少了客户端从服务器计算机检索相同数据的次数。</w:t>
            </w:r>
          </w:p>
        </w:tc>
      </w:tr>
      <w:tr w14:paraId="51AA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top"/>
          </w:tcPr>
          <w:p w14:paraId="35D132C3">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支持灵活的操作系统部署的功能</w:t>
            </w:r>
          </w:p>
        </w:tc>
        <w:tc>
          <w:tcPr>
            <w:tcW w:w="7486" w:type="dxa"/>
            <w:tcMar>
              <w:top w:w="0" w:type="dxa"/>
              <w:left w:w="108" w:type="dxa"/>
              <w:bottom w:w="0" w:type="dxa"/>
              <w:right w:w="108" w:type="dxa"/>
            </w:tcMar>
            <w:vAlign w:val="top"/>
          </w:tcPr>
          <w:p w14:paraId="3595466C">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支持部署映像维护和管理。</w:t>
            </w:r>
          </w:p>
          <w:p w14:paraId="3ABB6012">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支持动态驱动程序供应。通过动态驱动程序供应，IT 专业人员可以缩小系统映像，减少要管理的映像数量，在引入新硬件时无需更新映像。驱动程序集中存储，与映像隔离，可以根据 PC 硬件的即插即用 ID 动态安装，也可以根据 BIOS 中包含的信息预先确定设置。当部署客户端时，将执行即插即用枚举，并从部署服务器查找并应用可用的驱动程序。减少各个机器上的驱动程序数量可以减少可能出现的驱动程序冲突，最终加速安装，节省设置时间；</w:t>
            </w:r>
          </w:p>
          <w:p w14:paraId="41616D47">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支持VHDX 映像管理和部署。使 IT 专业人员能够使用相同的流程和工具管理 WIM 和 VHD 映像文件。使用操作系统部署服务（Deployment Services）和多点部署选项部署虚拟机（VHDX）文件。像 WIM 文件一样，VHDX 文件可以自动部署，也可以通过 实现虚拟机文件启动本机；</w:t>
            </w:r>
          </w:p>
        </w:tc>
      </w:tr>
    </w:tbl>
    <w:p w14:paraId="050238BA">
      <w:pPr>
        <w:pStyle w:val="73"/>
        <w:keepNext w:val="0"/>
        <w:keepLines w:val="0"/>
        <w:pageBreakBefore w:val="0"/>
        <w:tabs>
          <w:tab w:val="left" w:pos="1440"/>
        </w:tabs>
        <w:kinsoku/>
        <w:topLinePunct w:val="0"/>
        <w:autoSpaceDE/>
        <w:autoSpaceDN/>
        <w:bidi w:val="0"/>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Office专业增强版套件服务的技术指标：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7060"/>
      </w:tblGrid>
      <w:tr w14:paraId="1FDD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75" w:type="dxa"/>
            <w:shd w:val="clear" w:color="000000" w:fill="A6A6A6"/>
            <w:vAlign w:val="center"/>
          </w:tcPr>
          <w:p w14:paraId="4146E3E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指标项</w:t>
            </w:r>
          </w:p>
        </w:tc>
        <w:tc>
          <w:tcPr>
            <w:tcW w:w="7417" w:type="dxa"/>
            <w:shd w:val="clear" w:color="000000" w:fill="A6A6A6"/>
            <w:vAlign w:val="center"/>
          </w:tcPr>
          <w:p w14:paraId="57A2E95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指标性能</w:t>
            </w:r>
          </w:p>
        </w:tc>
      </w:tr>
      <w:tr w14:paraId="2E78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shd w:val="clear" w:color="000000" w:fill="FFFFFF"/>
          </w:tcPr>
          <w:p w14:paraId="15C36F9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★版本</w:t>
            </w:r>
          </w:p>
        </w:tc>
        <w:tc>
          <w:tcPr>
            <w:tcW w:w="7417" w:type="dxa"/>
            <w:shd w:val="clear" w:color="000000" w:fill="FFFFFF"/>
          </w:tcPr>
          <w:p w14:paraId="059C1B72">
            <w:pPr>
              <w:keepNext w:val="0"/>
              <w:keepLines w:val="0"/>
              <w:pageBreakBefore w:val="0"/>
              <w:kinsoku/>
              <w:topLinePunct w:val="0"/>
              <w:autoSpaceDE/>
              <w:autoSpaceDN/>
              <w:bidi w:val="0"/>
              <w:spacing w:after="0"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中文版或英文版</w:t>
            </w:r>
          </w:p>
          <w:p w14:paraId="50D58B00">
            <w:pPr>
              <w:keepNext w:val="0"/>
              <w:keepLines w:val="0"/>
              <w:pageBreakBefore w:val="0"/>
              <w:kinsoku/>
              <w:topLinePunct w:val="0"/>
              <w:autoSpaceDE/>
              <w:autoSpaceDN/>
              <w:bidi w:val="0"/>
              <w:spacing w:after="0"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授权模式必须是批量式授权许可，非OEM/COEM版</w:t>
            </w:r>
          </w:p>
          <w:p w14:paraId="2B426DB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产品许可可降级使用，产品生命周期不与硬件绑定（</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时，提供证明截图）</w:t>
            </w:r>
          </w:p>
        </w:tc>
      </w:tr>
      <w:tr w14:paraId="0AE8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restart"/>
            <w:shd w:val="clear" w:color="000000" w:fill="FFFFFF"/>
            <w:vAlign w:val="center"/>
          </w:tcPr>
          <w:p w14:paraId="72A9702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通用功能 </w:t>
            </w:r>
          </w:p>
        </w:tc>
        <w:tc>
          <w:tcPr>
            <w:tcW w:w="7417" w:type="dxa"/>
            <w:shd w:val="clear" w:color="000000" w:fill="FFFFFF"/>
            <w:vAlign w:val="center"/>
          </w:tcPr>
          <w:p w14:paraId="6941585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提供软件套件：专业排版文字处理软件、电子表格软件、演示文档软件、以及邮件及信息管理软件（应包括收发和管理电子邮件、管理联系人以及日程安排）</w:t>
            </w:r>
          </w:p>
        </w:tc>
      </w:tr>
      <w:tr w14:paraId="0BAD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39DE2D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B133A3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多语言支持：支持中文，英文等主流语言在内的多语言</w:t>
            </w:r>
          </w:p>
        </w:tc>
      </w:tr>
      <w:tr w14:paraId="39E0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D58549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0B2793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符合国际、国家相关标准要求，支持OOXML、支持UOF2.0(最新版标文通,《中文办公软件文档格式规范》)，符合国家《中文办公软件应用编程接口规范》，及ISO 9001标准</w:t>
            </w:r>
          </w:p>
        </w:tc>
      </w:tr>
      <w:tr w14:paraId="639E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7233BD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DBC809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软件产品升级支持介质升级、内网下发升级包自动升级两种方式</w:t>
            </w:r>
          </w:p>
        </w:tc>
      </w:tr>
      <w:tr w14:paraId="798C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D4BA7B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A6D2E0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支持自定义改进的功能区，使您需要的命令更易于访问。</w:t>
            </w:r>
          </w:p>
        </w:tc>
      </w:tr>
      <w:tr w14:paraId="4A20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6B4A13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A9891D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支持Backstage 视图，取代了文件菜单，帮助您查找您所需的任务并更加有效地完成工作</w:t>
            </w:r>
          </w:p>
        </w:tc>
      </w:tr>
      <w:tr w14:paraId="1708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761E9C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25236A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支持恢复未保存而关闭的文件</w:t>
            </w:r>
          </w:p>
        </w:tc>
      </w:tr>
      <w:tr w14:paraId="15A4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1A2572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0BF6C9B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支持实时预览粘贴功能</w:t>
            </w:r>
          </w:p>
        </w:tc>
      </w:tr>
      <w:tr w14:paraId="641C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93FC78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ED59E0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支持图片编辑工具</w:t>
            </w:r>
          </w:p>
        </w:tc>
      </w:tr>
      <w:tr w14:paraId="7E12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2FD9C4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6600E5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支持更多主题</w:t>
            </w:r>
          </w:p>
        </w:tc>
      </w:tr>
      <w:tr w14:paraId="4D1A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7BEE27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1030D1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更多 SmartArt 图形</w:t>
            </w:r>
          </w:p>
        </w:tc>
      </w:tr>
      <w:tr w14:paraId="503C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FA44AB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CD3B11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支持实时预览粘贴</w:t>
            </w:r>
          </w:p>
        </w:tc>
      </w:tr>
      <w:tr w14:paraId="51D0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F8AA1B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46AD74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支持插入屏幕快照</w:t>
            </w:r>
          </w:p>
        </w:tc>
      </w:tr>
      <w:tr w14:paraId="1673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933792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6BC722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浮动工具栏</w:t>
            </w:r>
          </w:p>
        </w:tc>
      </w:tr>
      <w:tr w14:paraId="3242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9A0850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E1C645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丰富的输入体验</w:t>
            </w:r>
          </w:p>
        </w:tc>
      </w:tr>
      <w:tr w14:paraId="15DE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005913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0A0DA2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跨设备的编辑并保持格式一致</w:t>
            </w:r>
          </w:p>
        </w:tc>
      </w:tr>
      <w:tr w14:paraId="4715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C70029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0206D7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历史版本查看</w:t>
            </w:r>
          </w:p>
        </w:tc>
      </w:tr>
      <w:tr w14:paraId="7F50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550DFC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AA4CCC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合作编辑</w:t>
            </w:r>
          </w:p>
        </w:tc>
      </w:tr>
      <w:tr w14:paraId="3841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3A590E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1B3C2B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全新帮助功能</w:t>
            </w:r>
          </w:p>
        </w:tc>
      </w:tr>
      <w:tr w14:paraId="2597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1B4832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5172FF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智能搜索</w:t>
            </w:r>
          </w:p>
        </w:tc>
      </w:tr>
      <w:tr w14:paraId="0114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C90CD9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A2B101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文档漫游</w:t>
            </w:r>
          </w:p>
        </w:tc>
      </w:tr>
      <w:tr w14:paraId="03C7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restart"/>
            <w:shd w:val="clear" w:color="000000" w:fill="FFFFFF"/>
            <w:vAlign w:val="center"/>
          </w:tcPr>
          <w:p w14:paraId="7972ADC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电子表格软件</w:t>
            </w:r>
          </w:p>
        </w:tc>
        <w:tc>
          <w:tcPr>
            <w:tcW w:w="7417" w:type="dxa"/>
            <w:shd w:val="clear" w:color="000000" w:fill="FFFFFF"/>
            <w:vAlign w:val="center"/>
          </w:tcPr>
          <w:p w14:paraId="3F82461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对于大量财物数据进行计算和分析中，需要提供100%正确的函数计算结果。</w:t>
            </w:r>
          </w:p>
        </w:tc>
      </w:tr>
      <w:tr w14:paraId="22A1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82BF71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9B3D28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数据获取能力。数据表格应该可以直接连接各种主流数据库系统（SQL Server、Oracle、DB2、SAP），保障能够在表格中随时获取最新的业务数据</w:t>
            </w:r>
          </w:p>
        </w:tc>
      </w:tr>
      <w:tr w14:paraId="17CD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E81B86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18BB5E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表格软件支持数据量</w:t>
            </w:r>
          </w:p>
        </w:tc>
      </w:tr>
      <w:tr w14:paraId="024D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37FA67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3215F3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支持处理庞大的数据集（超过 2 GB）</w:t>
            </w:r>
          </w:p>
        </w:tc>
      </w:tr>
      <w:tr w14:paraId="3959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03F026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0C4B21B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新的图表功能</w:t>
            </w:r>
          </w:p>
        </w:tc>
      </w:tr>
      <w:tr w14:paraId="0598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FB20C7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C95B04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支持一键生成预测数据</w:t>
            </w:r>
          </w:p>
        </w:tc>
      </w:tr>
      <w:tr w14:paraId="3015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0F298E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05E1520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支持迷你图功能</w:t>
            </w:r>
          </w:p>
        </w:tc>
      </w:tr>
      <w:tr w14:paraId="7199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882B55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974D19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支持条件格式功能</w:t>
            </w:r>
          </w:p>
        </w:tc>
      </w:tr>
      <w:tr w14:paraId="353C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8873AF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6EDA0B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支持推荐的数据透视表</w:t>
            </w:r>
          </w:p>
        </w:tc>
      </w:tr>
      <w:tr w14:paraId="4243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F174B8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BB9642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支持快速浏览</w:t>
            </w:r>
          </w:p>
        </w:tc>
      </w:tr>
      <w:tr w14:paraId="4D3E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69305A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14D4AE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支持线性预测</w:t>
            </w:r>
          </w:p>
        </w:tc>
      </w:tr>
      <w:tr w14:paraId="6CB6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91F9C2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CB5923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支持工作表探查和对比</w:t>
            </w:r>
          </w:p>
        </w:tc>
      </w:tr>
      <w:tr w14:paraId="28AB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5C79FB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646E42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支持快速分析</w:t>
            </w:r>
          </w:p>
        </w:tc>
      </w:tr>
      <w:tr w14:paraId="40B1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B3D3E7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79315A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支持推荐的图表</w:t>
            </w:r>
          </w:p>
        </w:tc>
      </w:tr>
      <w:tr w14:paraId="6645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9922C5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7BB44A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支持图表格式控制</w:t>
            </w:r>
          </w:p>
        </w:tc>
      </w:tr>
      <w:tr w14:paraId="4265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81C753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6C9AFA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支持图表动画</w:t>
            </w:r>
          </w:p>
        </w:tc>
      </w:tr>
      <w:tr w14:paraId="2047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082BC6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282D58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支持日程表</w:t>
            </w:r>
          </w:p>
        </w:tc>
      </w:tr>
      <w:tr w14:paraId="574F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4CA5DE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28083D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支持快速开始</w:t>
            </w:r>
          </w:p>
        </w:tc>
      </w:tr>
      <w:tr w14:paraId="503F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174D8D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AAF403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支持应用程序动画</w:t>
            </w:r>
          </w:p>
        </w:tc>
      </w:tr>
      <w:tr w14:paraId="7728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966817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C81B5C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支持应用集成</w:t>
            </w:r>
          </w:p>
        </w:tc>
      </w:tr>
      <w:tr w14:paraId="6CAD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697361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203890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支持切片器功能</w:t>
            </w:r>
          </w:p>
        </w:tc>
      </w:tr>
      <w:tr w14:paraId="342A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D70405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6610C8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支持数据透视图交互功能</w:t>
            </w:r>
          </w:p>
        </w:tc>
      </w:tr>
      <w:tr w14:paraId="35E3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B27F8D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7821EC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支持制作图表性能</w:t>
            </w:r>
          </w:p>
        </w:tc>
      </w:tr>
      <w:tr w14:paraId="7C1B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A91842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B886F1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支持规划求解加载项</w:t>
            </w:r>
          </w:p>
        </w:tc>
      </w:tr>
      <w:tr w14:paraId="40C1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8A470D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78A53E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支持数学公式编辑器</w:t>
            </w:r>
          </w:p>
        </w:tc>
      </w:tr>
      <w:tr w14:paraId="6BFA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28940E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68B605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 Web 访问工作簿</w:t>
            </w:r>
          </w:p>
        </w:tc>
      </w:tr>
      <w:tr w14:paraId="4164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restart"/>
            <w:shd w:val="clear" w:color="000000" w:fill="FFFFFF"/>
            <w:vAlign w:val="center"/>
          </w:tcPr>
          <w:p w14:paraId="10F357C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演示文档软件</w:t>
            </w:r>
          </w:p>
        </w:tc>
        <w:tc>
          <w:tcPr>
            <w:tcW w:w="7417" w:type="dxa"/>
            <w:shd w:val="clear" w:color="000000" w:fill="FFFFFF"/>
            <w:vAlign w:val="center"/>
          </w:tcPr>
          <w:p w14:paraId="627BC5E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呈现出一组宽屏主题，让您轻松创建美观的演示文稿</w:t>
            </w:r>
          </w:p>
        </w:tc>
      </w:tr>
      <w:tr w14:paraId="14E7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1E55F9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790465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支持主题变体</w:t>
            </w:r>
          </w:p>
        </w:tc>
      </w:tr>
      <w:tr w14:paraId="179B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0B7FD2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D789FE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支持合并形状</w:t>
            </w:r>
          </w:p>
        </w:tc>
      </w:tr>
      <w:tr w14:paraId="6749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06802B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13DB4A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支持取色器</w:t>
            </w:r>
          </w:p>
        </w:tc>
      </w:tr>
      <w:tr w14:paraId="4211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731F62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2BD452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支持联机图片</w:t>
            </w:r>
          </w:p>
        </w:tc>
      </w:tr>
      <w:tr w14:paraId="4AD3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598DCE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4603B6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支持在后台播放</w:t>
            </w:r>
          </w:p>
        </w:tc>
      </w:tr>
      <w:tr w14:paraId="30CD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4B88B8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6CD65F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支持格式设置任务窗格</w:t>
            </w:r>
          </w:p>
        </w:tc>
      </w:tr>
      <w:tr w14:paraId="42C6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46DF45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943A2B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支持修改数据布局</w:t>
            </w:r>
          </w:p>
        </w:tc>
      </w:tr>
      <w:tr w14:paraId="5FE6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B059F9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1C7FAA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支持演示者视图</w:t>
            </w:r>
          </w:p>
        </w:tc>
      </w:tr>
      <w:tr w14:paraId="6890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B3B337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9331A9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支持幻灯片缩放</w:t>
            </w:r>
          </w:p>
        </w:tc>
      </w:tr>
      <w:tr w14:paraId="2999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483E18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26FE46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支持缩略图导航</w:t>
            </w:r>
          </w:p>
        </w:tc>
      </w:tr>
      <w:tr w14:paraId="2D80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5225C5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23C471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支持自动扩展</w:t>
            </w:r>
          </w:p>
        </w:tc>
      </w:tr>
      <w:tr w14:paraId="2E00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149C92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6B58D7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支持交换显示</w:t>
            </w:r>
          </w:p>
        </w:tc>
      </w:tr>
      <w:tr w14:paraId="3DBB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6A82BB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CA1295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支持简单共享</w:t>
            </w:r>
          </w:p>
        </w:tc>
      </w:tr>
      <w:tr w14:paraId="473E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157145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4B38D3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支持答复批注</w:t>
            </w:r>
          </w:p>
        </w:tc>
      </w:tr>
      <w:tr w14:paraId="1184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E656C6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3FC4F8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支持批注窗格</w:t>
            </w:r>
          </w:p>
        </w:tc>
      </w:tr>
      <w:tr w14:paraId="33DF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082541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2E0C48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支持继续阅读</w:t>
            </w:r>
          </w:p>
        </w:tc>
      </w:tr>
      <w:tr w14:paraId="7F6B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E72675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5F33CB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支持联机演示</w:t>
            </w:r>
          </w:p>
        </w:tc>
      </w:tr>
      <w:tr w14:paraId="14DF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CA5464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B8693C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支持支持从文件直接嵌入视频</w:t>
            </w:r>
          </w:p>
        </w:tc>
      </w:tr>
      <w:tr w14:paraId="0CE4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A0A3B9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59CD6A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支持优化媒体兼容性</w:t>
            </w:r>
          </w:p>
        </w:tc>
      </w:tr>
      <w:tr w14:paraId="2320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281636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8CF489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支持压缩媒体</w:t>
            </w:r>
          </w:p>
        </w:tc>
      </w:tr>
      <w:tr w14:paraId="3D5F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EC4A48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8E9D36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支持更灵活的格式支持</w:t>
            </w:r>
          </w:p>
        </w:tc>
      </w:tr>
      <w:tr w14:paraId="331D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B9DECE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494FF9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支持支持视频和音频控件</w:t>
            </w:r>
          </w:p>
        </w:tc>
      </w:tr>
      <w:tr w14:paraId="68E3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26C21E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95D3C6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支持视频编辑和格式化</w:t>
            </w:r>
          </w:p>
        </w:tc>
      </w:tr>
      <w:tr w14:paraId="6062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74F656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BF27AE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支持音频编辑</w:t>
            </w:r>
          </w:p>
        </w:tc>
      </w:tr>
      <w:tr w14:paraId="7A96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C16FAF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08A69B0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支持支持从网站插入视频</w:t>
            </w:r>
          </w:p>
        </w:tc>
      </w:tr>
      <w:tr w14:paraId="1429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0E3DA7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040E1F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支持支持幻灯片转换</w:t>
            </w:r>
          </w:p>
        </w:tc>
      </w:tr>
      <w:tr w14:paraId="42B9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0AA902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A693F9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支持支持幻灯片动画</w:t>
            </w:r>
          </w:p>
        </w:tc>
      </w:tr>
      <w:tr w14:paraId="5991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8589C9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A7B5C5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支持支持幻灯片动画格式刷</w:t>
            </w:r>
          </w:p>
        </w:tc>
      </w:tr>
      <w:tr w14:paraId="3381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5C31DF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960D96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支持支持幻灯片分节</w:t>
            </w:r>
          </w:p>
        </w:tc>
      </w:tr>
      <w:tr w14:paraId="0CAC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EC2957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09EE0E7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支持多窗口支持</w:t>
            </w:r>
          </w:p>
        </w:tc>
      </w:tr>
      <w:tr w14:paraId="4138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C82BE6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ED0898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支持链接笔记</w:t>
            </w:r>
          </w:p>
        </w:tc>
      </w:tr>
      <w:tr w14:paraId="00BF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DEE4B2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9C54A4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支持动态对齐向导</w:t>
            </w:r>
          </w:p>
        </w:tc>
      </w:tr>
      <w:tr w14:paraId="4436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DACEAB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DB56D7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支持注释打印</w:t>
            </w:r>
          </w:p>
        </w:tc>
      </w:tr>
      <w:tr w14:paraId="34EA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8E1D53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ABE630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支持阅读视图</w:t>
            </w:r>
          </w:p>
        </w:tc>
      </w:tr>
      <w:tr w14:paraId="73E6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54A79F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536018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支持墨迹书写</w:t>
            </w:r>
          </w:p>
        </w:tc>
      </w:tr>
      <w:tr w14:paraId="402D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4F004F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6FAD79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支持示例设计模板</w:t>
            </w:r>
          </w:p>
        </w:tc>
      </w:tr>
      <w:tr w14:paraId="55BA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A84FC8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AD7D95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支持幻灯片广播</w:t>
            </w:r>
          </w:p>
        </w:tc>
      </w:tr>
      <w:tr w14:paraId="2E0A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CD8357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D88A40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支持与其他软件的互动能力</w:t>
            </w:r>
          </w:p>
        </w:tc>
      </w:tr>
      <w:tr w14:paraId="2A4B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9E8E26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64182F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支持优化媒体兼容性</w:t>
            </w:r>
          </w:p>
        </w:tc>
      </w:tr>
      <w:tr w14:paraId="7D40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63E32F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B350D0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支持比较和合并</w:t>
            </w:r>
          </w:p>
        </w:tc>
      </w:tr>
      <w:tr w14:paraId="0AC1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EFE162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4A3CB7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支持录制幻灯片播放</w:t>
            </w:r>
          </w:p>
        </w:tc>
      </w:tr>
      <w:tr w14:paraId="1692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9A8A1E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558B13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支持语言工具</w:t>
            </w:r>
          </w:p>
        </w:tc>
      </w:tr>
      <w:tr w14:paraId="0801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C173E3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2BA815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支持翻译工具</w:t>
            </w:r>
          </w:p>
        </w:tc>
      </w:tr>
      <w:tr w14:paraId="2CAE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restart"/>
            <w:shd w:val="clear" w:color="000000" w:fill="FFFFFF"/>
            <w:vAlign w:val="center"/>
          </w:tcPr>
          <w:p w14:paraId="2A07524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专业排版文字处理软件</w:t>
            </w:r>
          </w:p>
        </w:tc>
        <w:tc>
          <w:tcPr>
            <w:tcW w:w="7417" w:type="dxa"/>
            <w:shd w:val="clear" w:color="000000" w:fill="FFFFFF"/>
            <w:vAlign w:val="center"/>
          </w:tcPr>
          <w:p w14:paraId="75ED53A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支持导航窗格</w:t>
            </w:r>
          </w:p>
        </w:tc>
      </w:tr>
      <w:tr w14:paraId="77F4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EF6F80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396B6E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支持阅读视图</w:t>
            </w:r>
          </w:p>
        </w:tc>
      </w:tr>
      <w:tr w14:paraId="3823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FFA6A9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4D846E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支持对象缩放</w:t>
            </w:r>
          </w:p>
        </w:tc>
      </w:tr>
      <w:tr w14:paraId="7FE2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017BE4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9EACDB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支持继续阅读</w:t>
            </w:r>
          </w:p>
        </w:tc>
      </w:tr>
      <w:tr w14:paraId="4359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BF7328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55AB18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专业排版文字处理软件 – 联机视频</w:t>
            </w:r>
          </w:p>
        </w:tc>
      </w:tr>
      <w:tr w14:paraId="28D5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F8FA30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46E5C3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支持展开和折叠</w:t>
            </w:r>
          </w:p>
        </w:tc>
      </w:tr>
      <w:tr w14:paraId="226E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ADE031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22938A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支持答复批注</w:t>
            </w:r>
          </w:p>
        </w:tc>
      </w:tr>
      <w:tr w14:paraId="2569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6A2673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F5F486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支持联机演示</w:t>
            </w:r>
          </w:p>
        </w:tc>
      </w:tr>
      <w:tr w14:paraId="7D2A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D9D0F6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D66006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简单标记</w:t>
            </w:r>
          </w:p>
        </w:tc>
      </w:tr>
      <w:tr w14:paraId="528A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20879B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A31C62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锁定修订</w:t>
            </w:r>
          </w:p>
        </w:tc>
      </w:tr>
      <w:tr w14:paraId="0DD0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30FBD4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DDC771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将批注标记为完成</w:t>
            </w:r>
          </w:p>
        </w:tc>
      </w:tr>
      <w:tr w14:paraId="75DF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468565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1C4618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编辑PDF</w:t>
            </w:r>
          </w:p>
        </w:tc>
      </w:tr>
      <w:tr w14:paraId="7AEE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2F1A76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BAF9B8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对齐参考线</w:t>
            </w:r>
          </w:p>
        </w:tc>
      </w:tr>
      <w:tr w14:paraId="77A0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BE4502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0E3A0E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实时布局</w:t>
            </w:r>
          </w:p>
        </w:tc>
      </w:tr>
      <w:tr w14:paraId="3CE3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2CE86C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8151C1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新的文档部件</w:t>
            </w:r>
          </w:p>
        </w:tc>
      </w:tr>
      <w:tr w14:paraId="360D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FC2EE1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435265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支持查找体验</w:t>
            </w:r>
          </w:p>
        </w:tc>
      </w:tr>
      <w:tr w14:paraId="5514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1ACF80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3B3D58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支持文本效果</w:t>
            </w:r>
          </w:p>
        </w:tc>
      </w:tr>
      <w:tr w14:paraId="00BC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22C337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4BFE4E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支持Open Type 版式 </w:t>
            </w:r>
          </w:p>
        </w:tc>
      </w:tr>
      <w:tr w14:paraId="00AC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40264E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AE6BB4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支持形状和形状效果</w:t>
            </w:r>
          </w:p>
        </w:tc>
      </w:tr>
      <w:tr w14:paraId="3368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27DF2D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4DAA7E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支持选择窗格</w:t>
            </w:r>
          </w:p>
        </w:tc>
      </w:tr>
      <w:tr w14:paraId="39BC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284FF0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0338EBD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支持上下文拼写检查程序</w:t>
            </w:r>
          </w:p>
        </w:tc>
      </w:tr>
      <w:tr w14:paraId="1706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A2F492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3163BF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支持链接笔记</w:t>
            </w:r>
          </w:p>
        </w:tc>
      </w:tr>
      <w:tr w14:paraId="2C50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B87843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8E88C0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支持语言工具</w:t>
            </w:r>
          </w:p>
        </w:tc>
      </w:tr>
      <w:tr w14:paraId="395F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911596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9A0656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支持翻译工具</w:t>
            </w:r>
          </w:p>
        </w:tc>
      </w:tr>
      <w:tr w14:paraId="2F8D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053FA1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0AD9DD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支持内容控件</w:t>
            </w:r>
          </w:p>
        </w:tc>
      </w:tr>
      <w:tr w14:paraId="419F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6F89D6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ABC373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支持在 Web 上访问您的文档 </w:t>
            </w:r>
          </w:p>
        </w:tc>
      </w:tr>
      <w:tr w14:paraId="0AA5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restart"/>
            <w:shd w:val="clear" w:color="000000" w:fill="FFFFFF"/>
            <w:vAlign w:val="center"/>
          </w:tcPr>
          <w:p w14:paraId="3070EE9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邮件及信息管理</w:t>
            </w:r>
          </w:p>
        </w:tc>
        <w:tc>
          <w:tcPr>
            <w:tcW w:w="7417" w:type="dxa"/>
            <w:shd w:val="clear" w:color="000000" w:fill="FFFFFF"/>
            <w:vAlign w:val="center"/>
          </w:tcPr>
          <w:p w14:paraId="777CD28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支持附件</w:t>
            </w:r>
          </w:p>
        </w:tc>
      </w:tr>
      <w:tr w14:paraId="0616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CCA464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6F6689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支持内联式答复</w:t>
            </w:r>
          </w:p>
        </w:tc>
      </w:tr>
      <w:tr w14:paraId="6519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A76B64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73C731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支持动画</w:t>
            </w:r>
          </w:p>
        </w:tc>
      </w:tr>
      <w:tr w14:paraId="3C5C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C73F6C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7CE9CA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支持导航栏</w:t>
            </w:r>
          </w:p>
        </w:tc>
      </w:tr>
      <w:tr w14:paraId="1EC2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362494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CA3460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支持网站邮箱</w:t>
            </w:r>
          </w:p>
        </w:tc>
      </w:tr>
      <w:tr w14:paraId="0123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8F9785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589C3A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支持快速查看</w:t>
            </w:r>
          </w:p>
        </w:tc>
      </w:tr>
      <w:tr w14:paraId="621E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80BFD9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0F0C337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支持策略提示</w:t>
            </w:r>
          </w:p>
        </w:tc>
      </w:tr>
      <w:tr w14:paraId="30CC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08CA84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F1FC4C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支持快速筛选器和上下文命令</w:t>
            </w:r>
          </w:p>
        </w:tc>
      </w:tr>
      <w:tr w14:paraId="7FB0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EE7608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D6DFDD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支持天气栏</w:t>
            </w:r>
          </w:p>
        </w:tc>
      </w:tr>
      <w:tr w14:paraId="7A84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281EAE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D1C877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支持对话视图</w:t>
            </w:r>
          </w:p>
        </w:tc>
      </w:tr>
      <w:tr w14:paraId="1EC3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115ADC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7B8FCB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支持快速步骤</w:t>
            </w:r>
          </w:p>
        </w:tc>
      </w:tr>
      <w:tr w14:paraId="2388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D59581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79468E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支持邮件提示</w:t>
            </w:r>
          </w:p>
        </w:tc>
      </w:tr>
      <w:tr w14:paraId="25E2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1994C2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10B9F1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支持搜索工具</w:t>
            </w:r>
          </w:p>
        </w:tc>
      </w:tr>
      <w:tr w14:paraId="2C00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365D42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4884D0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支持多邮箱支持</w:t>
            </w:r>
          </w:p>
        </w:tc>
      </w:tr>
      <w:tr w14:paraId="5E77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9AF6DB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A104D6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支持日程安排视图和组时间安排工具</w:t>
            </w:r>
          </w:p>
        </w:tc>
      </w:tr>
      <w:tr w14:paraId="5A35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89A153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A2C8D4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支持团队日历</w:t>
            </w:r>
          </w:p>
        </w:tc>
      </w:tr>
      <w:tr w14:paraId="456A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044614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A54E1E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支持日历预览</w:t>
            </w:r>
          </w:p>
        </w:tc>
      </w:tr>
      <w:tr w14:paraId="1D10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1236EC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75D9B0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支持简化通信</w:t>
            </w:r>
          </w:p>
        </w:tc>
      </w:tr>
      <w:tr w14:paraId="0F91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448A7F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260330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支持快速联系人</w:t>
            </w:r>
          </w:p>
        </w:tc>
      </w:tr>
      <w:tr w14:paraId="71D5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945325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EAA2EE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支持人员搜索</w:t>
            </w:r>
          </w:p>
        </w:tc>
      </w:tr>
      <w:tr w14:paraId="7913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213250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37FCE1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支持房间查找</w:t>
            </w:r>
          </w:p>
        </w:tc>
      </w:tr>
      <w:tr w14:paraId="1D81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A54BB1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F9B8D1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支持语言工具</w:t>
            </w:r>
          </w:p>
        </w:tc>
      </w:tr>
      <w:tr w14:paraId="1FE1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46C700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F12660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支持翻译工具 </w:t>
            </w:r>
          </w:p>
        </w:tc>
      </w:tr>
      <w:tr w14:paraId="7303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A282E5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286A8B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 Web 访问您的电子邮件</w:t>
            </w:r>
          </w:p>
        </w:tc>
      </w:tr>
      <w:tr w14:paraId="6762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6F6931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C75344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支持通过收件箱访问语音邮件</w:t>
            </w:r>
          </w:p>
        </w:tc>
      </w:tr>
      <w:tr w14:paraId="4C06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restart"/>
            <w:shd w:val="clear" w:color="000000" w:fill="FFFFFF"/>
            <w:vAlign w:val="center"/>
          </w:tcPr>
          <w:p w14:paraId="59EA564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通用功能</w:t>
            </w:r>
          </w:p>
        </w:tc>
        <w:tc>
          <w:tcPr>
            <w:tcW w:w="7417" w:type="dxa"/>
            <w:shd w:val="clear" w:color="000000" w:fill="FFFFFF"/>
            <w:vAlign w:val="center"/>
          </w:tcPr>
          <w:p w14:paraId="0DFD5DD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支持可访问性检查器</w:t>
            </w:r>
          </w:p>
        </w:tc>
      </w:tr>
      <w:tr w14:paraId="3EA5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925FE5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19BBCC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支持可信认文档功能</w:t>
            </w:r>
          </w:p>
        </w:tc>
      </w:tr>
      <w:tr w14:paraId="0C23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D10766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B9C097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支持保护视图</w:t>
            </w:r>
          </w:p>
        </w:tc>
      </w:tr>
      <w:tr w14:paraId="3AD6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B42DD9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F3C640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支持软件安全接口</w:t>
            </w:r>
          </w:p>
        </w:tc>
      </w:tr>
      <w:tr w14:paraId="23A4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BA6CBA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8DF900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支持数据保护</w:t>
            </w:r>
          </w:p>
        </w:tc>
      </w:tr>
      <w:tr w14:paraId="7D44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vAlign w:val="center"/>
          </w:tcPr>
          <w:p w14:paraId="673A249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C9A0F2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对敏感数据限制，对副本保护</w:t>
            </w:r>
          </w:p>
        </w:tc>
      </w:tr>
      <w:tr w14:paraId="17D7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shd w:val="clear" w:color="000000" w:fill="FFFFFF"/>
            <w:vAlign w:val="center"/>
          </w:tcPr>
          <w:p w14:paraId="4F31FEB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支持的操作系统</w:t>
            </w:r>
          </w:p>
        </w:tc>
        <w:tc>
          <w:tcPr>
            <w:tcW w:w="7417" w:type="dxa"/>
            <w:shd w:val="clear" w:color="000000" w:fill="FFFFFF"/>
            <w:vAlign w:val="center"/>
          </w:tcPr>
          <w:p w14:paraId="4C05DC0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支持Windows 7 Service Pack 1、Windows Server 2008R2 或更高版本的 32 位或 64 位操作系统</w:t>
            </w:r>
          </w:p>
        </w:tc>
      </w:tr>
      <w:tr w14:paraId="5C0F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shd w:val="clear" w:color="000000" w:fill="FFFFFF"/>
            <w:vAlign w:val="center"/>
          </w:tcPr>
          <w:p w14:paraId="3E9E5EE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支持的文件格式</w:t>
            </w:r>
          </w:p>
        </w:tc>
        <w:tc>
          <w:tcPr>
            <w:tcW w:w="7417" w:type="dxa"/>
            <w:shd w:val="clear" w:color="000000" w:fill="FFFFFF"/>
            <w:vAlign w:val="center"/>
          </w:tcPr>
          <w:p w14:paraId="5CAC60F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支持传统的Office的格式，提供对Open XML标准数据的支持能力，可以打开和保存为Open XML文件格式，便于未来集成应用系统</w:t>
            </w:r>
          </w:p>
        </w:tc>
      </w:tr>
      <w:tr w14:paraId="10D8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shd w:val="clear" w:color="000000" w:fill="FFFFFF"/>
            <w:vAlign w:val="center"/>
          </w:tcPr>
          <w:p w14:paraId="6C4D295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与主流文档兼容性</w:t>
            </w:r>
          </w:p>
        </w:tc>
        <w:tc>
          <w:tcPr>
            <w:tcW w:w="7417" w:type="dxa"/>
            <w:shd w:val="clear" w:color="000000" w:fill="FFFFFF"/>
            <w:vAlign w:val="center"/>
          </w:tcPr>
          <w:p w14:paraId="6739009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能够与国内外主流的文档格式100%兼容（包括与主流文档互相读写，并且保证文档格式，数据透视表、计算公式以及演示文档）</w:t>
            </w:r>
          </w:p>
        </w:tc>
      </w:tr>
    </w:tbl>
    <w:p w14:paraId="16FACC72">
      <w:pPr>
        <w:pStyle w:val="73"/>
        <w:keepNext w:val="0"/>
        <w:keepLines w:val="0"/>
        <w:pageBreakBefore w:val="0"/>
        <w:tabs>
          <w:tab w:val="left" w:pos="1440"/>
        </w:tabs>
        <w:kinsoku/>
        <w:topLinePunct w:val="0"/>
        <w:autoSpaceDE/>
        <w:autoSpaceDN/>
        <w:bidi w:val="0"/>
        <w:spacing w:line="360" w:lineRule="auto"/>
        <w:ind w:left="0" w:lef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Windows Server标准版套件服务的技术指标：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705"/>
        <w:gridCol w:w="6110"/>
      </w:tblGrid>
      <w:tr w14:paraId="7F8B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632" w:type="pct"/>
            <w:shd w:val="clear" w:color="auto" w:fill="D9D9D9"/>
            <w:vAlign w:val="center"/>
          </w:tcPr>
          <w:p w14:paraId="2E81ED35">
            <w:pPr>
              <w:pStyle w:val="71"/>
              <w:keepNext w:val="0"/>
              <w:keepLines w:val="0"/>
              <w:pageBreakBefore w:val="0"/>
              <w:kinsoku/>
              <w:topLinePunct w:val="0"/>
              <w:autoSpaceDE/>
              <w:autoSpaceDN/>
              <w:bidi w:val="0"/>
              <w:snapToGrid w:val="0"/>
              <w:spacing w:line="360" w:lineRule="auto"/>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操作系统功能</w:t>
            </w:r>
          </w:p>
        </w:tc>
        <w:tc>
          <w:tcPr>
            <w:tcW w:w="953" w:type="pct"/>
            <w:shd w:val="clear" w:color="auto" w:fill="D9D9D9"/>
            <w:vAlign w:val="center"/>
          </w:tcPr>
          <w:p w14:paraId="4975E225">
            <w:pPr>
              <w:pStyle w:val="71"/>
              <w:keepNext w:val="0"/>
              <w:keepLines w:val="0"/>
              <w:pageBreakBefore w:val="0"/>
              <w:kinsoku/>
              <w:topLinePunct w:val="0"/>
              <w:autoSpaceDE/>
              <w:autoSpaceDN/>
              <w:bidi w:val="0"/>
              <w:snapToGrid w:val="0"/>
              <w:spacing w:line="360" w:lineRule="auto"/>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指标项</w:t>
            </w:r>
          </w:p>
        </w:tc>
        <w:tc>
          <w:tcPr>
            <w:tcW w:w="3415" w:type="pct"/>
            <w:shd w:val="clear" w:color="auto" w:fill="D9D9D9"/>
            <w:vAlign w:val="center"/>
          </w:tcPr>
          <w:p w14:paraId="4A7181C1">
            <w:pPr>
              <w:pStyle w:val="71"/>
              <w:keepNext w:val="0"/>
              <w:keepLines w:val="0"/>
              <w:pageBreakBefore w:val="0"/>
              <w:kinsoku/>
              <w:topLinePunct w:val="0"/>
              <w:autoSpaceDE/>
              <w:autoSpaceDN/>
              <w:bidi w:val="0"/>
              <w:snapToGrid w:val="0"/>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指标要求</w:t>
            </w:r>
          </w:p>
        </w:tc>
      </w:tr>
      <w:tr w14:paraId="61CD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Align w:val="center"/>
          </w:tcPr>
          <w:p w14:paraId="29B54AC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★版本</w:t>
            </w:r>
          </w:p>
        </w:tc>
        <w:tc>
          <w:tcPr>
            <w:tcW w:w="953" w:type="pct"/>
            <w:vAlign w:val="center"/>
          </w:tcPr>
          <w:p w14:paraId="2B034ED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产品版本</w:t>
            </w:r>
          </w:p>
        </w:tc>
        <w:tc>
          <w:tcPr>
            <w:tcW w:w="3415" w:type="pct"/>
          </w:tcPr>
          <w:p w14:paraId="38F4B36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中文版或英文版</w:t>
            </w:r>
          </w:p>
          <w:p w14:paraId="1E931E5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授权模式必须是批量式授权许可，非OEM/COEM版</w:t>
            </w:r>
          </w:p>
          <w:p w14:paraId="0D005BC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产品许可可降级使用，产品生命周期不与硬件绑定（投标时，提供证明截图）</w:t>
            </w:r>
          </w:p>
        </w:tc>
      </w:tr>
      <w:tr w14:paraId="6FB9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restart"/>
            <w:vAlign w:val="center"/>
          </w:tcPr>
          <w:p w14:paraId="2F9EB5D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服务器管理功能</w:t>
            </w:r>
          </w:p>
        </w:tc>
        <w:tc>
          <w:tcPr>
            <w:tcW w:w="953" w:type="pct"/>
            <w:vMerge w:val="restart"/>
            <w:vAlign w:val="center"/>
          </w:tcPr>
          <w:p w14:paraId="76B316D4">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基本管理要求</w:t>
            </w:r>
          </w:p>
        </w:tc>
        <w:tc>
          <w:tcPr>
            <w:tcW w:w="3415" w:type="pct"/>
          </w:tcPr>
          <w:p w14:paraId="4F7FAA6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提供统一的图形界面管理软件，可以在一个界面完成服务器的日常功能和运维操作；</w:t>
            </w:r>
          </w:p>
        </w:tc>
      </w:tr>
      <w:tr w14:paraId="7265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3E02420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7AC18B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203D800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提供强大的命令行工具，支持编制脚本实现虚拟化管理的自动化；</w:t>
            </w:r>
          </w:p>
        </w:tc>
      </w:tr>
      <w:tr w14:paraId="2398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2CCC85B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3D33661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77E1918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提供开放的开发接口，支持其它应用的调用；</w:t>
            </w:r>
          </w:p>
        </w:tc>
      </w:tr>
      <w:tr w14:paraId="3154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2DB8EFE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2AD8A8F2">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高级集中管理</w:t>
            </w:r>
          </w:p>
        </w:tc>
        <w:tc>
          <w:tcPr>
            <w:tcW w:w="3415" w:type="pct"/>
          </w:tcPr>
          <w:p w14:paraId="54D6039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可以将多台服务器组合为服务器组，通过一个界面完成多台服务器的统一运维操作；</w:t>
            </w:r>
          </w:p>
        </w:tc>
      </w:tr>
      <w:tr w14:paraId="5F5D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restart"/>
            <w:vAlign w:val="center"/>
          </w:tcPr>
          <w:p w14:paraId="0E6A104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服务器虚拟化功能</w:t>
            </w:r>
          </w:p>
        </w:tc>
        <w:tc>
          <w:tcPr>
            <w:tcW w:w="953" w:type="pct"/>
            <w:vMerge w:val="restart"/>
            <w:vAlign w:val="center"/>
          </w:tcPr>
          <w:p w14:paraId="15FEE3E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虚拟机独立性</w:t>
            </w:r>
          </w:p>
        </w:tc>
        <w:tc>
          <w:tcPr>
            <w:tcW w:w="3415" w:type="pct"/>
          </w:tcPr>
          <w:p w14:paraId="6E7A280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利用Intel VT和AMD-V的硬件虚拟化技术，提供对硬件驱动的高性能访问；</w:t>
            </w:r>
          </w:p>
        </w:tc>
      </w:tr>
      <w:tr w14:paraId="5138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1FB841D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AC1900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6EBFDAC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虚拟机之间可以做到隔离保护，每个虚拟机上的用户权限只限于本虚拟机之内，保障系统平台的安全性；</w:t>
            </w:r>
          </w:p>
        </w:tc>
      </w:tr>
      <w:tr w14:paraId="2F43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09B4FDE2">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F7C8224">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6699A46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虚拟机具有自己的资源（内存、CPU、网卡、存储），可以指定单独的IP地址、MAC地址等；</w:t>
            </w:r>
          </w:p>
        </w:tc>
      </w:tr>
      <w:tr w14:paraId="7747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5879C4D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52814FA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虚拟机安全</w:t>
            </w:r>
          </w:p>
        </w:tc>
        <w:tc>
          <w:tcPr>
            <w:tcW w:w="3415" w:type="pct"/>
          </w:tcPr>
          <w:p w14:paraId="45DAD5C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支持受保护的虚拟机（Shielded Virtual Machines）</w:t>
            </w:r>
          </w:p>
        </w:tc>
      </w:tr>
      <w:tr w14:paraId="62AF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1C8F63B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restart"/>
            <w:vAlign w:val="center"/>
          </w:tcPr>
          <w:p w14:paraId="43F02563">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异构支持</w:t>
            </w:r>
          </w:p>
        </w:tc>
        <w:tc>
          <w:tcPr>
            <w:tcW w:w="3415" w:type="pct"/>
          </w:tcPr>
          <w:p w14:paraId="6ED7279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支持在Intel和AMD两个品牌或同一品牌不同CPU类型之间的服务器建立支持异构CPU的虚拟化资源池；</w:t>
            </w:r>
          </w:p>
          <w:p w14:paraId="4F17E4B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支持市面上主流的x86服务器，包括HP、Dell、IBM等厂商的机架或刀片服务器；</w:t>
            </w:r>
          </w:p>
        </w:tc>
      </w:tr>
      <w:tr w14:paraId="4386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6FEF31F2">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465BF15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5046B47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虚拟化资源池内的每个服务器都可以安装虚拟机，并且虚拟机操作系统可以异构。</w:t>
            </w:r>
          </w:p>
        </w:tc>
      </w:tr>
      <w:tr w14:paraId="1357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1EF4951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2808F5F1">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7ACFDCD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兼容现有市场上X86服务器上能够运行的主流操作系统，具有双方认可的官方客户操作系统兼容性列表，包括不限于以下操作系统：WINDOWS 2003、WINDOWS 2008、WINDOWS 2012、WINDOWS 2016、WINDOWS 2019、REDHATLINUX、CENTOSLINUX、ORACLELINUX、SUSELINUX、FREEBSD、UBUNTU、DEBIAN等。</w:t>
            </w:r>
          </w:p>
        </w:tc>
      </w:tr>
      <w:tr w14:paraId="75DE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0EE42FC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6309AAA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04E5905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ORACLE、IBM等主流应用厂商支持其应用运行于虚拟化技术之上的虚拟机中。</w:t>
            </w:r>
          </w:p>
        </w:tc>
      </w:tr>
      <w:tr w14:paraId="54E4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7F54FFE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AEA5BC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0BD065F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兼容现有市场上主流的存储阵列产品，如IP-SAN、FC-SAN、SAS和iSCSI，品牌包括EMC、IBM、HP、HDS、Netapp、Sun、Dell等，兼容现有市场上主流的网卡和HBA卡产品，包括Qlogic，Emulex，Brocade的HBA卡。</w:t>
            </w:r>
          </w:p>
        </w:tc>
      </w:tr>
      <w:tr w14:paraId="14D4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64968B2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restart"/>
            <w:vAlign w:val="center"/>
          </w:tcPr>
          <w:p w14:paraId="7E652B7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功能性要求</w:t>
            </w:r>
          </w:p>
        </w:tc>
        <w:tc>
          <w:tcPr>
            <w:tcW w:w="3415" w:type="pct"/>
          </w:tcPr>
          <w:p w14:paraId="0A4134F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支持虚拟机实时迁移动能，可以在不停机的状态下，手工或自动地实现虚拟机在群集之内的不同物理主机之间迁移，保障业务连续性；</w:t>
            </w:r>
          </w:p>
          <w:p w14:paraId="0299E58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实时迁移无需依赖高可用群集和共享存储，支持位于本地存储的虚拟机在不同的物理主机进行迁移，迁移过程中不停机；</w:t>
            </w:r>
          </w:p>
          <w:p w14:paraId="650791A2">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支持位于共享文件夹中的虚拟机实时迁移；</w:t>
            </w:r>
          </w:p>
          <w:p w14:paraId="6E6ADE0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支持在群集内的不限数量的并发实时迁移，并可以查看实时迁移状态和队列；</w:t>
            </w:r>
          </w:p>
        </w:tc>
      </w:tr>
      <w:tr w14:paraId="61DB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39035E62">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5148B09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6CAA71C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支持存储实时迁移，可以在不同的LUN之间迁移虚拟机存储，迁移过程中虚拟机不会停机；</w:t>
            </w:r>
          </w:p>
        </w:tc>
      </w:tr>
      <w:tr w14:paraId="1264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4D44A3D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5D4E9F7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2C49483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支持资源动态优化，在物理主机的负载达到一定程度后，自动将高负载物理服务器上运行的虚拟机迁移到其它比较空闲的物理服务器上。支持按照CPU、内存、网络和磁盘设定相关阀值和策略实现负载均衡。</w:t>
            </w:r>
          </w:p>
        </w:tc>
      </w:tr>
      <w:tr w14:paraId="7015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2A75928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B82E974">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684311F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支持存储空间功能，群集共享卷内可以包括多个LUN，支持在线增加LUN以扩展存储空间；</w:t>
            </w:r>
          </w:p>
        </w:tc>
      </w:tr>
      <w:tr w14:paraId="4EF7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0C9AE551">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2D5C0701">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3E857C24">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虚拟机支持直通磁盘访问，可以直接访问物理存储；</w:t>
            </w:r>
          </w:p>
          <w:p w14:paraId="21F8558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可以为虚拟机配置虚拟光纤通道卡，实现虚拟机对FC-SAN的访问，在实时迁移过程中，不会中断虚拟机对FC存储的连接；</w:t>
            </w:r>
          </w:p>
        </w:tc>
      </w:tr>
      <w:tr w14:paraId="66B6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restart"/>
            <w:vAlign w:val="center"/>
          </w:tcPr>
          <w:p w14:paraId="787A9AD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桌面虚拟化功能</w:t>
            </w:r>
          </w:p>
        </w:tc>
        <w:tc>
          <w:tcPr>
            <w:tcW w:w="953" w:type="pct"/>
            <w:vAlign w:val="center"/>
          </w:tcPr>
          <w:p w14:paraId="1293C6F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总体要求</w:t>
            </w:r>
          </w:p>
        </w:tc>
        <w:tc>
          <w:tcPr>
            <w:tcW w:w="3415" w:type="pct"/>
          </w:tcPr>
          <w:p w14:paraId="4A457C1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虚拟桌面系统厂商拥有独立开发、自主知识产权的远程桌面协议（非OEM、非联合开发）。桌面虚拟化系统和服务器虚拟化系统必须为同一家厂商提供，禁止借用第三方软件的整合，以保证功能的可靠性和安全性。</w:t>
            </w:r>
          </w:p>
        </w:tc>
      </w:tr>
      <w:tr w14:paraId="27C3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0C17B2E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0437632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应用交付功能</w:t>
            </w:r>
          </w:p>
        </w:tc>
        <w:tc>
          <w:tcPr>
            <w:tcW w:w="3415" w:type="pct"/>
          </w:tcPr>
          <w:p w14:paraId="5BE4503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应用安装于数据中心的服务器之上或采用流技术交付到服务器，然后在用户的桌面和设备上远程显示，只通过网络传送屏幕更新、键盘敲击和鼠标点击操作。</w:t>
            </w:r>
          </w:p>
          <w:p w14:paraId="60E762B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支持应用交付到虚拟桌面和物理PC；应用交付到虚拟桌面支持松耦合管理，虚拟桌面更新、升级不会影响到虚拟应用的运行；</w:t>
            </w:r>
          </w:p>
        </w:tc>
      </w:tr>
      <w:tr w14:paraId="2155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23AA5D3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59C6D6E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数据漫游功能</w:t>
            </w:r>
          </w:p>
        </w:tc>
        <w:tc>
          <w:tcPr>
            <w:tcW w:w="3415" w:type="pct"/>
          </w:tcPr>
          <w:p w14:paraId="3C303B0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支持个人磁盘功能，对用户个人数据和个人安装的应用程序及配置重向定个人磁盘中，管理更新、升级镜像后不会影响个人数据和自行安装的软件。</w:t>
            </w:r>
          </w:p>
        </w:tc>
      </w:tr>
      <w:tr w14:paraId="38EA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687054E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38774B7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安全和合规功能</w:t>
            </w:r>
          </w:p>
        </w:tc>
        <w:tc>
          <w:tcPr>
            <w:tcW w:w="3415" w:type="pct"/>
          </w:tcPr>
          <w:p w14:paraId="5395CFC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外设的安全性支持：</w:t>
            </w:r>
          </w:p>
          <w:p w14:paraId="3550885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禁用/启用本地磁盘的映射到虚拟桌面的功能；支持单向只读数据传输；禁用/启用USB存储设备映射到虚拟桌面但不影响USB的其它外设；设置USB存储的黑白名单；</w:t>
            </w:r>
          </w:p>
          <w:p w14:paraId="6D8C42C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禁用/启用本地打印机、网络打印机的功能；禁用/启用终端设备与虚拟桌面之间的剪切板的复制功能。</w:t>
            </w:r>
          </w:p>
        </w:tc>
      </w:tr>
      <w:tr w14:paraId="5E1D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24E75C8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5AD5D20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管理功能</w:t>
            </w:r>
          </w:p>
        </w:tc>
        <w:tc>
          <w:tcPr>
            <w:tcW w:w="3415" w:type="pct"/>
          </w:tcPr>
          <w:p w14:paraId="57E743B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可在线查看虚拟桌面会话中的重定向映射情况及资源消耗等；</w:t>
            </w:r>
          </w:p>
        </w:tc>
      </w:tr>
      <w:tr w14:paraId="4197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restart"/>
            <w:vAlign w:val="center"/>
          </w:tcPr>
          <w:p w14:paraId="2F269B9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存储功能</w:t>
            </w:r>
          </w:p>
        </w:tc>
        <w:tc>
          <w:tcPr>
            <w:tcW w:w="953" w:type="pct"/>
            <w:vMerge w:val="restart"/>
            <w:vAlign w:val="center"/>
          </w:tcPr>
          <w:p w14:paraId="772C91D3">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存储虚拟化</w:t>
            </w:r>
          </w:p>
        </w:tc>
        <w:tc>
          <w:tcPr>
            <w:tcW w:w="3415" w:type="pct"/>
          </w:tcPr>
          <w:p w14:paraId="03E349E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支持直接将服务器本地磁盘或直连的JBOD盘柜中的磁盘配置为存储池，并从存储池中创建逻辑单元；</w:t>
            </w:r>
          </w:p>
        </w:tc>
      </w:tr>
      <w:tr w14:paraId="3896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5E8CE98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5EE8137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0840CA1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支持分离式设计，虚拟化服务器可以通过常用的网络协议访问存储池中的逻辑单元，而无需直连存储设备，支持SMB3.0、iSCSI和NFS；</w:t>
            </w:r>
          </w:p>
        </w:tc>
      </w:tr>
      <w:tr w14:paraId="66DA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6FB91F8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2BFB2B8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5DC1976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支持在逻辑单元中进行数据去重和数据分层；</w:t>
            </w:r>
          </w:p>
        </w:tc>
      </w:tr>
      <w:tr w14:paraId="179A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63D174D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57D41F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615867F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支持在创建逻辑单元时设置可用性模式，支持包括Simple、双层和三层Mirror、Parity模式；</w:t>
            </w:r>
          </w:p>
        </w:tc>
      </w:tr>
      <w:tr w14:paraId="3B14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0F84DE7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758680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159CCA9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支持存储服务器、磁盘和Enclosure多层级容灾功能，可以防止单个或多个存储服务器、磁盘和Enclosure损坏，且可有效恢复数据；</w:t>
            </w:r>
          </w:p>
        </w:tc>
      </w:tr>
      <w:tr w14:paraId="4E4D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2333BD1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12EA849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49EE194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分布式服务器存储，支持多个独立的服务器本地SSD或磁盘组成一个分布式的存储资源池，提供给虚拟化或其他应用使用。易于管理，并支持横向扩展</w:t>
            </w:r>
          </w:p>
        </w:tc>
      </w:tr>
      <w:tr w14:paraId="1003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1513B9A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30C6D2C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软件定义存储</w:t>
            </w:r>
          </w:p>
        </w:tc>
        <w:tc>
          <w:tcPr>
            <w:tcW w:w="3415" w:type="pct"/>
          </w:tcPr>
          <w:p w14:paraId="5690E73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支持直接存储空间技术以及存储复制技术（Storage features including Storage Spaces Direct and Storage Replica）</w:t>
            </w:r>
          </w:p>
        </w:tc>
      </w:tr>
      <w:tr w14:paraId="1BEE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restart"/>
            <w:vAlign w:val="center"/>
          </w:tcPr>
          <w:p w14:paraId="67FE9753">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网络功能</w:t>
            </w:r>
          </w:p>
        </w:tc>
        <w:tc>
          <w:tcPr>
            <w:tcW w:w="953" w:type="pct"/>
            <w:vMerge w:val="restart"/>
            <w:vAlign w:val="center"/>
          </w:tcPr>
          <w:p w14:paraId="2D0041E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虚拟化网络功能</w:t>
            </w:r>
          </w:p>
        </w:tc>
        <w:tc>
          <w:tcPr>
            <w:tcW w:w="3415" w:type="pct"/>
          </w:tcPr>
          <w:p w14:paraId="7DED840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支持外部网络、内部网络和私有网络三种类型虚拟网络，虚拟机可以通过外部网络和物理网络联通；</w:t>
            </w:r>
          </w:p>
        </w:tc>
      </w:tr>
      <w:tr w14:paraId="6771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327F52E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599C505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5CC407E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支持虚拟机之间的通信可以配置为通过同一主机的内部虚拟交换网络； </w:t>
            </w:r>
          </w:p>
        </w:tc>
      </w:tr>
      <w:tr w14:paraId="6421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77A12BE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D1F190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2D104483">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支持对虚拟机交换机及端口进行VLAN设置，支持同一物理主机上虚拟机之间的网络隔离；</w:t>
            </w:r>
          </w:p>
        </w:tc>
      </w:tr>
      <w:tr w14:paraId="1CDF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688CDBF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EDFE44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6E46600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支持网络虚拟化技术，提供同一物理网络上多个虚拟网络隔离的能力；提供基于软件定义的虚拟网络网关、负载均衡器，虚拟网关需能支持站点到站点和点到站点的VPN；</w:t>
            </w:r>
          </w:p>
        </w:tc>
      </w:tr>
      <w:tr w14:paraId="2689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480F0E8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04ADEF6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1FC6BE8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支持在操作系统中配置可扩展交换机，可将第三方开发的虚拟交换机软件添加到操作系统中，扩展操作系统网络管理功能；</w:t>
            </w:r>
          </w:p>
        </w:tc>
      </w:tr>
      <w:tr w14:paraId="4CA0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723F65D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0533F01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348E27F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支持宿主机至少32块网卡绑定，支持虚拟机内多网卡绑定，虚拟机网卡绑定不依赖与网卡驱动，不同型号和厂家的网卡可以进行绑定；</w:t>
            </w:r>
          </w:p>
        </w:tc>
      </w:tr>
      <w:tr w14:paraId="6377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418A0D0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682294A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11AE36C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支持对虚拟机网络流量进行带宽控制；</w:t>
            </w:r>
          </w:p>
        </w:tc>
      </w:tr>
      <w:tr w14:paraId="1E06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09841B8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2C208DF1">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77F21B1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支持对通过虚拟交换机的流量进行计量；</w:t>
            </w:r>
          </w:p>
        </w:tc>
      </w:tr>
      <w:tr w14:paraId="413A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0934E69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4D7F13B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1F23F354">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支持SR-IOV技术，虚拟机可以直接使用物理网卡虚拟功能模块，提高虚拟机网络性能；</w:t>
            </w:r>
          </w:p>
        </w:tc>
      </w:tr>
      <w:tr w14:paraId="605E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7FFB84E1">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6F25B142">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通用网络服务支持</w:t>
            </w:r>
          </w:p>
        </w:tc>
        <w:tc>
          <w:tcPr>
            <w:tcW w:w="3415" w:type="pct"/>
          </w:tcPr>
          <w:p w14:paraId="140E2531">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提供用户、用户组管理功能、统一用户授权、DNS服务、DHCP服务、传真服务器、文件及存储服务、终端计算机统一管理。</w:t>
            </w:r>
          </w:p>
          <w:p w14:paraId="7DB5982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支持通过策略对终端计算机进行统一管理（包括配置修改、行为限定等）</w:t>
            </w:r>
          </w:p>
          <w:p w14:paraId="3A9AD15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支持通过LDAP进行帐户和网络资源管理，并支持通过策略统一管理帐户权限，目录服务对象包含但不限于用户帐户、计算机帐户和打印机等。</w:t>
            </w:r>
          </w:p>
        </w:tc>
      </w:tr>
      <w:tr w14:paraId="5E5D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32" w:type="pct"/>
            <w:vMerge w:val="restart"/>
            <w:vAlign w:val="center"/>
          </w:tcPr>
          <w:p w14:paraId="213F6C2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高可用功能</w:t>
            </w:r>
          </w:p>
        </w:tc>
        <w:tc>
          <w:tcPr>
            <w:tcW w:w="953" w:type="pct"/>
            <w:vAlign w:val="center"/>
          </w:tcPr>
          <w:p w14:paraId="19251EB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故障转移群集功能</w:t>
            </w:r>
          </w:p>
        </w:tc>
        <w:tc>
          <w:tcPr>
            <w:tcW w:w="3415" w:type="pct"/>
          </w:tcPr>
          <w:p w14:paraId="4018005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支持配置为主备或多活模式群集；</w:t>
            </w:r>
          </w:p>
          <w:p w14:paraId="73D1C35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支持自动配置仲裁，支持基于共享磁盘、共享文件夹、节点多数三种仲裁模式；</w:t>
            </w:r>
          </w:p>
          <w:p w14:paraId="5141157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支持在故障转移群集中配置虚拟化、DNS、DHCP、文件共享、分布式文件系统、数据库等多种资源高可用；</w:t>
            </w:r>
          </w:p>
          <w:p w14:paraId="48E04254">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支持资源反关联和关联性配置；</w:t>
            </w:r>
          </w:p>
        </w:tc>
      </w:tr>
      <w:tr w14:paraId="786E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32" w:type="pct"/>
            <w:vMerge w:val="continue"/>
            <w:vAlign w:val="center"/>
          </w:tcPr>
          <w:p w14:paraId="40169E9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3ED001F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故障转移群集指标</w:t>
            </w:r>
          </w:p>
        </w:tc>
        <w:tc>
          <w:tcPr>
            <w:tcW w:w="3415" w:type="pct"/>
          </w:tcPr>
          <w:p w14:paraId="4CE94B02">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每个虚拟机高可用性群集至少支持8000个虚拟机；</w:t>
            </w:r>
          </w:p>
          <w:p w14:paraId="2CEF6E7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每个高可用性群集至少支持64个节点；</w:t>
            </w:r>
          </w:p>
        </w:tc>
      </w:tr>
      <w:tr w14:paraId="46AA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2" w:type="pct"/>
            <w:vMerge w:val="continue"/>
            <w:vAlign w:val="center"/>
          </w:tcPr>
          <w:p w14:paraId="3AB191B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492FC79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网络负载均衡</w:t>
            </w:r>
          </w:p>
        </w:tc>
        <w:tc>
          <w:tcPr>
            <w:tcW w:w="3415" w:type="pct"/>
          </w:tcPr>
          <w:p w14:paraId="4907ADF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支持配置网络负载均衡；</w:t>
            </w:r>
          </w:p>
        </w:tc>
      </w:tr>
      <w:tr w14:paraId="499C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632" w:type="pct"/>
            <w:vAlign w:val="center"/>
          </w:tcPr>
          <w:p w14:paraId="18B415C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操作系统指标</w:t>
            </w:r>
          </w:p>
        </w:tc>
        <w:tc>
          <w:tcPr>
            <w:tcW w:w="953" w:type="pct"/>
            <w:vAlign w:val="center"/>
          </w:tcPr>
          <w:p w14:paraId="4FB4A32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指标要求</w:t>
            </w:r>
          </w:p>
        </w:tc>
        <w:tc>
          <w:tcPr>
            <w:tcW w:w="3415" w:type="pct"/>
          </w:tcPr>
          <w:p w14:paraId="5FE3CE8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每个宿主机至少支持512个逻辑CPU；</w:t>
            </w:r>
          </w:p>
          <w:p w14:paraId="4178110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每个宿主机至少支持24TB物理内存；</w:t>
            </w:r>
          </w:p>
          <w:p w14:paraId="3632F60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每个虚拟机至少支持240个虚拟CPU；</w:t>
            </w:r>
          </w:p>
          <w:p w14:paraId="5C15C11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每个虚拟机至少支持16TB内存；</w:t>
            </w:r>
          </w:p>
        </w:tc>
      </w:tr>
    </w:tbl>
    <w:p w14:paraId="24D372E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2.1.6 </w:t>
      </w:r>
      <w:r>
        <w:rPr>
          <w:rFonts w:hint="eastAsia" w:ascii="Times New Roman" w:hAnsi="Times New Roman" w:eastAsia="宋体" w:cs="宋体"/>
          <w:color w:val="auto"/>
          <w:sz w:val="24"/>
          <w:szCs w:val="24"/>
          <w:highlight w:val="none"/>
          <w:lang w:eastAsia="zh-CN"/>
        </w:rPr>
        <w:t>响应供应商</w:t>
      </w:r>
      <w:r>
        <w:rPr>
          <w:rFonts w:hint="eastAsia" w:ascii="Times New Roman" w:hAnsi="Times New Roman" w:eastAsia="宋体" w:cs="宋体"/>
          <w:color w:val="auto"/>
          <w:sz w:val="24"/>
          <w:szCs w:val="24"/>
          <w:highlight w:val="none"/>
        </w:rPr>
        <w:t>其他承诺</w:t>
      </w:r>
    </w:p>
    <w:p w14:paraId="5EEC76B6">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auto"/>
          <w:sz w:val="24"/>
          <w:szCs w:val="24"/>
          <w:highlight w:val="none"/>
        </w:rPr>
        <w:t>）上述软件可自由升级或降级使用。</w:t>
      </w:r>
    </w:p>
    <w:p w14:paraId="3093200D">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（2）合约有效期内，上述软件如有升级版本，授权对升级版本同样有效。</w:t>
      </w:r>
    </w:p>
    <w:p w14:paraId="174156D6">
      <w:pPr>
        <w:keepNext w:val="0"/>
        <w:keepLines w:val="0"/>
        <w:pageBreakBefore w:val="0"/>
        <w:widowControl w:val="0"/>
        <w:kinsoku/>
        <w:wordWrap/>
        <w:topLinePunct w:val="0"/>
        <w:autoSpaceDE/>
        <w:autoSpaceDN/>
        <w:bidi w:val="0"/>
        <w:spacing w:line="360" w:lineRule="auto"/>
        <w:ind w:firstLine="240" w:firstLineChars="1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★（3）合约有效期内，所有新增计算机正版化授权不再加收任何费用。</w:t>
      </w:r>
    </w:p>
    <w:p w14:paraId="40AD077D">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（4）软件更新和技术支持，包括电话支持和在线支持。</w:t>
      </w:r>
    </w:p>
    <w:p w14:paraId="490525A5">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（5）合约有效期内价格不得变动。</w:t>
      </w:r>
    </w:p>
    <w:p w14:paraId="2CADD754">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lang w:val="en-US" w:eastAsia="zh-CN"/>
        </w:rPr>
      </w:pPr>
      <w:r>
        <w:rPr>
          <w:rFonts w:hint="eastAsia" w:ascii="Times New Roman" w:hAnsi="Times New Roman" w:cs="宋体"/>
          <w:b/>
          <w:bCs/>
          <w:color w:val="auto"/>
          <w:szCs w:val="24"/>
          <w:highlight w:val="none"/>
          <w:shd w:val="clear" w:color="auto" w:fill="FFFFFF"/>
          <w:lang w:val="en-US" w:eastAsia="zh-CN"/>
        </w:rPr>
        <w:t>三</w:t>
      </w:r>
      <w:r>
        <w:rPr>
          <w:rFonts w:hint="eastAsia" w:ascii="Times New Roman" w:hAnsi="Times New Roman" w:eastAsia="宋体" w:cs="宋体"/>
          <w:b/>
          <w:bCs/>
          <w:color w:val="auto"/>
          <w:szCs w:val="24"/>
          <w:highlight w:val="none"/>
          <w:shd w:val="clear" w:color="auto" w:fill="FFFFFF"/>
          <w:lang w:val="en-US" w:eastAsia="zh-CN"/>
        </w:rPr>
        <w:t>、其它特别说明</w:t>
      </w:r>
    </w:p>
    <w:p w14:paraId="322AF786">
      <w:pPr>
        <w:pStyle w:val="73"/>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1、签订合同后30个工作日内，软件产品授权要在原厂官网可查。</w:t>
      </w:r>
    </w:p>
    <w:p w14:paraId="5DBAC80F">
      <w:pPr>
        <w:pStyle w:val="73"/>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kern w:val="2"/>
          <w:sz w:val="24"/>
          <w:szCs w:val="24"/>
          <w:highlight w:val="none"/>
          <w:lang w:val="en-US" w:eastAsia="zh-CN" w:bidi="ar-SA"/>
        </w:rPr>
        <w:t>2、免费维保服务期限为签订合同之日起三年。</w:t>
      </w:r>
    </w:p>
    <w:p w14:paraId="5F83AF27">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lang w:val="en-US" w:eastAsia="zh-CN"/>
        </w:rPr>
      </w:pPr>
      <w:r>
        <w:rPr>
          <w:rFonts w:hint="eastAsia" w:ascii="Times New Roman" w:hAnsi="Times New Roman" w:cs="宋体"/>
          <w:b/>
          <w:bCs/>
          <w:color w:val="auto"/>
          <w:szCs w:val="24"/>
          <w:highlight w:val="none"/>
          <w:shd w:val="clear" w:color="auto" w:fill="FFFFFF"/>
          <w:lang w:val="en-US" w:eastAsia="zh-CN"/>
        </w:rPr>
        <w:t>四</w:t>
      </w:r>
      <w:r>
        <w:rPr>
          <w:rFonts w:hint="eastAsia" w:ascii="Times New Roman" w:hAnsi="Times New Roman" w:eastAsia="宋体" w:cs="宋体"/>
          <w:b/>
          <w:bCs/>
          <w:color w:val="auto"/>
          <w:szCs w:val="24"/>
          <w:highlight w:val="none"/>
          <w:shd w:val="clear" w:color="auto" w:fill="FFFFFF"/>
          <w:lang w:val="en-US" w:eastAsia="zh-CN"/>
        </w:rPr>
        <w:t>、</w:t>
      </w:r>
      <w:r>
        <w:rPr>
          <w:rFonts w:hint="eastAsia" w:ascii="Times New Roman" w:hAnsi="Times New Roman" w:cs="宋体"/>
          <w:b/>
          <w:bCs/>
          <w:color w:val="auto"/>
          <w:szCs w:val="24"/>
          <w:highlight w:val="none"/>
          <w:shd w:val="clear" w:color="auto" w:fill="FFFFFF"/>
          <w:lang w:val="en-US" w:eastAsia="zh-CN"/>
        </w:rPr>
        <w:t>合同履行期限</w:t>
      </w:r>
    </w:p>
    <w:p w14:paraId="3F90F3A2">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0" w:firstLineChars="200"/>
        <w:jc w:val="both"/>
        <w:textAlignment w:val="baseline"/>
        <w:rPr>
          <w:rFonts w:hint="eastAsia" w:ascii="Times New Roman" w:hAnsi="Times New Roman" w:eastAsia="宋体" w:cs="宋体"/>
          <w:b/>
          <w:bCs/>
          <w:color w:val="auto"/>
          <w:szCs w:val="24"/>
          <w:highlight w:val="none"/>
          <w:shd w:val="clear" w:color="auto" w:fill="FFFFFF"/>
          <w:lang w:val="en-US" w:eastAsia="zh-CN"/>
        </w:rPr>
      </w:pPr>
      <w:r>
        <w:rPr>
          <w:rFonts w:hint="eastAsia" w:ascii="Times New Roman" w:hAnsi="Times New Roman" w:eastAsia="宋体" w:cs="宋体"/>
          <w:b w:val="0"/>
          <w:bCs w:val="0"/>
          <w:color w:val="auto"/>
          <w:sz w:val="24"/>
          <w:szCs w:val="24"/>
          <w:highlight w:val="none"/>
        </w:rPr>
        <w:t>签订合同后</w:t>
      </w:r>
      <w:r>
        <w:rPr>
          <w:rFonts w:hint="eastAsia" w:ascii="Times New Roman" w:hAnsi="Times New Roman" w:eastAsia="宋体" w:cs="宋体"/>
          <w:b w:val="0"/>
          <w:bCs w:val="0"/>
          <w:color w:val="auto"/>
          <w:sz w:val="24"/>
          <w:szCs w:val="24"/>
          <w:highlight w:val="none"/>
          <w:lang w:val="en-US" w:eastAsia="zh-CN"/>
        </w:rPr>
        <w:t>30</w:t>
      </w:r>
      <w:r>
        <w:rPr>
          <w:rFonts w:hint="eastAsia" w:ascii="Times New Roman" w:hAnsi="Times New Roman" w:eastAsia="宋体" w:cs="宋体"/>
          <w:b w:val="0"/>
          <w:bCs w:val="0"/>
          <w:color w:val="auto"/>
          <w:sz w:val="24"/>
          <w:szCs w:val="24"/>
          <w:highlight w:val="none"/>
          <w:lang w:val="zh-CN"/>
        </w:rPr>
        <w:t>天内</w:t>
      </w:r>
      <w:r>
        <w:rPr>
          <w:rFonts w:hint="eastAsia" w:ascii="Times New Roman" w:hAnsi="Times New Roman" w:eastAsia="宋体" w:cs="宋体"/>
          <w:b w:val="0"/>
          <w:bCs w:val="0"/>
          <w:color w:val="auto"/>
          <w:sz w:val="24"/>
          <w:szCs w:val="24"/>
          <w:highlight w:val="none"/>
        </w:rPr>
        <w:t>完成相关软件的采购及安装、配置、调试工作。</w:t>
      </w:r>
    </w:p>
    <w:p w14:paraId="46D71D85">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lang w:val="en-US" w:eastAsia="zh-CN"/>
        </w:rPr>
      </w:pPr>
      <w:r>
        <w:rPr>
          <w:rFonts w:hint="eastAsia" w:ascii="Times New Roman" w:hAnsi="Times New Roman" w:cs="宋体"/>
          <w:b/>
          <w:bCs/>
          <w:color w:val="auto"/>
          <w:szCs w:val="24"/>
          <w:highlight w:val="none"/>
          <w:shd w:val="clear" w:color="auto" w:fill="FFFFFF"/>
          <w:lang w:val="en-US" w:eastAsia="zh-CN"/>
        </w:rPr>
        <w:t>五、</w:t>
      </w:r>
      <w:r>
        <w:rPr>
          <w:rFonts w:hint="eastAsia" w:ascii="Times New Roman" w:hAnsi="Times New Roman" w:eastAsia="宋体" w:cs="宋体"/>
          <w:b/>
          <w:bCs/>
          <w:color w:val="auto"/>
          <w:szCs w:val="24"/>
          <w:highlight w:val="none"/>
          <w:shd w:val="clear" w:color="auto" w:fill="FFFFFF"/>
          <w:lang w:val="en-US" w:eastAsia="zh-CN"/>
        </w:rPr>
        <w:t>付款条件</w:t>
      </w:r>
    </w:p>
    <w:p w14:paraId="2425F4DF">
      <w:pPr>
        <w:pStyle w:val="73"/>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sz w:val="24"/>
          <w:szCs w:val="24"/>
          <w:highlight w:val="none"/>
        </w:rPr>
        <w:t>验</w:t>
      </w:r>
      <w:r>
        <w:rPr>
          <w:rFonts w:hint="eastAsia" w:ascii="Times New Roman" w:hAnsi="Times New Roman" w:eastAsia="宋体" w:cs="宋体"/>
          <w:color w:val="auto"/>
          <w:kern w:val="2"/>
          <w:sz w:val="24"/>
          <w:szCs w:val="24"/>
          <w:highlight w:val="none"/>
          <w:lang w:val="en-US" w:eastAsia="zh-CN" w:bidi="ar-SA"/>
        </w:rPr>
        <w:t>收合格后，</w:t>
      </w:r>
      <w:r>
        <w:rPr>
          <w:rFonts w:hint="eastAsia" w:cs="宋体"/>
          <w:color w:val="auto"/>
          <w:kern w:val="2"/>
          <w:sz w:val="24"/>
          <w:szCs w:val="24"/>
          <w:highlight w:val="none"/>
          <w:lang w:val="en-US" w:eastAsia="zh-CN" w:bidi="ar-SA"/>
        </w:rPr>
        <w:t>供应商</w:t>
      </w:r>
      <w:r>
        <w:rPr>
          <w:rFonts w:hint="eastAsia" w:ascii="Times New Roman" w:hAnsi="Times New Roman" w:eastAsia="宋体" w:cs="宋体"/>
          <w:color w:val="auto"/>
          <w:kern w:val="2"/>
          <w:sz w:val="24"/>
          <w:szCs w:val="24"/>
          <w:highlight w:val="none"/>
          <w:lang w:val="en-US" w:eastAsia="zh-CN" w:bidi="ar-SA"/>
        </w:rPr>
        <w:t>出具正规发票，</w:t>
      </w:r>
      <w:r>
        <w:rPr>
          <w:rFonts w:hint="eastAsia" w:cs="宋体"/>
          <w:color w:val="auto"/>
          <w:kern w:val="2"/>
          <w:sz w:val="24"/>
          <w:szCs w:val="24"/>
          <w:highlight w:val="none"/>
          <w:lang w:val="en-US" w:eastAsia="zh-CN" w:bidi="ar-SA"/>
        </w:rPr>
        <w:t>采购人</w:t>
      </w:r>
      <w:r>
        <w:rPr>
          <w:rFonts w:hint="eastAsia" w:ascii="Times New Roman" w:hAnsi="Times New Roman" w:eastAsia="宋体" w:cs="宋体"/>
          <w:color w:val="auto"/>
          <w:kern w:val="2"/>
          <w:sz w:val="24"/>
          <w:szCs w:val="24"/>
          <w:highlight w:val="none"/>
          <w:lang w:val="en-US" w:eastAsia="zh-CN" w:bidi="ar-SA"/>
        </w:rPr>
        <w:t>支付合同金额的80%；余款在验收满一年后15个工作日内付清。</w:t>
      </w:r>
    </w:p>
    <w:p w14:paraId="5A313E98">
      <w:pPr>
        <w:pStyle w:val="73"/>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p>
    <w:p w14:paraId="469E48FE">
      <w:pPr>
        <w:keepNext w:val="0"/>
        <w:keepLines w:val="0"/>
        <w:pageBreakBefore w:val="0"/>
        <w:kinsoku/>
        <w:topLinePunct w:val="0"/>
        <w:autoSpaceDE/>
        <w:autoSpaceDN/>
        <w:bidi w:val="0"/>
        <w:spacing w:line="360" w:lineRule="auto"/>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br w:type="page"/>
      </w:r>
    </w:p>
    <w:p w14:paraId="63A026ED">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第四章</w:t>
      </w:r>
      <w:bookmarkStart w:id="10" w:name="_Toc37322565"/>
      <w:bookmarkStart w:id="11" w:name="_Toc43217893"/>
      <w:bookmarkStart w:id="12" w:name="_Toc85627670"/>
      <w:bookmarkStart w:id="13" w:name="_Toc182848996"/>
      <w:bookmarkStart w:id="14" w:name="_Toc38121794"/>
      <w:r>
        <w:rPr>
          <w:rFonts w:hint="eastAsia" w:ascii="Times New Roman" w:hAnsi="Times New Roman" w:eastAsia="宋体" w:cs="宋体"/>
          <w:color w:val="auto"/>
          <w:w w:val="80"/>
          <w:sz w:val="48"/>
          <w:szCs w:val="44"/>
          <w:highlight w:val="none"/>
        </w:rPr>
        <w:t xml:space="preserve"> 评审方法和程序</w:t>
      </w:r>
      <w:bookmarkEnd w:id="10"/>
      <w:bookmarkEnd w:id="11"/>
      <w:bookmarkEnd w:id="12"/>
      <w:bookmarkEnd w:id="13"/>
      <w:bookmarkEnd w:id="14"/>
    </w:p>
    <w:p w14:paraId="42F72455">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bookmarkStart w:id="15" w:name="_Toc363573857"/>
      <w:bookmarkEnd w:id="15"/>
      <w:r>
        <w:rPr>
          <w:rFonts w:hint="eastAsia" w:ascii="Times New Roman" w:hAnsi="Times New Roman" w:eastAsia="宋体" w:cs="宋体"/>
          <w:b/>
          <w:bCs/>
          <w:color w:val="auto"/>
          <w:szCs w:val="24"/>
          <w:highlight w:val="none"/>
          <w:shd w:val="clear" w:color="auto" w:fill="FFFFFF"/>
        </w:rPr>
        <w:t>一、代理机构组织磋商</w:t>
      </w:r>
    </w:p>
    <w:p w14:paraId="13DD63E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1、本次竞争性磋商依据《中华人民共和国政府采购法》、《政府采购竞争性磋商采购人式管理暂行办法》及有关法规成立磋商小组。磋商小组由3人以上单数组成。</w:t>
      </w:r>
    </w:p>
    <w:p w14:paraId="15F63C2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2、磋商小组的职责：</w:t>
      </w:r>
    </w:p>
    <w:p w14:paraId="4F1397F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（1）磋商小组成员应当按照客观、公正、审慎的原则，根据磋商文件规定的评审程序、评审方法和评审标准进行独立评审。</w:t>
      </w:r>
    </w:p>
    <w:p w14:paraId="73A6820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（2）磋商小组成员应当遵守评审工作纪律，不得泄露评审情况和评审中获悉的商业秘密，对个人的评审意见承担法律责任；</w:t>
      </w:r>
    </w:p>
    <w:p w14:paraId="6EAA2C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（3）磋商小组成员在评审过程中发现供应商有行贿、提供虚假材料或者串通等违法行为的，应当及时向财政部门报告。</w:t>
      </w:r>
    </w:p>
    <w:p w14:paraId="66B679F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（4）磋商小组成员在评审过程中受到非法干涉的，应当及时向财政、监察等部门举报。</w:t>
      </w:r>
    </w:p>
    <w:p w14:paraId="0BB9E27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（5）配合采购单位答复供应商提出的质疑。</w:t>
      </w:r>
    </w:p>
    <w:p w14:paraId="587F1F1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3、评审有关记录由磋商小组成员签名，存档备查。</w:t>
      </w:r>
    </w:p>
    <w:p w14:paraId="015F39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4、供应商的法定代表人或被授权人须持身份证准时参加磋商开标会。</w:t>
      </w:r>
    </w:p>
    <w:p w14:paraId="27EFC6A3">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二、磋商的原则及方法</w:t>
      </w:r>
    </w:p>
    <w:p w14:paraId="51ED04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1、磋商小组依据《中华人民共和国政府采购法》、《政府采购竞争性磋商采购人式管理暂行办法》以及有关政府采购的相关法规，遵循</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公开、公平、公正、择优、信用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的原则进行磋商评审。</w:t>
      </w:r>
    </w:p>
    <w:p w14:paraId="0DB3DEC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2、磋商小组将按照竞争性磋商文件的规定，独立对每个进入打分程序的有效投标供应商的响应文件的技术部分以打分的形式进行评审和评价。技术分取算术平均值（计算结果均四舍五入保留两位小数）。</w:t>
      </w:r>
    </w:p>
    <w:p w14:paraId="2C17DB5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67FEC03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4、除非在磋商中磋商小组对采购单位需求内容作了调整增加，或对采购内容作了实质性变更，否则</w:t>
      </w:r>
      <w:r>
        <w:rPr>
          <w:rFonts w:hint="eastAsia" w:ascii="Times New Roman" w:hAnsi="Times New Roman" w:eastAsia="宋体" w:cs="宋体"/>
          <w:b/>
          <w:color w:val="auto"/>
          <w:sz w:val="24"/>
          <w:szCs w:val="24"/>
          <w:highlight w:val="none"/>
        </w:rPr>
        <w:t>采购单位不接受供应商高于自己前一轮的磋商报价</w:t>
      </w:r>
      <w:r>
        <w:rPr>
          <w:rFonts w:hint="eastAsia" w:ascii="Times New Roman" w:hAnsi="Times New Roman" w:eastAsia="宋体" w:cs="宋体"/>
          <w:color w:val="auto"/>
          <w:sz w:val="24"/>
          <w:szCs w:val="24"/>
          <w:highlight w:val="none"/>
        </w:rPr>
        <w:t>。</w:t>
      </w:r>
    </w:p>
    <w:p w14:paraId="25F9B61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5、对于在磋商顺利开始后至最终报价前，根据磋商情况退出磋商的供应商，须以书面形式说明退出磋商的原因，经磋商小组同意可以退出磋商。</w:t>
      </w:r>
    </w:p>
    <w:p w14:paraId="5C671DC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6、</w:t>
      </w:r>
      <w:r>
        <w:rPr>
          <w:rFonts w:hint="eastAsia" w:ascii="Times New Roman" w:hAnsi="Times New Roman" w:eastAsia="宋体"/>
          <w:color w:val="auto"/>
          <w:sz w:val="24"/>
          <w:szCs w:val="24"/>
          <w:highlight w:val="none"/>
        </w:rPr>
        <w:t>单位负责人为同一人或者存在直接控股、管理关系的不同供应商，都不得在同一采购项目相同标段中同时参加磋商，一经发现，将视同围标处理。</w:t>
      </w:r>
    </w:p>
    <w:p w14:paraId="220712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14:paraId="5F671AD9">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8、若采购过程中符合要求的供应商只有两家，则由磋商小组集体讨论决定是否继续进行竞争性磋商采购活动；若采购过程中符合要求的供应商只有一家，则终止本次竞争性磋商采购活动，重新开展采购活动。</w:t>
      </w:r>
    </w:p>
    <w:p w14:paraId="642EBA46">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三、磋商评定结果的方法</w:t>
      </w:r>
    </w:p>
    <w:p w14:paraId="1FA7A4F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ascii="Times New Roman" w:hAnsi="Times New Roman" w:eastAsia="宋体" w:cs="宋体"/>
          <w:b/>
          <w:color w:val="auto"/>
          <w:sz w:val="24"/>
          <w:szCs w:val="24"/>
          <w:highlight w:val="none"/>
          <w:u w:val="single"/>
        </w:rPr>
        <w:t>经磋商确定最终采购需求和提交最后报价的供应商后，</w:t>
      </w:r>
      <w:r>
        <w:rPr>
          <w:rFonts w:hint="eastAsia" w:ascii="Times New Roman" w:hAnsi="Times New Roman" w:eastAsia="宋体" w:cs="宋体"/>
          <w:color w:val="auto"/>
          <w:sz w:val="24"/>
          <w:szCs w:val="24"/>
          <w:highlight w:val="none"/>
        </w:rPr>
        <w:t>由磋商小组采用综合评分法</w:t>
      </w:r>
      <w:r>
        <w:rPr>
          <w:rFonts w:hint="eastAsia" w:ascii="Times New Roman" w:hAnsi="Times New Roman" w:eastAsia="宋体" w:cs="宋体"/>
          <w:b/>
          <w:color w:val="auto"/>
          <w:sz w:val="24"/>
          <w:szCs w:val="24"/>
          <w:highlight w:val="none"/>
          <w:u w:val="single"/>
        </w:rPr>
        <w:t>对提交最后报价的供应商的响应文件和最后报价</w:t>
      </w:r>
      <w:r>
        <w:rPr>
          <w:rFonts w:hint="eastAsia" w:ascii="Times New Roman" w:hAnsi="Times New Roman" w:eastAsia="宋体" w:cs="宋体"/>
          <w:color w:val="auto"/>
          <w:sz w:val="24"/>
          <w:szCs w:val="24"/>
          <w:highlight w:val="none"/>
        </w:rPr>
        <w:t>进行综合评分。</w:t>
      </w:r>
    </w:p>
    <w:p w14:paraId="68BA05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2、评审时，磋商小组各成员应当独立对每个有效响应的文件进行评价、打分，然后汇总每个供应商每项评分因素的得分（计算结果均四舍五入保留两位小数）。</w:t>
      </w:r>
    </w:p>
    <w:p w14:paraId="0452C9E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3、本次项目磋商的技术和报价评审总分值为100分。两部分评审因素比重如下：</w:t>
      </w:r>
    </w:p>
    <w:p w14:paraId="3031F85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技术分值占总分值的比重为</w:t>
      </w:r>
      <w:r>
        <w:rPr>
          <w:rFonts w:hint="eastAsia" w:ascii="Times New Roman" w:hAnsi="Times New Roman" w:eastAsia="宋体" w:cs="宋体"/>
          <w:b/>
          <w:color w:val="auto"/>
          <w:sz w:val="24"/>
          <w:szCs w:val="24"/>
          <w:highlight w:val="none"/>
          <w:u w:val="single"/>
          <w:lang w:val="en-US" w:eastAsia="zh-CN"/>
        </w:rPr>
        <w:t>80</w:t>
      </w:r>
      <w:r>
        <w:rPr>
          <w:rFonts w:hint="eastAsia" w:ascii="Times New Roman" w:hAnsi="Times New Roman" w:eastAsia="宋体" w:cs="宋体"/>
          <w:b/>
          <w:color w:val="auto"/>
          <w:sz w:val="24"/>
          <w:szCs w:val="24"/>
          <w:highlight w:val="none"/>
          <w:u w:val="single"/>
        </w:rPr>
        <w:t>%（权重）</w:t>
      </w:r>
      <w:r>
        <w:rPr>
          <w:rFonts w:hint="eastAsia" w:ascii="Times New Roman" w:hAnsi="Times New Roman" w:eastAsia="宋体" w:cs="宋体"/>
          <w:color w:val="auto"/>
          <w:sz w:val="24"/>
          <w:szCs w:val="24"/>
          <w:highlight w:val="none"/>
        </w:rPr>
        <w:t>（四舍五入保留两位小数）；</w:t>
      </w:r>
    </w:p>
    <w:p w14:paraId="1D2B31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报价分值占总分值的比重为</w:t>
      </w:r>
      <w:r>
        <w:rPr>
          <w:rFonts w:hint="eastAsia" w:ascii="Times New Roman" w:hAnsi="Times New Roman" w:eastAsia="宋体" w:cs="宋体"/>
          <w:b/>
          <w:color w:val="auto"/>
          <w:sz w:val="24"/>
          <w:szCs w:val="24"/>
          <w:highlight w:val="none"/>
          <w:u w:val="single"/>
          <w:lang w:val="en-US" w:eastAsia="zh-CN"/>
        </w:rPr>
        <w:t>20</w:t>
      </w:r>
      <w:r>
        <w:rPr>
          <w:rFonts w:hint="eastAsia" w:ascii="Times New Roman" w:hAnsi="Times New Roman" w:eastAsia="宋体" w:cs="宋体"/>
          <w:b/>
          <w:color w:val="auto"/>
          <w:sz w:val="24"/>
          <w:szCs w:val="24"/>
          <w:highlight w:val="none"/>
          <w:u w:val="single"/>
        </w:rPr>
        <w:t>%（权重）</w:t>
      </w:r>
      <w:r>
        <w:rPr>
          <w:rFonts w:hint="eastAsia" w:ascii="Times New Roman" w:hAnsi="Times New Roman" w:eastAsia="宋体" w:cs="宋体"/>
          <w:color w:val="auto"/>
          <w:sz w:val="24"/>
          <w:szCs w:val="24"/>
          <w:highlight w:val="none"/>
        </w:rPr>
        <w:t>（四舍五入保留两位小数）。</w:t>
      </w:r>
    </w:p>
    <w:p w14:paraId="2785C00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4、技术分按算术平均值计算，分值四舍五入保留两位小数。</w:t>
      </w:r>
    </w:p>
    <w:p w14:paraId="1CC32C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5、报价分统一采用低价优先法计算直接取得，与技术分相加为供应商的综合得分（四舍五入保留两位小数）。</w:t>
      </w:r>
    </w:p>
    <w:p w14:paraId="756F3D1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6、综合得分最高的供应商推荐为项目预成交人并出具评审磋商报告。</w:t>
      </w:r>
    </w:p>
    <w:p w14:paraId="2D67C28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7、确定成交候选人的特殊情况处理：</w:t>
      </w:r>
    </w:p>
    <w:p w14:paraId="47C4BA7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（1）若总分相同，则按最终报价响应得分高者优先中标。</w:t>
      </w:r>
    </w:p>
    <w:p w14:paraId="0DEF2D3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（2）若总分且最终报价响应得分相同，则采取现场抽签的方式确定（投标供应商的抽签顺序分别为各投标供应商递交响应文件签到顺序号）。</w:t>
      </w:r>
    </w:p>
    <w:p w14:paraId="3C3A1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8、磋商评审时，评委对评审的细则若有争议，由磋商小组集体讨论确定，并对未尽情况有最终解释权。</w:t>
      </w:r>
    </w:p>
    <w:p w14:paraId="1E0FFA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9、对落标的供应商不做落标原因的解释。</w:t>
      </w:r>
    </w:p>
    <w:p w14:paraId="75D37F34">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四、综合评分评审标准</w:t>
      </w:r>
    </w:p>
    <w:p w14:paraId="392D728A">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（一）商务技术分：</w:t>
      </w:r>
      <w:r>
        <w:rPr>
          <w:rFonts w:hint="eastAsia" w:ascii="Times New Roman" w:hAnsi="Times New Roman" w:cs="宋体"/>
          <w:b/>
          <w:bCs/>
          <w:color w:val="auto"/>
          <w:szCs w:val="24"/>
          <w:highlight w:val="none"/>
          <w:shd w:val="clear" w:color="auto" w:fill="FFFFFF"/>
          <w:lang w:val="en-US" w:eastAsia="zh-CN"/>
        </w:rPr>
        <w:t>80</w:t>
      </w:r>
      <w:r>
        <w:rPr>
          <w:rFonts w:hint="eastAsia" w:ascii="Times New Roman" w:hAnsi="Times New Roman" w:eastAsia="宋体" w:cs="宋体"/>
          <w:b/>
          <w:bCs/>
          <w:color w:val="auto"/>
          <w:szCs w:val="24"/>
          <w:highlight w:val="none"/>
          <w:shd w:val="clear" w:color="auto" w:fill="FFFFFF"/>
        </w:rPr>
        <w:t>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78"/>
        <w:gridCol w:w="992"/>
        <w:gridCol w:w="6441"/>
      </w:tblGrid>
      <w:tr w14:paraId="666C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8" w:type="dxa"/>
            <w:shd w:val="clear" w:color="auto" w:fill="D9D9D9"/>
            <w:vAlign w:val="center"/>
          </w:tcPr>
          <w:p w14:paraId="7F1F8AA4">
            <w:pPr>
              <w:pStyle w:val="71"/>
              <w:keepNext w:val="0"/>
              <w:keepLines w:val="0"/>
              <w:pageBreakBefore w:val="0"/>
              <w:kinsoku/>
              <w:topLinePunct w:val="0"/>
              <w:autoSpaceDE/>
              <w:autoSpaceDN/>
              <w:bidi w:val="0"/>
              <w:snapToGrid w:val="0"/>
              <w:spacing w:line="360" w:lineRule="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序号</w:t>
            </w:r>
          </w:p>
        </w:tc>
        <w:tc>
          <w:tcPr>
            <w:tcW w:w="1278" w:type="dxa"/>
            <w:shd w:val="clear" w:color="auto" w:fill="D9D9D9"/>
            <w:vAlign w:val="center"/>
          </w:tcPr>
          <w:p w14:paraId="34CF959B">
            <w:pPr>
              <w:pStyle w:val="71"/>
              <w:keepNext w:val="0"/>
              <w:keepLines w:val="0"/>
              <w:pageBreakBefore w:val="0"/>
              <w:kinsoku/>
              <w:topLinePunct w:val="0"/>
              <w:autoSpaceDE/>
              <w:autoSpaceDN/>
              <w:bidi w:val="0"/>
              <w:snapToGrid w:val="0"/>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评审内容</w:t>
            </w:r>
          </w:p>
        </w:tc>
        <w:tc>
          <w:tcPr>
            <w:tcW w:w="992" w:type="dxa"/>
            <w:shd w:val="clear" w:color="auto" w:fill="D9D9D9"/>
            <w:vAlign w:val="center"/>
          </w:tcPr>
          <w:p w14:paraId="1AAB391F">
            <w:pPr>
              <w:pStyle w:val="71"/>
              <w:keepNext w:val="0"/>
              <w:keepLines w:val="0"/>
              <w:pageBreakBefore w:val="0"/>
              <w:kinsoku/>
              <w:topLinePunct w:val="0"/>
              <w:autoSpaceDE/>
              <w:autoSpaceDN/>
              <w:bidi w:val="0"/>
              <w:snapToGrid w:val="0"/>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权重</w:t>
            </w:r>
          </w:p>
        </w:tc>
        <w:tc>
          <w:tcPr>
            <w:tcW w:w="6441" w:type="dxa"/>
            <w:shd w:val="clear" w:color="auto" w:fill="D9D9D9"/>
            <w:vAlign w:val="center"/>
          </w:tcPr>
          <w:p w14:paraId="35BB1DA0">
            <w:pPr>
              <w:pStyle w:val="71"/>
              <w:keepNext w:val="0"/>
              <w:keepLines w:val="0"/>
              <w:pageBreakBefore w:val="0"/>
              <w:kinsoku/>
              <w:topLinePunct w:val="0"/>
              <w:autoSpaceDE/>
              <w:autoSpaceDN/>
              <w:bidi w:val="0"/>
              <w:snapToGrid w:val="0"/>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评分标准</w:t>
            </w:r>
          </w:p>
        </w:tc>
      </w:tr>
      <w:tr w14:paraId="291A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8" w:type="dxa"/>
            <w:shd w:val="clear" w:color="auto" w:fill="auto"/>
            <w:vAlign w:val="center"/>
          </w:tcPr>
          <w:p w14:paraId="4CE823DE">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78" w:type="dxa"/>
            <w:shd w:val="clear" w:color="auto" w:fill="auto"/>
            <w:vAlign w:val="center"/>
          </w:tcPr>
          <w:p w14:paraId="32A81E1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指标要求</w:t>
            </w:r>
          </w:p>
        </w:tc>
        <w:tc>
          <w:tcPr>
            <w:tcW w:w="992" w:type="dxa"/>
            <w:shd w:val="clear" w:color="auto" w:fill="auto"/>
            <w:vAlign w:val="center"/>
          </w:tcPr>
          <w:p w14:paraId="7696E983">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tc>
        <w:tc>
          <w:tcPr>
            <w:tcW w:w="6441" w:type="dxa"/>
            <w:shd w:val="clear" w:color="auto" w:fill="auto"/>
            <w:vAlign w:val="center"/>
          </w:tcPr>
          <w:p w14:paraId="1689374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对设备的产品技术参数进行打分，技术参数要求进行逐条应答，完全对应磋商文件设备的产品技术参数要求得30分。其中标★为重要技术指标，每偏离一项扣5分；其他项不满足，扣2分，扣完为止。（标★参数需按要求提供相关证明材料或者截图的，证明材料或者功能截图需要与招标文件描述功能吻合，投标时未提供相关证明材料或功能截图不符合要求者，视为负偏离。)</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eastAsia="zh-CN" w:bidi="ar"/>
              </w:rPr>
              <w:t>成交</w:t>
            </w:r>
            <w:r>
              <w:rPr>
                <w:rFonts w:hint="eastAsia" w:ascii="宋体" w:hAnsi="宋体" w:eastAsia="宋体" w:cs="宋体"/>
                <w:color w:val="auto"/>
                <w:sz w:val="24"/>
                <w:szCs w:val="24"/>
                <w:highlight w:val="none"/>
                <w:lang w:bidi="ar"/>
              </w:rPr>
              <w:t>人在签订合同前向采购人提供加盖原厂公章的技术规格偏离表、功能截图原件、所投品牌厂商对应</w:t>
            </w:r>
            <w:r>
              <w:rPr>
                <w:rFonts w:hint="eastAsia" w:ascii="宋体" w:hAnsi="宋体" w:eastAsia="宋体" w:cs="宋体"/>
                <w:color w:val="auto"/>
                <w:sz w:val="24"/>
                <w:szCs w:val="24"/>
                <w:highlight w:val="none"/>
                <w:lang w:eastAsia="zh-CN" w:bidi="ar"/>
              </w:rPr>
              <w:t>采购</w:t>
            </w:r>
            <w:r>
              <w:rPr>
                <w:rFonts w:hint="eastAsia" w:ascii="宋体" w:hAnsi="宋体" w:eastAsia="宋体" w:cs="宋体"/>
                <w:color w:val="auto"/>
                <w:sz w:val="24"/>
                <w:szCs w:val="24"/>
                <w:highlight w:val="none"/>
                <w:lang w:bidi="ar"/>
              </w:rPr>
              <w:t>要求的质保服务承诺函等，同时采购人有权要求</w:t>
            </w:r>
            <w:r>
              <w:rPr>
                <w:rFonts w:hint="eastAsia" w:ascii="宋体" w:hAnsi="宋体" w:eastAsia="宋体" w:cs="宋体"/>
                <w:color w:val="auto"/>
                <w:sz w:val="24"/>
                <w:szCs w:val="24"/>
                <w:highlight w:val="none"/>
                <w:lang w:eastAsia="zh-CN" w:bidi="ar"/>
              </w:rPr>
              <w:t>成交</w:t>
            </w:r>
            <w:r>
              <w:rPr>
                <w:rFonts w:hint="eastAsia" w:ascii="宋体" w:hAnsi="宋体" w:eastAsia="宋体" w:cs="宋体"/>
                <w:color w:val="auto"/>
                <w:sz w:val="24"/>
                <w:szCs w:val="24"/>
                <w:highlight w:val="none"/>
                <w:lang w:bidi="ar"/>
              </w:rPr>
              <w:t>人在 5个工作日内提供测试设备。通过对</w:t>
            </w:r>
            <w:r>
              <w:rPr>
                <w:rFonts w:hint="eastAsia" w:ascii="宋体" w:hAnsi="宋体" w:eastAsia="宋体" w:cs="宋体"/>
                <w:color w:val="auto"/>
                <w:sz w:val="24"/>
                <w:szCs w:val="24"/>
                <w:highlight w:val="none"/>
                <w:lang w:eastAsia="zh-CN" w:bidi="ar"/>
              </w:rPr>
              <w:t>采购</w:t>
            </w:r>
            <w:r>
              <w:rPr>
                <w:rFonts w:hint="eastAsia" w:ascii="宋体" w:hAnsi="宋体" w:eastAsia="宋体" w:cs="宋体"/>
                <w:color w:val="auto"/>
                <w:sz w:val="24"/>
                <w:szCs w:val="24"/>
                <w:highlight w:val="none"/>
                <w:lang w:bidi="ar"/>
              </w:rPr>
              <w:t>要求项逐一对比测试，如经产品测试发现与标书要求或响应文件不一致或</w:t>
            </w:r>
            <w:r>
              <w:rPr>
                <w:rFonts w:hint="eastAsia" w:ascii="宋体" w:hAnsi="宋体" w:eastAsia="宋体" w:cs="宋体"/>
                <w:color w:val="auto"/>
                <w:sz w:val="24"/>
                <w:szCs w:val="24"/>
                <w:highlight w:val="none"/>
                <w:lang w:eastAsia="zh-CN" w:bidi="ar"/>
              </w:rPr>
              <w:t>成交</w:t>
            </w:r>
            <w:r>
              <w:rPr>
                <w:rFonts w:hint="eastAsia" w:ascii="宋体" w:hAnsi="宋体" w:eastAsia="宋体" w:cs="宋体"/>
                <w:color w:val="auto"/>
                <w:sz w:val="24"/>
                <w:szCs w:val="24"/>
                <w:highlight w:val="none"/>
                <w:lang w:bidi="ar"/>
              </w:rPr>
              <w:t>候选人有意拖延测试，将视为虚假应标作为废标处理。</w:t>
            </w:r>
          </w:p>
        </w:tc>
      </w:tr>
      <w:tr w14:paraId="28BC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8" w:type="dxa"/>
            <w:shd w:val="clear" w:color="auto" w:fill="auto"/>
            <w:vAlign w:val="center"/>
          </w:tcPr>
          <w:p w14:paraId="20351185">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78" w:type="dxa"/>
            <w:shd w:val="clear" w:color="auto" w:fill="auto"/>
            <w:vAlign w:val="center"/>
          </w:tcPr>
          <w:p w14:paraId="7E6661E4">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项目实施方案</w:t>
            </w:r>
          </w:p>
        </w:tc>
        <w:tc>
          <w:tcPr>
            <w:tcW w:w="992" w:type="dxa"/>
            <w:shd w:val="clear" w:color="auto" w:fill="auto"/>
            <w:vAlign w:val="center"/>
          </w:tcPr>
          <w:p w14:paraId="38C65B98">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441" w:type="dxa"/>
            <w:shd w:val="clear" w:color="auto" w:fill="auto"/>
            <w:vAlign w:val="center"/>
          </w:tcPr>
          <w:p w14:paraId="2CB4A21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各</w:t>
            </w:r>
            <w:r>
              <w:rPr>
                <w:rFonts w:hint="eastAsia" w:ascii="宋体" w:hAnsi="宋体" w:eastAsia="宋体" w:cs="宋体"/>
                <w:color w:val="auto"/>
                <w:sz w:val="24"/>
                <w:szCs w:val="24"/>
                <w:highlight w:val="none"/>
                <w:lang w:eastAsia="zh-CN" w:bidi="ar"/>
              </w:rPr>
              <w:t>响应供应商</w:t>
            </w:r>
            <w:r>
              <w:rPr>
                <w:rFonts w:hint="eastAsia" w:ascii="宋体" w:hAnsi="宋体" w:eastAsia="宋体" w:cs="宋体"/>
                <w:color w:val="auto"/>
                <w:sz w:val="24"/>
                <w:szCs w:val="24"/>
                <w:highlight w:val="none"/>
                <w:lang w:bidi="ar"/>
              </w:rPr>
              <w:t>应积极响应</w:t>
            </w:r>
            <w:r>
              <w:rPr>
                <w:rFonts w:hint="eastAsia" w:ascii="宋体" w:hAnsi="宋体" w:eastAsia="宋体" w:cs="宋体"/>
                <w:color w:val="auto"/>
                <w:sz w:val="24"/>
                <w:szCs w:val="24"/>
                <w:highlight w:val="none"/>
                <w:lang w:eastAsia="zh-CN" w:bidi="ar"/>
              </w:rPr>
              <w:t>采购</w:t>
            </w:r>
            <w:r>
              <w:rPr>
                <w:rFonts w:hint="eastAsia" w:ascii="宋体" w:hAnsi="宋体" w:eastAsia="宋体" w:cs="宋体"/>
                <w:color w:val="auto"/>
                <w:sz w:val="24"/>
                <w:szCs w:val="24"/>
                <w:highlight w:val="none"/>
                <w:lang w:bidi="ar"/>
              </w:rPr>
              <w:t>文件要求，出具项目实施方案。</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方案需求完善，设计合理，项目实施计划完整的可得 15分；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方案需求较为完善，设计且较为可行，具有项目实施计划的可得10分；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方案需求粗糙，设计不合理或不可行，项目实施计划不完整的可得5分；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未提供的得0分。</w:t>
            </w:r>
          </w:p>
        </w:tc>
      </w:tr>
      <w:tr w14:paraId="2C33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8" w:type="dxa"/>
            <w:shd w:val="clear" w:color="auto" w:fill="auto"/>
            <w:vAlign w:val="center"/>
          </w:tcPr>
          <w:p w14:paraId="4BCC0852">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78" w:type="dxa"/>
            <w:shd w:val="clear" w:color="auto" w:fill="auto"/>
            <w:vAlign w:val="center"/>
          </w:tcPr>
          <w:p w14:paraId="5CB5EBF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公司资信</w:t>
            </w:r>
          </w:p>
        </w:tc>
        <w:tc>
          <w:tcPr>
            <w:tcW w:w="992" w:type="dxa"/>
            <w:shd w:val="clear" w:color="auto" w:fill="auto"/>
            <w:vAlign w:val="center"/>
          </w:tcPr>
          <w:p w14:paraId="4A2B1E2E">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441" w:type="dxa"/>
            <w:shd w:val="clear" w:color="auto" w:fill="auto"/>
            <w:vAlign w:val="center"/>
          </w:tcPr>
          <w:p w14:paraId="3DC45038">
            <w:pPr>
              <w:spacing w:line="240" w:lineRule="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bidi="ar"/>
              </w:rPr>
              <w:t>响应供应商</w:t>
            </w:r>
            <w:r>
              <w:rPr>
                <w:rFonts w:hint="eastAsia" w:ascii="宋体" w:hAnsi="宋体" w:eastAsia="宋体" w:cs="宋体"/>
                <w:color w:val="auto"/>
                <w:kern w:val="2"/>
                <w:sz w:val="24"/>
                <w:szCs w:val="24"/>
                <w:highlight w:val="none"/>
                <w:lang w:val="en-US" w:eastAsia="zh-CN" w:bidi="ar"/>
              </w:rPr>
              <w:t>具有ISO9001认证证书的得2分；</w:t>
            </w:r>
          </w:p>
          <w:p w14:paraId="422F01B3">
            <w:pPr>
              <w:spacing w:line="240" w:lineRule="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bidi="ar"/>
              </w:rPr>
              <w:t>响应供应商</w:t>
            </w:r>
            <w:r>
              <w:rPr>
                <w:rFonts w:hint="eastAsia" w:ascii="宋体" w:hAnsi="宋体" w:eastAsia="宋体" w:cs="宋体"/>
                <w:color w:val="auto"/>
                <w:kern w:val="2"/>
                <w:sz w:val="24"/>
                <w:szCs w:val="24"/>
                <w:highlight w:val="none"/>
                <w:lang w:val="en-US" w:eastAsia="zh-CN" w:bidi="ar"/>
              </w:rPr>
              <w:t>具有ISO14001认证证书的得2分；</w:t>
            </w:r>
          </w:p>
          <w:p w14:paraId="0B1D209B">
            <w:pPr>
              <w:pStyle w:val="72"/>
              <w:snapToGrid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bidi="ar"/>
              </w:rPr>
              <w:t>响应供应商</w:t>
            </w:r>
            <w:r>
              <w:rPr>
                <w:rFonts w:hint="eastAsia" w:ascii="宋体" w:hAnsi="宋体" w:eastAsia="宋体" w:cs="宋体"/>
                <w:color w:val="auto"/>
                <w:kern w:val="2"/>
                <w:sz w:val="24"/>
                <w:szCs w:val="24"/>
                <w:highlight w:val="none"/>
                <w:lang w:val="en-US" w:eastAsia="zh-CN" w:bidi="ar"/>
              </w:rPr>
              <w:t>具有ISO45001认证证书的得2分；</w:t>
            </w:r>
          </w:p>
          <w:p w14:paraId="57AF5B9B">
            <w:pPr>
              <w:pStyle w:val="72"/>
              <w:snapToGrid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bidi="ar"/>
              </w:rPr>
              <w:t>响应供应商</w:t>
            </w:r>
            <w:r>
              <w:rPr>
                <w:rFonts w:hint="eastAsia" w:ascii="宋体" w:hAnsi="宋体" w:eastAsia="宋体" w:cs="宋体"/>
                <w:color w:val="auto"/>
                <w:kern w:val="2"/>
                <w:sz w:val="24"/>
                <w:szCs w:val="24"/>
                <w:highlight w:val="none"/>
                <w:lang w:val="en-US" w:eastAsia="zh-CN" w:bidi="ar"/>
              </w:rPr>
              <w:t>具有商品售后服务认证证书五星级及以上的得2分。</w:t>
            </w:r>
          </w:p>
        </w:tc>
      </w:tr>
      <w:tr w14:paraId="7F1A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8" w:type="dxa"/>
            <w:shd w:val="clear" w:color="auto" w:fill="auto"/>
            <w:vAlign w:val="center"/>
          </w:tcPr>
          <w:p w14:paraId="6A028E38">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78" w:type="dxa"/>
            <w:shd w:val="clear" w:color="auto" w:fill="auto"/>
            <w:vAlign w:val="center"/>
          </w:tcPr>
          <w:p w14:paraId="52F22F7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实施支撑能力</w:t>
            </w:r>
          </w:p>
        </w:tc>
        <w:tc>
          <w:tcPr>
            <w:tcW w:w="992" w:type="dxa"/>
            <w:shd w:val="clear" w:color="auto" w:fill="auto"/>
            <w:vAlign w:val="center"/>
          </w:tcPr>
          <w:p w14:paraId="3013A393">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6441" w:type="dxa"/>
            <w:shd w:val="clear" w:color="auto" w:fill="auto"/>
            <w:vAlign w:val="center"/>
          </w:tcPr>
          <w:p w14:paraId="7C7712D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在现场安排专职项目团队，包括项目负责人1名（具备信息系统项目管理师），技术负责人1名（具备IT运维工程师），现场调试技工 1-3 名（网络工程师、程序员证书）。满足上述要求的人员数在5名及以上的得5 分，4名的得 4分，3名的得 3 分，3名及以下的不得分。</w:t>
            </w:r>
          </w:p>
        </w:tc>
      </w:tr>
      <w:tr w14:paraId="5DAB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8" w:type="dxa"/>
            <w:shd w:val="clear" w:color="auto" w:fill="auto"/>
            <w:vAlign w:val="center"/>
          </w:tcPr>
          <w:p w14:paraId="0CADD3B7">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78" w:type="dxa"/>
            <w:shd w:val="clear" w:color="auto" w:fill="auto"/>
            <w:vAlign w:val="center"/>
          </w:tcPr>
          <w:p w14:paraId="44B09393">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售后服务</w:t>
            </w:r>
          </w:p>
        </w:tc>
        <w:tc>
          <w:tcPr>
            <w:tcW w:w="992" w:type="dxa"/>
            <w:shd w:val="clear" w:color="auto" w:fill="auto"/>
            <w:vAlign w:val="center"/>
          </w:tcPr>
          <w:p w14:paraId="451A5607">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441" w:type="dxa"/>
            <w:shd w:val="clear" w:color="auto" w:fill="auto"/>
            <w:vAlign w:val="center"/>
          </w:tcPr>
          <w:p w14:paraId="1E632C6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1.由评委根据</w:t>
            </w:r>
            <w:r>
              <w:rPr>
                <w:rFonts w:hint="eastAsia" w:ascii="宋体" w:hAnsi="宋体" w:eastAsia="宋体" w:cs="宋体"/>
                <w:color w:val="auto"/>
                <w:sz w:val="24"/>
                <w:szCs w:val="24"/>
                <w:highlight w:val="none"/>
                <w:lang w:eastAsia="zh-CN" w:bidi="ar"/>
              </w:rPr>
              <w:t>响应供应商</w:t>
            </w:r>
            <w:r>
              <w:rPr>
                <w:rFonts w:hint="eastAsia" w:ascii="宋体" w:hAnsi="宋体" w:eastAsia="宋体" w:cs="宋体"/>
                <w:color w:val="auto"/>
                <w:kern w:val="2"/>
                <w:sz w:val="24"/>
                <w:szCs w:val="24"/>
                <w:highlight w:val="none"/>
                <w:lang w:val="en-US" w:eastAsia="zh-CN" w:bidi="ar"/>
              </w:rPr>
              <w:t>提供的售后服务方案、服务体系、服务范围等内容以及故障解决方案、响应时间、应急处理方案等进行打分。</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eastAsia="宋体" w:cs="宋体"/>
                <w:color w:val="auto"/>
                <w:kern w:val="2"/>
                <w:sz w:val="24"/>
                <w:szCs w:val="24"/>
                <w:highlight w:val="none"/>
                <w:lang w:val="en-US" w:eastAsia="zh-CN" w:bidi="ar"/>
              </w:rPr>
              <w:t>方案全面、响应及时得10 分；</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eastAsia="宋体" w:cs="宋体"/>
                <w:color w:val="auto"/>
                <w:kern w:val="2"/>
                <w:sz w:val="24"/>
                <w:szCs w:val="24"/>
                <w:highlight w:val="none"/>
                <w:lang w:val="en-US" w:eastAsia="zh-CN" w:bidi="ar"/>
              </w:rPr>
              <w:t>方案较全面、响应较及时得 5分；</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eastAsia="宋体" w:cs="宋体"/>
                <w:color w:val="auto"/>
                <w:kern w:val="2"/>
                <w:sz w:val="24"/>
                <w:szCs w:val="24"/>
                <w:highlight w:val="none"/>
                <w:lang w:val="en-US" w:eastAsia="zh-CN" w:bidi="ar"/>
              </w:rPr>
              <w:t>方案不全面、响应不及时得 3分；</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eastAsia="宋体" w:cs="宋体"/>
                <w:color w:val="auto"/>
                <w:kern w:val="2"/>
                <w:sz w:val="24"/>
                <w:szCs w:val="24"/>
                <w:highlight w:val="none"/>
                <w:lang w:val="en-US" w:eastAsia="zh-CN" w:bidi="ar"/>
              </w:rPr>
              <w:t>未提供不得分。</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sz w:val="24"/>
                <w:szCs w:val="24"/>
                <w:highlight w:val="none"/>
                <w:lang w:eastAsia="zh-CN" w:bidi="ar"/>
              </w:rPr>
              <w:t>响应供应商</w:t>
            </w:r>
            <w:r>
              <w:rPr>
                <w:rFonts w:hint="eastAsia" w:ascii="宋体" w:hAnsi="宋体" w:eastAsia="宋体" w:cs="宋体"/>
                <w:color w:val="auto"/>
                <w:kern w:val="2"/>
                <w:sz w:val="24"/>
                <w:szCs w:val="24"/>
                <w:highlight w:val="none"/>
                <w:lang w:val="en-US" w:eastAsia="zh-CN" w:bidi="ar"/>
              </w:rPr>
              <w:t>提供详细的售后技术支持人员姓名、联系方式、常驻办公地点等信息，同时对到达现场处理故障的响应时间进行承诺（响应时需要提供相关承诺函并附承诺时间到达现场的有效证明材料，加供应商公章），承诺1小时内到达的可得 5分；2小时内到达的可得2 分；超过2 小时到达的或未提供的承诺函及相关证明材料的不得分。</w:t>
            </w:r>
          </w:p>
        </w:tc>
      </w:tr>
      <w:tr w14:paraId="2D36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8" w:type="dxa"/>
            <w:shd w:val="clear" w:color="auto" w:fill="auto"/>
            <w:vAlign w:val="center"/>
          </w:tcPr>
          <w:p w14:paraId="710B4B71">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p>
        </w:tc>
        <w:tc>
          <w:tcPr>
            <w:tcW w:w="1278" w:type="dxa"/>
            <w:shd w:val="clear" w:color="auto" w:fill="auto"/>
            <w:vAlign w:val="center"/>
          </w:tcPr>
          <w:p w14:paraId="0A14BA20">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人员培训方案</w:t>
            </w:r>
          </w:p>
        </w:tc>
        <w:tc>
          <w:tcPr>
            <w:tcW w:w="992" w:type="dxa"/>
            <w:shd w:val="clear" w:color="auto" w:fill="auto"/>
            <w:vAlign w:val="center"/>
          </w:tcPr>
          <w:p w14:paraId="58350736">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5分</w:t>
            </w:r>
          </w:p>
        </w:tc>
        <w:tc>
          <w:tcPr>
            <w:tcW w:w="6441" w:type="dxa"/>
            <w:shd w:val="clear" w:color="auto" w:fill="auto"/>
            <w:vAlign w:val="center"/>
          </w:tcPr>
          <w:p w14:paraId="66D1F209">
            <w:pPr>
              <w:spacing w:line="400" w:lineRule="exac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供应商应提供相关培训计划。</w:t>
            </w:r>
          </w:p>
          <w:p w14:paraId="37D07B10">
            <w:pPr>
              <w:spacing w:line="400" w:lineRule="exac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方案完整详实、科学合理、具备针对性且切实可行、满足采购人实际需求的得5分；</w:t>
            </w:r>
          </w:p>
          <w:p w14:paraId="45932AD6">
            <w:pPr>
              <w:spacing w:line="400" w:lineRule="exac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方案基本完整、较为科学合理，基本满足采购人实际需求的得3分；</w:t>
            </w:r>
          </w:p>
          <w:p w14:paraId="11FD8E0E">
            <w:pPr>
              <w:spacing w:line="400" w:lineRule="exac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方案完整性、合理性、针对性、可行性有所欠缺，与采购人实际需求存在差距得1分。</w:t>
            </w:r>
          </w:p>
          <w:p w14:paraId="05627531">
            <w:pPr>
              <w:spacing w:line="400" w:lineRule="exac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未提供不得分。</w:t>
            </w:r>
          </w:p>
        </w:tc>
      </w:tr>
      <w:tr w14:paraId="1337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8" w:type="dxa"/>
            <w:shd w:val="clear" w:color="auto" w:fill="auto"/>
            <w:vAlign w:val="center"/>
          </w:tcPr>
          <w:p w14:paraId="72817BCA">
            <w:pPr>
              <w:pStyle w:val="72"/>
              <w:keepNext w:val="0"/>
              <w:keepLines w:val="0"/>
              <w:pageBreakBefore w:val="0"/>
              <w:kinsoku/>
              <w:topLinePunct w:val="0"/>
              <w:autoSpaceDE/>
              <w:autoSpaceDN/>
              <w:bidi w:val="0"/>
              <w:snapToGrid w:val="0"/>
              <w:spacing w:line="360" w:lineRule="auto"/>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7</w:t>
            </w:r>
          </w:p>
        </w:tc>
        <w:tc>
          <w:tcPr>
            <w:tcW w:w="1278" w:type="dxa"/>
            <w:shd w:val="clear" w:color="auto" w:fill="auto"/>
            <w:vAlign w:val="center"/>
          </w:tcPr>
          <w:p w14:paraId="598F4E02">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业绩</w:t>
            </w:r>
          </w:p>
        </w:tc>
        <w:tc>
          <w:tcPr>
            <w:tcW w:w="992" w:type="dxa"/>
            <w:shd w:val="clear" w:color="auto" w:fill="auto"/>
            <w:vAlign w:val="center"/>
          </w:tcPr>
          <w:p w14:paraId="6D13988C">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2分</w:t>
            </w:r>
          </w:p>
        </w:tc>
        <w:tc>
          <w:tcPr>
            <w:tcW w:w="6441" w:type="dxa"/>
            <w:shd w:val="clear" w:color="auto" w:fill="auto"/>
            <w:vAlign w:val="center"/>
          </w:tcPr>
          <w:p w14:paraId="1B917D1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在南通市有近一年医院软件正版化实施案例的，提供收入合同复印件，得2分。</w:t>
            </w:r>
          </w:p>
        </w:tc>
      </w:tr>
    </w:tbl>
    <w:p w14:paraId="3320B4D1">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auto"/>
          <w:sz w:val="24"/>
          <w:szCs w:val="24"/>
          <w:highlight w:val="none"/>
        </w:rPr>
        <w:t>评委依据磋商文件载明的方法评分，评分四舍五入精确到小数点后两位。</w:t>
      </w:r>
    </w:p>
    <w:p w14:paraId="37C42353">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2、</w:t>
      </w:r>
      <w:r>
        <w:rPr>
          <w:rFonts w:hint="eastAsia" w:ascii="Times New Roman" w:hAnsi="Times New Roman" w:eastAsia="宋体" w:cs="宋体"/>
          <w:color w:val="auto"/>
          <w:sz w:val="24"/>
          <w:szCs w:val="24"/>
          <w:highlight w:val="none"/>
        </w:rPr>
        <w:t>响应供应商按照</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评分标准表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中的打分要求及顺序提供相关材料，</w:t>
      </w:r>
      <w:r>
        <w:rPr>
          <w:rFonts w:hint="eastAsia" w:ascii="Times New Roman" w:hAnsi="Times New Roman" w:eastAsia="宋体" w:cs="宋体"/>
          <w:bCs/>
          <w:color w:val="auto"/>
          <w:kern w:val="0"/>
          <w:sz w:val="24"/>
          <w:szCs w:val="24"/>
          <w:highlight w:val="none"/>
        </w:rPr>
        <w:t>并请编制目录及页码，以最大限度的避免造成评委误判或漏判。</w:t>
      </w:r>
    </w:p>
    <w:p w14:paraId="1D0B70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bCs/>
          <w:color w:val="auto"/>
          <w:kern w:val="0"/>
          <w:sz w:val="24"/>
          <w:szCs w:val="24"/>
          <w:highlight w:val="none"/>
          <w:lang w:val="en-US" w:eastAsia="zh-CN"/>
        </w:rPr>
        <w:t>3</w:t>
      </w:r>
      <w:r>
        <w:rPr>
          <w:rFonts w:hint="eastAsia" w:ascii="Times New Roman" w:hAnsi="Times New Roman" w:eastAsia="宋体" w:cs="宋体"/>
          <w:bCs/>
          <w:color w:val="auto"/>
          <w:kern w:val="0"/>
          <w:sz w:val="24"/>
          <w:szCs w:val="24"/>
          <w:highlight w:val="none"/>
          <w:lang w:eastAsia="zh-CN"/>
        </w:rPr>
        <w:t>、</w:t>
      </w:r>
      <w:r>
        <w:rPr>
          <w:rFonts w:hint="eastAsia" w:ascii="Times New Roman" w:hAnsi="Times New Roman" w:eastAsia="宋体" w:cs="宋体"/>
          <w:b/>
          <w:color w:val="auto"/>
          <w:sz w:val="24"/>
          <w:szCs w:val="24"/>
          <w:highlight w:val="none"/>
        </w:rPr>
        <w:t>以上证明材料提供原件复印件，复印件不清晰或关键内容无法辨识所引起的后果由响应供应商自行承担。</w:t>
      </w:r>
    </w:p>
    <w:p w14:paraId="5A1E0713">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（二）</w:t>
      </w:r>
      <w:r>
        <w:rPr>
          <w:rFonts w:hint="eastAsia" w:ascii="Times New Roman" w:hAnsi="Times New Roman" w:eastAsia="宋体" w:cs="宋体"/>
          <w:b/>
          <w:bCs/>
          <w:color w:val="auto"/>
          <w:szCs w:val="24"/>
          <w:highlight w:val="none"/>
          <w:shd w:val="clear" w:color="auto" w:fill="FFFFFF"/>
          <w:lang w:val="zh-CN"/>
        </w:rPr>
        <w:t>价格分</w:t>
      </w:r>
      <w:r>
        <w:rPr>
          <w:rFonts w:hint="eastAsia" w:ascii="Times New Roman" w:hAnsi="Times New Roman" w:eastAsia="宋体" w:cs="宋体"/>
          <w:b/>
          <w:bCs/>
          <w:color w:val="auto"/>
          <w:szCs w:val="24"/>
          <w:highlight w:val="none"/>
          <w:shd w:val="clear" w:color="auto" w:fill="FFFFFF"/>
        </w:rPr>
        <w:t>：</w:t>
      </w:r>
      <w:r>
        <w:rPr>
          <w:rFonts w:hint="eastAsia" w:ascii="Times New Roman" w:hAnsi="Times New Roman" w:cs="宋体"/>
          <w:b/>
          <w:bCs/>
          <w:color w:val="auto"/>
          <w:szCs w:val="24"/>
          <w:highlight w:val="none"/>
          <w:shd w:val="clear" w:color="auto" w:fill="FFFFFF"/>
          <w:lang w:val="en-US" w:eastAsia="zh-CN"/>
        </w:rPr>
        <w:t>20</w:t>
      </w:r>
      <w:r>
        <w:rPr>
          <w:rFonts w:hint="eastAsia" w:ascii="Times New Roman" w:hAnsi="Times New Roman" w:eastAsia="宋体" w:cs="宋体"/>
          <w:b/>
          <w:bCs/>
          <w:color w:val="auto"/>
          <w:szCs w:val="24"/>
          <w:highlight w:val="none"/>
          <w:shd w:val="clear" w:color="auto" w:fill="FFFFFF"/>
        </w:rPr>
        <w:t>分</w:t>
      </w:r>
    </w:p>
    <w:p w14:paraId="245A5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76BF07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磋商报价得分=（磋商基准价/最后磋商报价）×</w:t>
      </w:r>
      <w:r>
        <w:rPr>
          <w:rFonts w:hint="eastAsia" w:ascii="Times New Roman" w:hAnsi="Times New Roman" w:eastAsia="宋体" w:cs="宋体"/>
          <w:color w:val="auto"/>
          <w:sz w:val="24"/>
          <w:szCs w:val="24"/>
          <w:highlight w:val="none"/>
          <w:lang w:val="en-US" w:eastAsia="zh-CN"/>
        </w:rPr>
        <w:t>20</w:t>
      </w:r>
      <w:r>
        <w:rPr>
          <w:rFonts w:hint="eastAsia" w:ascii="Times New Roman" w:hAnsi="Times New Roman" w:eastAsia="宋体" w:cs="宋体"/>
          <w:color w:val="auto"/>
          <w:sz w:val="24"/>
          <w:szCs w:val="24"/>
          <w:highlight w:val="none"/>
        </w:rPr>
        <w:t>%×100。</w:t>
      </w:r>
    </w:p>
    <w:p w14:paraId="24683563">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如评标委员会认为</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人</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价格严重偏离市场价，将取消</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人价格分得分。</w:t>
      </w:r>
    </w:p>
    <w:p w14:paraId="73B8BDCD">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五、出现下列情形之一的，作无效标处理</w:t>
      </w:r>
    </w:p>
    <w:p w14:paraId="7D9A84F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1、响应文件未按规定要求密封、签署、盖章及主要资料不齐全的；</w:t>
      </w:r>
    </w:p>
    <w:p w14:paraId="16FF7D5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2、响应文件的资料有虚报或者谎报的；</w:t>
      </w:r>
    </w:p>
    <w:p w14:paraId="491C1A2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3、响应文件中资格审查文件及技术响应文件出现磋商报价的内容；</w:t>
      </w:r>
    </w:p>
    <w:p w14:paraId="6BBBF42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4、不具备磋商文件规定的资格要求的；</w:t>
      </w:r>
    </w:p>
    <w:p w14:paraId="4A3157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5、响应文件有重大漏项或重大不合理的；</w:t>
      </w:r>
    </w:p>
    <w:p w14:paraId="7F36F42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6、项目技术、方案不满足项目需求中的要求，有重大偏离或保留的；</w:t>
      </w:r>
    </w:p>
    <w:p w14:paraId="1C44816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7、磋商响应报价超出项目预算的；</w:t>
      </w:r>
    </w:p>
    <w:p w14:paraId="7A045F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8、被认定为低于成本报价磋商竞标的；</w:t>
      </w:r>
    </w:p>
    <w:p w14:paraId="0AF129C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9</w:t>
      </w:r>
      <w:r>
        <w:rPr>
          <w:rFonts w:hint="eastAsia" w:ascii="Times New Roman" w:hAnsi="Times New Roman" w:eastAsia="宋体" w:cs="宋体"/>
          <w:color w:val="auto"/>
          <w:sz w:val="24"/>
          <w:szCs w:val="24"/>
          <w:highlight w:val="none"/>
        </w:rPr>
        <w:t>、不符合法律、法规和磋商文件中规定的其他实质性响应要求的；</w:t>
      </w:r>
    </w:p>
    <w:p w14:paraId="6E7BCF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10</w:t>
      </w:r>
      <w:r>
        <w:rPr>
          <w:rFonts w:hint="eastAsia" w:ascii="Times New Roman" w:hAnsi="Times New Roman" w:eastAsia="宋体" w:cs="宋体"/>
          <w:color w:val="auto"/>
          <w:sz w:val="24"/>
          <w:szCs w:val="24"/>
          <w:highlight w:val="none"/>
        </w:rPr>
        <w:t>、磋商小组依据法律法规可以认定为无效投标的其他情况；</w:t>
      </w:r>
    </w:p>
    <w:p w14:paraId="36318B7E">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六、出现下列情形之一的，作废标处理</w:t>
      </w:r>
    </w:p>
    <w:p w14:paraId="3ECB86C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1、供应商的报价均超出了采购预算，采购单位不能支付的；</w:t>
      </w:r>
    </w:p>
    <w:p w14:paraId="53B9483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2、因情况变化，不再符合规定的竞争性磋商采购人式所适用情形的；</w:t>
      </w:r>
    </w:p>
    <w:p w14:paraId="131421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3、出现影响采购公正的违法、违规行为的；</w:t>
      </w:r>
    </w:p>
    <w:p w14:paraId="55BAF17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4、因重大变故，采购任务取消的；</w:t>
      </w:r>
    </w:p>
    <w:p w14:paraId="6EF56F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5</w:t>
      </w:r>
      <w:r>
        <w:rPr>
          <w:rFonts w:hint="eastAsia" w:ascii="Times New Roman" w:hAnsi="Times New Roman" w:eastAsia="宋体" w:cs="宋体"/>
          <w:color w:val="auto"/>
          <w:sz w:val="24"/>
          <w:szCs w:val="24"/>
          <w:highlight w:val="none"/>
        </w:rPr>
        <w:t>、磋商小组依据法律法规可以认定为废标的其他情况。</w:t>
      </w:r>
    </w:p>
    <w:p w14:paraId="40BC6075">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七、成交通知</w:t>
      </w:r>
    </w:p>
    <w:p w14:paraId="445B326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color w:val="auto"/>
          <w:w w:val="80"/>
          <w:kern w:val="44"/>
          <w:sz w:val="48"/>
          <w:szCs w:val="44"/>
          <w:highlight w:val="none"/>
        </w:rPr>
      </w:pPr>
      <w:r>
        <w:rPr>
          <w:rFonts w:hint="eastAsia" w:ascii="Times New Roman" w:hAnsi="Times New Roman" w:eastAsia="宋体" w:cs="宋体"/>
          <w:color w:val="auto"/>
          <w:kern w:val="0"/>
          <w:sz w:val="24"/>
          <w:szCs w:val="24"/>
          <w:highlight w:val="none"/>
        </w:rPr>
        <w:t>成交结果在南通市第三人民医院官网公示</w:t>
      </w:r>
      <w:r>
        <w:rPr>
          <w:rFonts w:hint="eastAsia" w:ascii="Times New Roman" w:hAnsi="Times New Roman" w:eastAsia="宋体" w:cs="宋体"/>
          <w:b/>
          <w:color w:val="auto"/>
          <w:kern w:val="0"/>
          <w:sz w:val="24"/>
          <w:szCs w:val="24"/>
          <w:highlight w:val="none"/>
          <w:u w:val="single"/>
        </w:rPr>
        <w:t>1</w:t>
      </w:r>
      <w:r>
        <w:rPr>
          <w:rFonts w:hint="eastAsia" w:ascii="Times New Roman" w:hAnsi="Times New Roman" w:eastAsia="宋体" w:cs="宋体"/>
          <w:color w:val="auto"/>
          <w:kern w:val="0"/>
          <w:sz w:val="24"/>
          <w:szCs w:val="24"/>
          <w:highlight w:val="none"/>
        </w:rPr>
        <w:t>个工作日。《成交通知书》一经发出，采购单位改变成交结果，或者成交人放弃成交的，各自承担相应的法律责任。《成交通知书》是采购合同的组成部分。</w:t>
      </w:r>
    </w:p>
    <w:p w14:paraId="2E7DC26F">
      <w:pPr>
        <w:keepNext w:val="0"/>
        <w:keepLines w:val="0"/>
        <w:pageBreakBefore w:val="0"/>
        <w:kinsoku/>
        <w:topLinePunct w:val="0"/>
        <w:autoSpaceDE/>
        <w:autoSpaceDN/>
        <w:bidi w:val="0"/>
        <w:spacing w:line="360" w:lineRule="auto"/>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br w:type="page"/>
      </w:r>
    </w:p>
    <w:p w14:paraId="2F8BD58D">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第五章 合同授予</w:t>
      </w:r>
    </w:p>
    <w:p w14:paraId="1BDD6E4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8"/>
          <w:szCs w:val="28"/>
          <w:highlight w:val="none"/>
        </w:rPr>
      </w:pPr>
      <w:r>
        <w:rPr>
          <w:rFonts w:hint="eastAsia" w:ascii="Times New Roman" w:hAnsi="Times New Roman" w:eastAsia="宋体" w:cs="宋体"/>
          <w:color w:val="auto"/>
          <w:sz w:val="24"/>
          <w:highlight w:val="none"/>
        </w:rPr>
        <w:t>一、</w:t>
      </w:r>
      <w:r>
        <w:rPr>
          <w:rFonts w:hint="eastAsia" w:ascii="Times New Roman" w:hAnsi="Times New Roman" w:eastAsia="宋体" w:cs="宋体"/>
          <w:color w:val="auto"/>
          <w:kern w:val="0"/>
          <w:sz w:val="24"/>
          <w:highlight w:val="none"/>
        </w:rPr>
        <w:t>成交供应商在《成交通知书》发出</w:t>
      </w:r>
      <w:r>
        <w:rPr>
          <w:rFonts w:hint="eastAsia" w:ascii="Times New Roman" w:hAnsi="Times New Roman" w:eastAsia="宋体" w:cs="宋体"/>
          <w:color w:val="auto"/>
          <w:kern w:val="0"/>
          <w:sz w:val="24"/>
          <w:highlight w:val="none"/>
          <w:lang w:eastAsia="zh-CN"/>
        </w:rPr>
        <w:t>后</w:t>
      </w:r>
      <w:r>
        <w:rPr>
          <w:rFonts w:hint="eastAsia" w:ascii="Times New Roman" w:hAnsi="Times New Roman" w:eastAsia="宋体" w:cs="宋体"/>
          <w:b w:val="0"/>
          <w:bCs w:val="0"/>
          <w:color w:val="auto"/>
          <w:kern w:val="0"/>
          <w:sz w:val="24"/>
          <w:highlight w:val="none"/>
          <w:lang w:val="en-US" w:eastAsia="zh-CN"/>
        </w:rPr>
        <w:t>15日</w:t>
      </w:r>
      <w:r>
        <w:rPr>
          <w:rFonts w:hint="eastAsia" w:ascii="Times New Roman" w:hAnsi="Times New Roman" w:eastAsia="宋体" w:cs="宋体"/>
          <w:b w:val="0"/>
          <w:bCs w:val="0"/>
          <w:color w:val="auto"/>
          <w:kern w:val="0"/>
          <w:sz w:val="24"/>
          <w:highlight w:val="none"/>
        </w:rPr>
        <w:t>内须按</w:t>
      </w:r>
      <w:r>
        <w:rPr>
          <w:rFonts w:hint="eastAsia" w:ascii="Times New Roman" w:hAnsi="Times New Roman" w:eastAsia="宋体" w:cs="宋体"/>
          <w:color w:val="auto"/>
          <w:kern w:val="0"/>
          <w:sz w:val="24"/>
          <w:highlight w:val="none"/>
        </w:rPr>
        <w:t>照磋商文件确定的事项签订采购合同。合同一式四份，采购</w:t>
      </w:r>
      <w:r>
        <w:rPr>
          <w:rFonts w:hint="eastAsia" w:ascii="Times New Roman" w:hAnsi="Times New Roman" w:eastAsia="宋体" w:cs="宋体"/>
          <w:color w:val="auto"/>
          <w:kern w:val="0"/>
          <w:sz w:val="24"/>
          <w:szCs w:val="24"/>
          <w:highlight w:val="none"/>
        </w:rPr>
        <w:t>单位</w:t>
      </w:r>
      <w:r>
        <w:rPr>
          <w:rFonts w:hint="eastAsia" w:ascii="Times New Roman" w:hAnsi="Times New Roman" w:eastAsia="宋体" w:cs="宋体"/>
          <w:color w:val="auto"/>
          <w:kern w:val="0"/>
          <w:sz w:val="24"/>
          <w:highlight w:val="none"/>
        </w:rPr>
        <w:t xml:space="preserve">三份、供应商一份。所签合同不得对磋商文件作实质性修改。采购单位不得向成交供应商提出不合理的要求作为签订合同的条件，不得与成交供应商私下订立背离磋商文件实质性内容的协议。 </w:t>
      </w:r>
    </w:p>
    <w:p w14:paraId="5199913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二、</w:t>
      </w:r>
      <w:r>
        <w:rPr>
          <w:rFonts w:hint="eastAsia" w:ascii="Times New Roman" w:hAnsi="Times New Roman" w:eastAsia="宋体" w:cs="宋体"/>
          <w:color w:val="auto"/>
          <w:sz w:val="24"/>
          <w:highlight w:val="none"/>
        </w:rPr>
        <w:t>采购单位按合同约定积极配合成交供应商履约，成交供应商履约到位后，请以书面形式向采购单位提出验收申请。</w:t>
      </w:r>
    </w:p>
    <w:p w14:paraId="0E6273A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三、采购单位故意推迟</w:t>
      </w:r>
      <w:r>
        <w:rPr>
          <w:rFonts w:hint="eastAsia" w:ascii="Times New Roman" w:hAnsi="Times New Roman" w:eastAsia="宋体" w:cs="宋体"/>
          <w:color w:val="auto"/>
          <w:kern w:val="0"/>
          <w:sz w:val="24"/>
          <w:szCs w:val="24"/>
          <w:highlight w:val="none"/>
        </w:rPr>
        <w:t>项目</w:t>
      </w:r>
      <w:r>
        <w:rPr>
          <w:rFonts w:hint="eastAsia" w:ascii="Times New Roman" w:hAnsi="Times New Roman" w:eastAsia="宋体" w:cs="宋体"/>
          <w:color w:val="auto"/>
          <w:sz w:val="24"/>
          <w:highlight w:val="none"/>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3E11C22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四、供应商出现违约情形，应当及时纠正或补偿；造成损失的，按合同约定追究违约责任；发现有假冒、伪劣、走私产品、商业贿赂等违法情形的，应由采购单位移交工商、质监、公安等行政执法部门依法查处。</w:t>
      </w:r>
    </w:p>
    <w:p w14:paraId="3BE0838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五、不响应付款方式的，视同响应文件无效，按无效响应文件处理。</w:t>
      </w:r>
    </w:p>
    <w:p w14:paraId="49FAB9DA">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六、付款方式详见</w:t>
      </w:r>
      <w:r>
        <w:rPr>
          <w:rFonts w:hint="eastAsia" w:ascii="Times New Roman" w:hAnsi="Times New Roman" w:eastAsia="宋体" w:cs="宋体"/>
          <w:color w:val="auto"/>
          <w:kern w:val="0"/>
          <w:sz w:val="24"/>
          <w:highlight w:val="none"/>
        </w:rPr>
        <w:t>磋商</w:t>
      </w:r>
      <w:r>
        <w:rPr>
          <w:rFonts w:hint="eastAsia" w:ascii="Times New Roman" w:hAnsi="Times New Roman" w:eastAsia="宋体" w:cs="宋体"/>
          <w:color w:val="auto"/>
          <w:sz w:val="24"/>
          <w:highlight w:val="none"/>
        </w:rPr>
        <w:t>文件第三章。</w:t>
      </w:r>
    </w:p>
    <w:p w14:paraId="0A34851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
          <w:iCs/>
          <w:color w:val="auto"/>
          <w:w w:val="80"/>
          <w:sz w:val="44"/>
          <w:szCs w:val="44"/>
          <w:highlight w:val="none"/>
        </w:rPr>
      </w:pPr>
      <w:r>
        <w:rPr>
          <w:rFonts w:hint="eastAsia" w:ascii="Times New Roman" w:hAnsi="Times New Roman" w:eastAsia="宋体" w:cs="宋体"/>
          <w:color w:val="auto"/>
          <w:sz w:val="24"/>
          <w:highlight w:val="none"/>
        </w:rPr>
        <w:t>七、以上项目款的支付不计息。</w:t>
      </w:r>
    </w:p>
    <w:p w14:paraId="041D2EF8">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w w:val="80"/>
          <w:kern w:val="44"/>
          <w:highlight w:val="none"/>
        </w:rPr>
      </w:pPr>
    </w:p>
    <w:p w14:paraId="02B06A59">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color w:val="auto"/>
          <w:w w:val="80"/>
          <w:kern w:val="44"/>
          <w:sz w:val="48"/>
          <w:szCs w:val="44"/>
          <w:highlight w:val="none"/>
        </w:rPr>
      </w:pPr>
      <w:r>
        <w:rPr>
          <w:rFonts w:ascii="Times New Roman" w:hAnsi="Times New Roman" w:eastAsia="宋体" w:cs="宋体"/>
          <w:color w:val="auto"/>
          <w:w w:val="80"/>
          <w:sz w:val="48"/>
          <w:szCs w:val="44"/>
          <w:highlight w:val="none"/>
        </w:rPr>
        <w:br w:type="page"/>
      </w:r>
    </w:p>
    <w:p w14:paraId="1F2F9180">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第六章 质疑提出和处理</w:t>
      </w:r>
    </w:p>
    <w:p w14:paraId="3A85BE21">
      <w:pPr>
        <w:keepNext w:val="0"/>
        <w:keepLines w:val="0"/>
        <w:pageBreakBefore w:val="0"/>
        <w:kinsoku/>
        <w:wordWrap/>
        <w:topLinePunct w:val="0"/>
        <w:autoSpaceDE/>
        <w:autoSpaceDN/>
        <w:bidi w:val="0"/>
        <w:adjustRightInd w:val="0"/>
        <w:snapToGrid w:val="0"/>
        <w:spacing w:line="360" w:lineRule="auto"/>
        <w:ind w:firstLine="487" w:firstLineChars="202"/>
        <w:rPr>
          <w:rFonts w:ascii="Times New Roman" w:hAnsi="Times New Roman"/>
          <w:b/>
          <w:color w:val="auto"/>
          <w:sz w:val="24"/>
          <w:szCs w:val="24"/>
          <w:highlight w:val="none"/>
        </w:rPr>
      </w:pPr>
      <w:r>
        <w:rPr>
          <w:rFonts w:ascii="Times New Roman" w:hAnsi="Times New Roman"/>
          <w:b/>
          <w:color w:val="auto"/>
          <w:sz w:val="24"/>
          <w:szCs w:val="24"/>
          <w:highlight w:val="none"/>
        </w:rPr>
        <w:t>一、质疑的提出</w:t>
      </w:r>
    </w:p>
    <w:p w14:paraId="37D7A45C">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1、提出质疑的供应商应当是参与所质疑项目采购活动的供应商。潜在供应商依法获取其可质疑的采购文件的，可以对采购文件提出质疑。</w:t>
      </w:r>
    </w:p>
    <w:p w14:paraId="6EDCFC04">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2、供应商认为采购文件、采购过程和采购结果使自己的权益受到损害的，可以在知道或应知其权益受到损害之日起七个工作日内，以书面形式向采购人提出质疑。上述应知其权益受到损害之日，是指：</w:t>
      </w:r>
    </w:p>
    <w:p w14:paraId="37ED6BF3">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2.1对可以质疑的采购文件提出质疑的，为收到采购文件之日或者采购文件公告期限届满之日；</w:t>
      </w:r>
    </w:p>
    <w:p w14:paraId="72C3CBAF">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2.2对采购过程提出质疑的，为各采购程序环节结束之日；</w:t>
      </w:r>
    </w:p>
    <w:p w14:paraId="36F94F60">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2.3对成交结果提出质疑的，为成交结果公告期限届满之日。</w:t>
      </w:r>
    </w:p>
    <w:p w14:paraId="3365F3AA">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供应商应当在法定质疑期内一次性提出针对同一采购程序环节的质疑。</w:t>
      </w:r>
    </w:p>
    <w:p w14:paraId="3FD439BD">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3、质疑函必须按照本</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文件中《质疑函范本》要求的格式和内容进行填写。供应商如组成联合体参加采购活动，则《质疑函范本》中要求签字、盖章、加盖公章之处，联合体各方均须按要求签字、盖章、加盖公章。</w:t>
      </w:r>
    </w:p>
    <w:p w14:paraId="453DCEB2">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4、对采购方式、</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文件中项目需求、供应商资格条件、评审方法和评审标准、资格审查结果等应当由采购人答复的质疑，请向采购人提出，由采购人负责答复。</w:t>
      </w:r>
    </w:p>
    <w:p w14:paraId="7422B9E7">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采购人质疑接收人及联系方式，见</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文件第一章。</w:t>
      </w:r>
    </w:p>
    <w:p w14:paraId="0FDB4E5E">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 以下情形的质疑不予受理</w:t>
      </w:r>
    </w:p>
    <w:p w14:paraId="47503017">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5.1 内容不符合《政府采购质疑和投诉办法》财政部第94号令第十二条规定的质疑。</w:t>
      </w:r>
    </w:p>
    <w:p w14:paraId="5AB7AEB6">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5.2 超出政府采购法定期限的质疑。</w:t>
      </w:r>
    </w:p>
    <w:p w14:paraId="777BCE32">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5.3 未参加采购活动的供应商。</w:t>
      </w:r>
    </w:p>
    <w:p w14:paraId="4858754F">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5.4供应商组成联合体参加采购活动，联合体中任何一方或多方未按要求签字、盖章、加盖公章的质疑。</w:t>
      </w:r>
    </w:p>
    <w:p w14:paraId="027A3C29">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5E8716E">
      <w:pPr>
        <w:keepNext w:val="0"/>
        <w:keepLines w:val="0"/>
        <w:pageBreakBefore w:val="0"/>
        <w:kinsoku/>
        <w:wordWrap/>
        <w:topLinePunct w:val="0"/>
        <w:autoSpaceDE/>
        <w:autoSpaceDN/>
        <w:bidi w:val="0"/>
        <w:spacing w:after="120" w:line="360" w:lineRule="auto"/>
        <w:rPr>
          <w:rFonts w:ascii="Times New Roman" w:hAnsi="Times New Roman"/>
          <w:color w:val="auto"/>
          <w:szCs w:val="21"/>
          <w:highlight w:val="none"/>
        </w:rPr>
      </w:pPr>
      <w:r>
        <w:rPr>
          <w:rFonts w:ascii="Times New Roman" w:hAnsi="Times New Roman"/>
          <w:color w:val="auto"/>
          <w:highlight w:val="none"/>
        </w:rPr>
        <w:br w:type="page"/>
      </w:r>
      <w:r>
        <w:rPr>
          <w:rFonts w:hint="eastAsia" w:ascii="Times New Roman" w:hAnsi="Times New Roman"/>
          <w:color w:val="auto"/>
          <w:szCs w:val="21"/>
          <w:highlight w:val="none"/>
        </w:rPr>
        <w:t>附件：</w:t>
      </w:r>
    </w:p>
    <w:p w14:paraId="18ED59F4">
      <w:pPr>
        <w:keepNext w:val="0"/>
        <w:keepLines w:val="0"/>
        <w:pageBreakBefore w:val="0"/>
        <w:kinsoku/>
        <w:wordWrap/>
        <w:topLinePunct w:val="0"/>
        <w:autoSpaceDE/>
        <w:autoSpaceDN/>
        <w:bidi w:val="0"/>
        <w:spacing w:line="360" w:lineRule="auto"/>
        <w:jc w:val="center"/>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质疑函范本</w:t>
      </w:r>
    </w:p>
    <w:p w14:paraId="31FAEC42">
      <w:pPr>
        <w:keepNext w:val="0"/>
        <w:keepLines w:val="0"/>
        <w:pageBreakBefore w:val="0"/>
        <w:kinsoku/>
        <w:wordWrap/>
        <w:topLinePunct w:val="0"/>
        <w:autoSpaceDE/>
        <w:autoSpaceDN/>
        <w:bidi w:val="0"/>
        <w:adjustRightInd w:val="0"/>
        <w:snapToGrid w:val="0"/>
        <w:spacing w:before="312" w:beforeLines="100"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一、质疑供应商基本信息</w:t>
      </w:r>
    </w:p>
    <w:p w14:paraId="3A2DA37C">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质疑供应商：</w:t>
      </w:r>
    </w:p>
    <w:p w14:paraId="059369A2">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地址：邮编：</w:t>
      </w:r>
    </w:p>
    <w:p w14:paraId="11573581">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联系人：联系电话：</w:t>
      </w:r>
    </w:p>
    <w:p w14:paraId="371C4B9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授权代表：</w:t>
      </w:r>
    </w:p>
    <w:p w14:paraId="5EFA906F">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联系电话：</w:t>
      </w:r>
    </w:p>
    <w:p w14:paraId="478705D9">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地址：邮编：</w:t>
      </w:r>
    </w:p>
    <w:p w14:paraId="2C73849D">
      <w:pPr>
        <w:keepNext w:val="0"/>
        <w:keepLines w:val="0"/>
        <w:pageBreakBefore w:val="0"/>
        <w:kinsoku/>
        <w:wordWrap/>
        <w:topLinePunct w:val="0"/>
        <w:autoSpaceDE/>
        <w:autoSpaceDN/>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二、质疑项目基本情况</w:t>
      </w:r>
    </w:p>
    <w:p w14:paraId="6A4D34E7">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质疑项目的名称：</w:t>
      </w:r>
    </w:p>
    <w:p w14:paraId="12CC5AAD">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质疑项目的编号：包号：</w:t>
      </w:r>
    </w:p>
    <w:p w14:paraId="59742146">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采购人名称：</w:t>
      </w:r>
    </w:p>
    <w:p w14:paraId="57AD400D">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采购文件获取日期：</w:t>
      </w:r>
    </w:p>
    <w:p w14:paraId="2BA08E83">
      <w:pPr>
        <w:keepNext w:val="0"/>
        <w:keepLines w:val="0"/>
        <w:pageBreakBefore w:val="0"/>
        <w:kinsoku/>
        <w:wordWrap/>
        <w:topLinePunct w:val="0"/>
        <w:autoSpaceDE/>
        <w:autoSpaceDN/>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三、质疑事项具体内容</w:t>
      </w:r>
    </w:p>
    <w:p w14:paraId="30F2DB2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质疑事项1：</w:t>
      </w:r>
    </w:p>
    <w:p w14:paraId="58F90407">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事实依据：</w:t>
      </w:r>
    </w:p>
    <w:p w14:paraId="7B6F2CB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p>
    <w:p w14:paraId="263F3E71">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法律依据：</w:t>
      </w:r>
    </w:p>
    <w:p w14:paraId="71A5AD78">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p>
    <w:p w14:paraId="4B168C3F">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质疑事项2</w:t>
      </w:r>
    </w:p>
    <w:p w14:paraId="1047AD0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w:t>
      </w:r>
    </w:p>
    <w:p w14:paraId="36028A73">
      <w:pPr>
        <w:keepNext w:val="0"/>
        <w:keepLines w:val="0"/>
        <w:pageBreakBefore w:val="0"/>
        <w:kinsoku/>
        <w:wordWrap/>
        <w:topLinePunct w:val="0"/>
        <w:autoSpaceDE/>
        <w:autoSpaceDN/>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四、与质疑事项相关的质疑请求</w:t>
      </w:r>
    </w:p>
    <w:p w14:paraId="20C43FF3">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请求：</w:t>
      </w:r>
    </w:p>
    <w:p w14:paraId="27D8B1B5">
      <w:pPr>
        <w:keepNext w:val="0"/>
        <w:keepLines w:val="0"/>
        <w:pageBreakBefore w:val="0"/>
        <w:kinsoku/>
        <w:wordWrap/>
        <w:topLinePunct w:val="0"/>
        <w:autoSpaceDE/>
        <w:autoSpaceDN/>
        <w:bidi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签字(签章)：                   公章：                      </w:t>
      </w:r>
    </w:p>
    <w:p w14:paraId="07BB7C65">
      <w:pPr>
        <w:keepNext w:val="0"/>
        <w:keepLines w:val="0"/>
        <w:pageBreakBefore w:val="0"/>
        <w:kinsoku/>
        <w:wordWrap/>
        <w:topLinePunct w:val="0"/>
        <w:autoSpaceDE/>
        <w:autoSpaceDN/>
        <w:bidi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日期：    </w:t>
      </w:r>
    </w:p>
    <w:p w14:paraId="5A03D8E1">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p>
    <w:p w14:paraId="5BE312B0">
      <w:pPr>
        <w:keepNext w:val="0"/>
        <w:keepLines w:val="0"/>
        <w:pageBreakBefore w:val="0"/>
        <w:kinsoku/>
        <w:wordWrap/>
        <w:topLinePunct w:val="0"/>
        <w:autoSpaceDE/>
        <w:autoSpaceDN/>
        <w:bidi w:val="0"/>
        <w:spacing w:line="360" w:lineRule="auto"/>
        <w:rPr>
          <w:rFonts w:ascii="Times New Roman" w:hAnsi="Times New Roman"/>
          <w:b/>
          <w:color w:val="auto"/>
          <w:sz w:val="24"/>
          <w:szCs w:val="24"/>
          <w:highlight w:val="none"/>
        </w:rPr>
      </w:pPr>
    </w:p>
    <w:p w14:paraId="7AB4BB50">
      <w:pPr>
        <w:keepNext w:val="0"/>
        <w:keepLines w:val="0"/>
        <w:pageBreakBefore w:val="0"/>
        <w:kinsoku/>
        <w:wordWrap/>
        <w:topLinePunct w:val="0"/>
        <w:autoSpaceDE/>
        <w:autoSpaceDN/>
        <w:bidi w:val="0"/>
        <w:spacing w:line="360" w:lineRule="auto"/>
        <w:jc w:val="left"/>
        <w:rPr>
          <w:rFonts w:ascii="Times New Roman" w:hAnsi="Times New Roman"/>
          <w:b/>
          <w:color w:val="auto"/>
          <w:sz w:val="24"/>
          <w:szCs w:val="24"/>
          <w:highlight w:val="none"/>
        </w:rPr>
      </w:pPr>
      <w:r>
        <w:rPr>
          <w:rFonts w:ascii="Times New Roman" w:hAnsi="Times New Roman"/>
          <w:b/>
          <w:color w:val="auto"/>
          <w:sz w:val="24"/>
          <w:szCs w:val="24"/>
          <w:highlight w:val="none"/>
        </w:rPr>
        <w:br w:type="page"/>
      </w:r>
    </w:p>
    <w:p w14:paraId="50FCFBD3">
      <w:pPr>
        <w:keepNext w:val="0"/>
        <w:keepLines w:val="0"/>
        <w:pageBreakBefore w:val="0"/>
        <w:kinsoku/>
        <w:wordWrap/>
        <w:topLinePunct w:val="0"/>
        <w:autoSpaceDE/>
        <w:autoSpaceDN/>
        <w:bidi w:val="0"/>
        <w:spacing w:line="360" w:lineRule="auto"/>
        <w:jc w:val="left"/>
        <w:rPr>
          <w:rFonts w:ascii="Times New Roman" w:hAnsi="Times New Roman"/>
          <w:b/>
          <w:color w:val="auto"/>
          <w:sz w:val="24"/>
          <w:szCs w:val="24"/>
          <w:highlight w:val="none"/>
        </w:rPr>
      </w:pPr>
      <w:r>
        <w:rPr>
          <w:rFonts w:hint="eastAsia" w:ascii="Times New Roman" w:hAnsi="Times New Roman"/>
          <w:b/>
          <w:color w:val="auto"/>
          <w:sz w:val="24"/>
          <w:szCs w:val="24"/>
          <w:highlight w:val="none"/>
        </w:rPr>
        <w:t>质疑函制作说明：</w:t>
      </w:r>
    </w:p>
    <w:p w14:paraId="501C55F3">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1、供应商提出质疑时，应提交质疑函和必要的证明材料。</w:t>
      </w:r>
    </w:p>
    <w:p w14:paraId="034555C5">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2、质疑供应商若委托代理人进行质疑的，质疑函应按要求列明“授权代表”的有关内容，并在附件中提交由质疑</w:t>
      </w:r>
      <w:r>
        <w:rPr>
          <w:rFonts w:hint="eastAsia" w:ascii="Times New Roman" w:hAnsi="Times New Roman" w:cs="宋体"/>
          <w:color w:val="auto"/>
          <w:kern w:val="0"/>
          <w:sz w:val="24"/>
          <w:szCs w:val="24"/>
          <w:highlight w:val="none"/>
        </w:rPr>
        <w:t>供应商签署的授权委托书。授权委托书应载明代理人的姓名或者名称、代理事项、具体权限、期限和相关事项。</w:t>
      </w:r>
    </w:p>
    <w:p w14:paraId="5417C015">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3、质疑供应商若对项目的某一分包进行质疑，质疑函中应列明具体分包号。</w:t>
      </w:r>
    </w:p>
    <w:p w14:paraId="7619B8C7">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4、质疑函的质疑事项应具体、明确，并有必要的事实依据和法律依据。</w:t>
      </w:r>
    </w:p>
    <w:p w14:paraId="07EB8184">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5、质疑函的质疑请求应与质疑事项相关。</w:t>
      </w:r>
    </w:p>
    <w:p w14:paraId="614145E0">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hint="eastAsia" w:ascii="Times New Roman" w:hAnsi="Times New Roman" w:cs="宋体"/>
          <w:color w:val="auto"/>
          <w:sz w:val="24"/>
          <w:szCs w:val="24"/>
          <w:highlight w:val="none"/>
        </w:rPr>
        <w:t>。</w:t>
      </w:r>
    </w:p>
    <w:p w14:paraId="10C18DFA">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br w:type="page"/>
      </w:r>
    </w:p>
    <w:p w14:paraId="5C7EB916">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第七章 响应文件组成及格式</w:t>
      </w:r>
    </w:p>
    <w:p w14:paraId="12373B11">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响应文件由资格审查文件、技术响应文件、商务报价响应文件三部分组成。本次竞争性磋商采用资格后审方式，供应商须将资格审查文件作为响应文件组成部分，按磋商文件要求装订密封后一起递交。</w:t>
      </w:r>
    </w:p>
    <w:p w14:paraId="45F8B46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kern w:val="0"/>
          <w:sz w:val="24"/>
          <w:highlight w:val="none"/>
          <w:lang w:val="zh-CN"/>
        </w:rPr>
      </w:pPr>
      <w:r>
        <w:rPr>
          <w:rFonts w:hint="eastAsia" w:ascii="Times New Roman" w:hAnsi="Times New Roman" w:eastAsia="宋体" w:cs="宋体"/>
          <w:b/>
          <w:bCs/>
          <w:color w:val="auto"/>
          <w:kern w:val="0"/>
          <w:sz w:val="24"/>
          <w:highlight w:val="none"/>
          <w:lang w:val="zh-CN"/>
        </w:rPr>
        <w:t>一、资格审查文件（单独密封）：</w:t>
      </w:r>
    </w:p>
    <w:p w14:paraId="4B081E8D">
      <w:pPr>
        <w:keepNext w:val="0"/>
        <w:keepLines w:val="0"/>
        <w:pageBreakBefore w:val="0"/>
        <w:kinsoku/>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1、</w:t>
      </w:r>
      <w:r>
        <w:rPr>
          <w:rFonts w:hint="eastAsia" w:ascii="Times New Roman" w:hAnsi="Times New Roman" w:eastAsia="宋体"/>
          <w:bCs/>
          <w:color w:val="auto"/>
          <w:sz w:val="24"/>
          <w:szCs w:val="24"/>
          <w:highlight w:val="none"/>
        </w:rPr>
        <w:t>供应商须具有有效的三证合一的营业执照（或事业单位法人证书）</w:t>
      </w:r>
      <w:r>
        <w:rPr>
          <w:rFonts w:hint="eastAsia" w:ascii="Times New Roman" w:hAnsi="Times New Roman" w:eastAsia="宋体"/>
          <w:bCs/>
          <w:color w:val="auto"/>
          <w:sz w:val="24"/>
          <w:szCs w:val="24"/>
          <w:highlight w:val="none"/>
          <w:lang w:eastAsia="zh-CN"/>
        </w:rPr>
        <w:t>复印件并加盖公章</w:t>
      </w:r>
      <w:r>
        <w:rPr>
          <w:rFonts w:hint="eastAsia" w:ascii="Times New Roman" w:hAnsi="Times New Roman" w:eastAsia="宋体"/>
          <w:color w:val="auto"/>
          <w:sz w:val="24"/>
          <w:szCs w:val="24"/>
          <w:highlight w:val="none"/>
          <w:lang w:eastAsia="zh-CN"/>
        </w:rPr>
        <w:t>；</w:t>
      </w:r>
    </w:p>
    <w:p w14:paraId="63547708">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2、法定代表人参加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的，必须提供法定代表人身份证明及法定代表人本人身份证两项复印件（须加盖单位公章）；非法定代表人参加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的，必须提供法定代表人签字或印章的授权委托书及被授权人本人身份证两项复印件；（须加盖单位公章）</w:t>
      </w:r>
      <w:r>
        <w:rPr>
          <w:rFonts w:hint="eastAsia" w:ascii="Times New Roman" w:hAnsi="Times New Roman" w:eastAsia="宋体"/>
          <w:color w:val="auto"/>
          <w:sz w:val="24"/>
          <w:szCs w:val="24"/>
          <w:highlight w:val="none"/>
          <w:lang w:eastAsia="zh-CN"/>
        </w:rPr>
        <w:t>；</w:t>
      </w:r>
    </w:p>
    <w:p w14:paraId="31CC6D8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3、提供供应商符合《中华人民共和国政府采购法》第二十二条规定条件的声明函。</w:t>
      </w:r>
    </w:p>
    <w:p w14:paraId="3D2AF66D">
      <w:pPr>
        <w:keepNext w:val="0"/>
        <w:keepLines w:val="0"/>
        <w:pageBreakBefore w:val="0"/>
        <w:kinsoku/>
        <w:topLinePunct w:val="0"/>
        <w:autoSpaceDE/>
        <w:autoSpaceDN/>
        <w:bidi w:val="0"/>
        <w:spacing w:line="360" w:lineRule="auto"/>
        <w:ind w:firstLine="480" w:firstLineChars="20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4、供应商须提供诚信承诺书（</w:t>
      </w:r>
      <w:r>
        <w:rPr>
          <w:rFonts w:hint="eastAsia" w:ascii="Times New Roman" w:hAnsi="Times New Roman" w:cs="宋体"/>
          <w:color w:val="auto"/>
          <w:sz w:val="24"/>
          <w:szCs w:val="24"/>
          <w:highlight w:val="none"/>
        </w:rPr>
        <w:t>格式参见附件）；</w:t>
      </w:r>
    </w:p>
    <w:p w14:paraId="5D10AC2E">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5、</w:t>
      </w:r>
      <w:r>
        <w:rPr>
          <w:rFonts w:hint="eastAsia" w:ascii="Times New Roman" w:hAnsi="Times New Roman" w:eastAsia="宋体"/>
          <w:color w:val="auto"/>
          <w:sz w:val="24"/>
          <w:szCs w:val="24"/>
          <w:highlight w:val="none"/>
        </w:rPr>
        <w:t>其它需要提交的资格审查证明材料。</w:t>
      </w:r>
    </w:p>
    <w:p w14:paraId="3EC6E51E">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以上材料如为复印件均需加盖投标单位公章。</w:t>
      </w:r>
    </w:p>
    <w:p w14:paraId="1B659E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bCs/>
          <w:color w:val="auto"/>
          <w:sz w:val="24"/>
          <w:szCs w:val="24"/>
          <w:highlight w:val="none"/>
        </w:rPr>
      </w:pPr>
      <w:r>
        <w:rPr>
          <w:rFonts w:hint="eastAsia" w:ascii="Times New Roman" w:hAnsi="Times New Roman" w:eastAsia="宋体"/>
          <w:b/>
          <w:bCs/>
          <w:color w:val="auto"/>
          <w:sz w:val="24"/>
          <w:szCs w:val="24"/>
          <w:highlight w:val="none"/>
        </w:rPr>
        <w:t>二、技术响应文件（单独密封）：</w:t>
      </w:r>
    </w:p>
    <w:p w14:paraId="040FBD7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rPr>
        <w:t>1、</w:t>
      </w:r>
      <w:r>
        <w:rPr>
          <w:rFonts w:hint="eastAsia" w:ascii="Times New Roman" w:hAnsi="Times New Roman" w:eastAsia="宋体" w:cs="宋体"/>
          <w:color w:val="auto"/>
          <w:sz w:val="24"/>
          <w:szCs w:val="24"/>
          <w:highlight w:val="none"/>
        </w:rPr>
        <w:t>磋商</w:t>
      </w:r>
      <w:r>
        <w:rPr>
          <w:rFonts w:ascii="Times New Roman" w:hAnsi="Times New Roman" w:eastAsia="宋体" w:cs="宋体"/>
          <w:color w:val="auto"/>
          <w:sz w:val="24"/>
          <w:szCs w:val="24"/>
          <w:highlight w:val="none"/>
        </w:rPr>
        <w:t>响应函（格式参见第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p>
    <w:p w14:paraId="56119F8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lang w:val="en-US" w:eastAsia="zh-CN"/>
        </w:rPr>
        <w:t>2、供应商一般情况表</w:t>
      </w:r>
      <w:r>
        <w:rPr>
          <w:rFonts w:ascii="Times New Roman" w:hAnsi="Times New Roman" w:eastAsia="宋体" w:cs="宋体"/>
          <w:color w:val="auto"/>
          <w:sz w:val="24"/>
          <w:szCs w:val="24"/>
          <w:highlight w:val="none"/>
        </w:rPr>
        <w:t>（格式参见第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p>
    <w:p w14:paraId="4FBAAF27">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3、</w:t>
      </w:r>
      <w:r>
        <w:rPr>
          <w:rFonts w:hint="eastAsia" w:ascii="Times New Roman" w:hAnsi="Times New Roman" w:eastAsia="宋体" w:cs="宋体"/>
          <w:bCs/>
          <w:color w:val="auto"/>
          <w:sz w:val="24"/>
          <w:szCs w:val="24"/>
          <w:highlight w:val="none"/>
        </w:rPr>
        <w:t>技术条款响应正负偏离表（</w:t>
      </w:r>
      <w:r>
        <w:rPr>
          <w:rFonts w:ascii="Times New Roman" w:hAnsi="Times New Roman" w:eastAsia="宋体" w:cs="宋体"/>
          <w:color w:val="auto"/>
          <w:sz w:val="24"/>
          <w:szCs w:val="24"/>
          <w:highlight w:val="none"/>
        </w:rPr>
        <w:t>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r>
        <w:rPr>
          <w:rFonts w:hint="eastAsia" w:ascii="Times New Roman" w:hAnsi="Times New Roman" w:eastAsia="宋体" w:cs="宋体"/>
          <w:bCs/>
          <w:color w:val="auto"/>
          <w:sz w:val="24"/>
          <w:szCs w:val="24"/>
          <w:highlight w:val="none"/>
        </w:rPr>
        <w:t>）</w:t>
      </w:r>
    </w:p>
    <w:p w14:paraId="6A899C4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4、</w:t>
      </w:r>
      <w:r>
        <w:rPr>
          <w:rFonts w:hint="eastAsia" w:ascii="Times New Roman" w:hAnsi="Times New Roman" w:eastAsia="宋体" w:cs="宋体"/>
          <w:bCs/>
          <w:color w:val="auto"/>
          <w:sz w:val="24"/>
          <w:szCs w:val="24"/>
          <w:highlight w:val="none"/>
          <w:lang w:eastAsia="zh-CN"/>
        </w:rPr>
        <w:t>商务</w:t>
      </w:r>
      <w:r>
        <w:rPr>
          <w:rFonts w:hint="eastAsia" w:ascii="Times New Roman" w:hAnsi="Times New Roman" w:eastAsia="宋体" w:cs="宋体"/>
          <w:bCs/>
          <w:color w:val="auto"/>
          <w:sz w:val="24"/>
          <w:szCs w:val="24"/>
          <w:highlight w:val="none"/>
        </w:rPr>
        <w:t>条款响应正负偏离表（</w:t>
      </w:r>
      <w:r>
        <w:rPr>
          <w:rFonts w:ascii="Times New Roman" w:hAnsi="Times New Roman" w:eastAsia="宋体" w:cs="宋体"/>
          <w:color w:val="auto"/>
          <w:sz w:val="24"/>
          <w:szCs w:val="24"/>
          <w:highlight w:val="none"/>
        </w:rPr>
        <w:t>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r>
        <w:rPr>
          <w:rFonts w:hint="eastAsia" w:ascii="Times New Roman" w:hAnsi="Times New Roman" w:eastAsia="宋体" w:cs="宋体"/>
          <w:bCs/>
          <w:color w:val="auto"/>
          <w:sz w:val="24"/>
          <w:szCs w:val="24"/>
          <w:highlight w:val="none"/>
        </w:rPr>
        <w:t>）</w:t>
      </w:r>
    </w:p>
    <w:p w14:paraId="0B176A5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5、</w:t>
      </w:r>
      <w:r>
        <w:rPr>
          <w:rFonts w:hint="eastAsia" w:ascii="Times New Roman" w:hAnsi="Times New Roman" w:eastAsia="宋体" w:cs="宋体"/>
          <w:bCs/>
          <w:color w:val="auto"/>
          <w:sz w:val="24"/>
          <w:szCs w:val="24"/>
          <w:highlight w:val="none"/>
        </w:rPr>
        <w:t>磋商文件中评分标准所涉及的事项需提供的所有资料；</w:t>
      </w:r>
    </w:p>
    <w:p w14:paraId="0C5272E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6</w:t>
      </w:r>
      <w:r>
        <w:rPr>
          <w:rFonts w:hint="eastAsia" w:ascii="Times New Roman" w:hAnsi="Times New Roman" w:eastAsia="宋体" w:cs="宋体"/>
          <w:bCs/>
          <w:color w:val="auto"/>
          <w:sz w:val="24"/>
          <w:szCs w:val="24"/>
          <w:highlight w:val="none"/>
        </w:rPr>
        <w:t>、磋商文件中未涉及的事项，</w:t>
      </w:r>
      <w:r>
        <w:rPr>
          <w:rFonts w:hint="eastAsia" w:ascii="Times New Roman" w:hAnsi="Times New Roman" w:eastAsia="宋体" w:cs="宋体"/>
          <w:bCs/>
          <w:color w:val="auto"/>
          <w:sz w:val="24"/>
          <w:szCs w:val="24"/>
          <w:highlight w:val="none"/>
          <w:lang w:eastAsia="zh-CN"/>
        </w:rPr>
        <w:t>响应</w:t>
      </w:r>
      <w:r>
        <w:rPr>
          <w:rFonts w:hint="eastAsia" w:ascii="Times New Roman" w:hAnsi="Times New Roman" w:eastAsia="宋体" w:cs="宋体"/>
          <w:bCs/>
          <w:color w:val="auto"/>
          <w:sz w:val="24"/>
          <w:szCs w:val="24"/>
          <w:highlight w:val="none"/>
        </w:rPr>
        <w:t>供应商认为需要提交的其他资料。</w:t>
      </w:r>
    </w:p>
    <w:p w14:paraId="56F9402B">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特别提醒：</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资格审查文件</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技术响应文件</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所须提供的材料按磋商文件要求装订，密封，递交。</w:t>
      </w:r>
    </w:p>
    <w:p w14:paraId="4EEF105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三、报价响应文件（单独密封）</w:t>
      </w:r>
    </w:p>
    <w:p w14:paraId="302487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1、磋商响应报价表（格式参见附件）；</w:t>
      </w:r>
    </w:p>
    <w:p w14:paraId="1E90A19A">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hint="eastAsia"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2、磋商响应报价明细表</w:t>
      </w:r>
      <w:r>
        <w:rPr>
          <w:rFonts w:hint="eastAsia" w:ascii="Times New Roman" w:hAnsi="Times New Roman" w:eastAsia="宋体" w:cs="宋体"/>
          <w:color w:val="auto"/>
          <w:sz w:val="24"/>
          <w:szCs w:val="24"/>
          <w:highlight w:val="none"/>
        </w:rPr>
        <w:t>（格式参见附件）</w:t>
      </w:r>
      <w:r>
        <w:rPr>
          <w:rFonts w:hint="eastAsia" w:ascii="Times New Roman" w:hAnsi="Times New Roman" w:eastAsia="宋体" w:cs="宋体"/>
          <w:bCs/>
          <w:color w:val="auto"/>
          <w:sz w:val="24"/>
          <w:szCs w:val="24"/>
          <w:highlight w:val="none"/>
          <w:lang w:val="en-US" w:eastAsia="zh-CN"/>
        </w:rPr>
        <w:t>；</w:t>
      </w:r>
    </w:p>
    <w:p w14:paraId="0F163ADB">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b/>
          <w:color w:val="auto"/>
          <w:sz w:val="24"/>
          <w:szCs w:val="24"/>
          <w:highlight w:val="none"/>
        </w:rPr>
      </w:pPr>
      <w:r>
        <w:rPr>
          <w:rFonts w:hint="eastAsia" w:ascii="Times New Roman" w:hAnsi="Times New Roman" w:eastAsia="宋体" w:cs="宋体"/>
          <w:color w:val="auto"/>
          <w:sz w:val="24"/>
          <w:szCs w:val="24"/>
          <w:highlight w:val="none"/>
        </w:rPr>
        <w:br w:type="page"/>
      </w:r>
    </w:p>
    <w:p w14:paraId="4C3EB441">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b/>
          <w:color w:val="auto"/>
          <w:sz w:val="24"/>
          <w:highlight w:val="none"/>
        </w:rPr>
      </w:pPr>
      <w:r>
        <w:rPr>
          <w:rFonts w:hint="eastAsia" w:ascii="Times New Roman" w:hAnsi="Times New Roman" w:eastAsia="宋体"/>
          <w:b/>
          <w:color w:val="auto"/>
          <w:sz w:val="24"/>
          <w:szCs w:val="24"/>
          <w:highlight w:val="none"/>
        </w:rPr>
        <w:t>附件:</w:t>
      </w:r>
    </w:p>
    <w:p w14:paraId="732A05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1、法定代表人身份证明</w:t>
      </w:r>
    </w:p>
    <w:p w14:paraId="6AE0EE61">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（法定代表人参加投标，须出示此证明）</w:t>
      </w:r>
    </w:p>
    <w:p w14:paraId="724B7DC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p w14:paraId="1E671B2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7A312EA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我公司法定代表人</w:t>
      </w:r>
      <w:r>
        <w:rPr>
          <w:rFonts w:hint="eastAsia" w:ascii="Times New Roman" w:hAnsi="Times New Roman" w:eastAsia="宋体" w:cs="宋体"/>
          <w:color w:val="auto"/>
          <w:sz w:val="24"/>
          <w:szCs w:val="24"/>
          <w:highlight w:val="none"/>
          <w:u w:val="single"/>
        </w:rPr>
        <w:t>　　　</w:t>
      </w:r>
      <w:r>
        <w:rPr>
          <w:rFonts w:hint="eastAsia" w:ascii="Times New Roman" w:hAnsi="Times New Roman" w:eastAsia="宋体" w:cs="宋体"/>
          <w:color w:val="auto"/>
          <w:sz w:val="24"/>
          <w:szCs w:val="24"/>
          <w:highlight w:val="none"/>
        </w:rPr>
        <w:t>参加贵单位组织的</w:t>
      </w:r>
      <w:r>
        <w:rPr>
          <w:rFonts w:hint="eastAsia" w:ascii="Times New Roman" w:hAnsi="Times New Roman" w:eastAsia="宋体"/>
          <w:color w:val="auto"/>
          <w:sz w:val="24"/>
          <w:szCs w:val="24"/>
          <w:highlight w:val="none"/>
          <w:u w:val="single"/>
          <w:lang w:eastAsia="zh-CN"/>
        </w:rPr>
        <w:t>南通市第三人民医院软件正版化项目（第二次）</w:t>
      </w:r>
      <w:r>
        <w:rPr>
          <w:rFonts w:hint="eastAsia" w:ascii="Times New Roman" w:hAnsi="Times New Roman" w:eastAsia="宋体" w:cs="宋体"/>
          <w:color w:val="auto"/>
          <w:sz w:val="24"/>
          <w:szCs w:val="24"/>
          <w:highlight w:val="none"/>
        </w:rPr>
        <w:t>（竞争性磋商项目名称）项目的磋商活动，全权代表我公司处理该磋商活动的有关事宜。</w:t>
      </w:r>
    </w:p>
    <w:p w14:paraId="09B35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6C411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附：法定代表人情况：</w:t>
      </w:r>
    </w:p>
    <w:p w14:paraId="5A9425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姓名：性别：年龄：职务：</w:t>
      </w:r>
    </w:p>
    <w:p w14:paraId="476C152C">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身份证号码：</w:t>
      </w:r>
    </w:p>
    <w:p w14:paraId="68B46FC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手机：传真：</w:t>
      </w:r>
    </w:p>
    <w:p w14:paraId="069BEC9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w:t>
      </w:r>
    </w:p>
    <w:p w14:paraId="50F6DA97">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1F5CC40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单位名称（公章）法定代表人（签字或盖章）</w:t>
      </w:r>
    </w:p>
    <w:p w14:paraId="52938C0C">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年月日年月日</w:t>
      </w:r>
    </w:p>
    <w:p w14:paraId="0D63A7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3526DD7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法定代表人身份证复印件</w:t>
      </w:r>
    </w:p>
    <w:p w14:paraId="35F64DD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5DA3EF31">
      <w:pPr>
        <w:keepNext w:val="0"/>
        <w:keepLines w:val="0"/>
        <w:pageBreakBefore w:val="0"/>
        <w:widowControl w:val="0"/>
        <w:kinsoku/>
        <w:wordWrap/>
        <w:topLinePunct w:val="0"/>
        <w:autoSpaceDE/>
        <w:autoSpaceDN/>
        <w:bidi w:val="0"/>
        <w:spacing w:line="360" w:lineRule="auto"/>
        <w:ind w:firstLine="2280" w:firstLineChars="95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（粘贴此处）</w:t>
      </w:r>
    </w:p>
    <w:p w14:paraId="2877421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注:参加磋商活动时法定代表人将身份证原件带至开标现场备查。</w:t>
      </w:r>
    </w:p>
    <w:p w14:paraId="19A2CB54">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bCs/>
          <w:color w:val="auto"/>
          <w:sz w:val="24"/>
          <w:szCs w:val="24"/>
          <w:highlight w:val="none"/>
        </w:rPr>
      </w:pPr>
      <w:r>
        <w:rPr>
          <w:rFonts w:ascii="Times New Roman" w:hAnsi="Times New Roman" w:eastAsia="宋体" w:cs="宋体"/>
          <w:b/>
          <w:bCs/>
          <w:color w:val="auto"/>
          <w:sz w:val="24"/>
          <w:szCs w:val="24"/>
          <w:highlight w:val="none"/>
        </w:rPr>
        <w:br w:type="page"/>
      </w:r>
    </w:p>
    <w:p w14:paraId="20390B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olor w:val="auto"/>
          <w:sz w:val="20"/>
          <w:highlight w:val="none"/>
        </w:rPr>
      </w:pPr>
      <w:r>
        <w:rPr>
          <w:rFonts w:hint="eastAsia" w:ascii="Times New Roman" w:hAnsi="Times New Roman" w:eastAsia="宋体"/>
          <w:b/>
          <w:color w:val="auto"/>
          <w:sz w:val="24"/>
          <w:szCs w:val="24"/>
          <w:highlight w:val="none"/>
        </w:rPr>
        <w:t>2、授权委托书</w:t>
      </w:r>
    </w:p>
    <w:p w14:paraId="440039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（委托代理人参加投标，须出示此证明）</w:t>
      </w:r>
    </w:p>
    <w:p w14:paraId="7E2D926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Cs/>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23E00D13">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兹授权</w:t>
      </w:r>
      <w:r>
        <w:rPr>
          <w:rFonts w:hint="eastAsia" w:ascii="Times New Roman" w:hAnsi="Times New Roman" w:eastAsia="宋体" w:cs="宋体"/>
          <w:color w:val="auto"/>
          <w:sz w:val="24"/>
          <w:szCs w:val="24"/>
          <w:highlight w:val="none"/>
          <w:u w:val="single"/>
        </w:rPr>
        <w:t>（</w:t>
      </w:r>
      <w:r>
        <w:rPr>
          <w:rFonts w:hint="eastAsia" w:ascii="Times New Roman" w:hAnsi="Times New Roman" w:eastAsia="宋体" w:cs="宋体"/>
          <w:color w:val="auto"/>
          <w:sz w:val="24"/>
          <w:szCs w:val="24"/>
          <w:highlight w:val="none"/>
        </w:rPr>
        <w:t>被授权人的姓名）代表我公司参加</w:t>
      </w:r>
      <w:r>
        <w:rPr>
          <w:rFonts w:hint="eastAsia" w:ascii="Times New Roman" w:hAnsi="Times New Roman" w:eastAsia="宋体"/>
          <w:color w:val="auto"/>
          <w:sz w:val="24"/>
          <w:szCs w:val="24"/>
          <w:highlight w:val="none"/>
          <w:u w:val="single"/>
          <w:lang w:eastAsia="zh-CN"/>
        </w:rPr>
        <w:t>南通市第三人民医院软件正版化项目（第二次）</w:t>
      </w:r>
      <w:r>
        <w:rPr>
          <w:rFonts w:hint="eastAsia" w:ascii="Times New Roman" w:hAnsi="Times New Roman" w:eastAsia="宋体" w:cs="宋体"/>
          <w:color w:val="auto"/>
          <w:sz w:val="24"/>
          <w:szCs w:val="24"/>
          <w:highlight w:val="none"/>
        </w:rPr>
        <w:t>（竞争性磋商项目名称）项目的磋商活动，全权处理一切与该项目磋商有关的事务。其在办理上述事宜过程中所签署的所有文件我公司均予以承认。</w:t>
      </w:r>
    </w:p>
    <w:p w14:paraId="6EC5AE49">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被授权人无转委托权。特此委托。</w:t>
      </w:r>
    </w:p>
    <w:p w14:paraId="4C4264BF">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color w:val="auto"/>
          <w:sz w:val="24"/>
          <w:szCs w:val="24"/>
          <w:highlight w:val="none"/>
        </w:rPr>
      </w:pPr>
    </w:p>
    <w:p w14:paraId="5654175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7188B0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附：被授权人情况：</w:t>
      </w:r>
    </w:p>
    <w:p w14:paraId="1ADC34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姓名：性别：年龄：职务：</w:t>
      </w:r>
    </w:p>
    <w:p w14:paraId="1369133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身份证号码：</w:t>
      </w:r>
    </w:p>
    <w:p w14:paraId="58FA5C6A">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手机：传真：</w:t>
      </w:r>
    </w:p>
    <w:p w14:paraId="6368833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w:t>
      </w:r>
    </w:p>
    <w:p w14:paraId="1BF1A06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单位名称（公章）法定代表人（签字或盖章）</w:t>
      </w:r>
    </w:p>
    <w:p w14:paraId="1BAFC67B">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年月日年月日</w:t>
      </w:r>
    </w:p>
    <w:p w14:paraId="5CAEAFE6">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2B4875B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法定代表人身份证复印件</w:t>
      </w:r>
    </w:p>
    <w:p w14:paraId="134EFE6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699508A2">
      <w:pPr>
        <w:keepNext w:val="0"/>
        <w:keepLines w:val="0"/>
        <w:pageBreakBefore w:val="0"/>
        <w:widowControl w:val="0"/>
        <w:kinsoku/>
        <w:wordWrap/>
        <w:topLinePunct w:val="0"/>
        <w:autoSpaceDE/>
        <w:autoSpaceDN/>
        <w:bidi w:val="0"/>
        <w:spacing w:line="360" w:lineRule="auto"/>
        <w:ind w:firstLine="3960" w:firstLineChars="165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（粘贴此处）</w:t>
      </w:r>
    </w:p>
    <w:p w14:paraId="67B3912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被授权人身份证复印件</w:t>
      </w:r>
    </w:p>
    <w:p w14:paraId="7BDF9F0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color w:val="auto"/>
          <w:sz w:val="24"/>
          <w:szCs w:val="24"/>
          <w:highlight w:val="none"/>
        </w:rPr>
        <w:t>（粘贴此处）</w:t>
      </w:r>
    </w:p>
    <w:p w14:paraId="3B5C7E52">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注:参加磋商活动时被授权人将身份证原件带至开标现场备查。</w:t>
      </w:r>
    </w:p>
    <w:p w14:paraId="4499F4A3">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color w:val="auto"/>
          <w:sz w:val="24"/>
          <w:szCs w:val="24"/>
          <w:highlight w:val="none"/>
        </w:rPr>
      </w:pPr>
    </w:p>
    <w:p w14:paraId="294A71F8">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28B6A7E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3、供应商符合《中华人民共和国政府采购法》第二十二条规定条件的声明函</w:t>
      </w:r>
    </w:p>
    <w:p w14:paraId="4C04BA76">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color w:val="auto"/>
          <w:sz w:val="24"/>
          <w:szCs w:val="21"/>
          <w:highlight w:val="none"/>
          <w:u w:val="single"/>
        </w:rPr>
      </w:pPr>
    </w:p>
    <w:p w14:paraId="4ABC32A0">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bCs/>
          <w:color w:val="auto"/>
          <w:sz w:val="24"/>
          <w:szCs w:val="21"/>
          <w:highlight w:val="none"/>
        </w:rPr>
      </w:pPr>
      <w:r>
        <w:rPr>
          <w:rFonts w:hint="eastAsia" w:ascii="Times New Roman" w:hAnsi="Times New Roman" w:eastAsia="宋体"/>
          <w:color w:val="auto"/>
          <w:sz w:val="24"/>
          <w:szCs w:val="24"/>
          <w:highlight w:val="none"/>
          <w:u w:val="single"/>
        </w:rPr>
        <w:t>南通市第三人民医院</w:t>
      </w:r>
      <w:r>
        <w:rPr>
          <w:rFonts w:ascii="Times New Roman" w:hAnsi="Times New Roman" w:eastAsia="宋体" w:cs="Times New Roman"/>
          <w:bCs/>
          <w:color w:val="auto"/>
          <w:sz w:val="24"/>
          <w:szCs w:val="21"/>
          <w:highlight w:val="none"/>
        </w:rPr>
        <w:t>：</w:t>
      </w:r>
    </w:p>
    <w:p w14:paraId="10272BC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
          <w:bCs/>
          <w:color w:val="auto"/>
          <w:sz w:val="24"/>
          <w:szCs w:val="21"/>
          <w:highlight w:val="none"/>
        </w:rPr>
      </w:pPr>
      <w:r>
        <w:rPr>
          <w:rFonts w:hint="eastAsia" w:ascii="Times New Roman" w:hAnsi="Times New Roman" w:eastAsia="宋体" w:cs="Times New Roman"/>
          <w:bCs/>
          <w:color w:val="auto"/>
          <w:sz w:val="24"/>
          <w:szCs w:val="21"/>
          <w:highlight w:val="none"/>
        </w:rPr>
        <w:t>我单位参加</w:t>
      </w:r>
      <w:r>
        <w:rPr>
          <w:rFonts w:hint="eastAsia" w:ascii="Times New Roman" w:hAnsi="Times New Roman" w:eastAsia="宋体" w:cs="Times New Roman"/>
          <w:bCs/>
          <w:color w:val="auto"/>
          <w:sz w:val="24"/>
          <w:szCs w:val="21"/>
          <w:highlight w:val="none"/>
          <w:u w:val="single"/>
        </w:rPr>
        <w:t>________________ _</w:t>
      </w:r>
      <w:r>
        <w:rPr>
          <w:rFonts w:hint="eastAsia" w:ascii="Times New Roman" w:hAnsi="Times New Roman" w:eastAsia="宋体" w:cs="Times New Roman"/>
          <w:bCs/>
          <w:color w:val="auto"/>
          <w:sz w:val="24"/>
          <w:szCs w:val="21"/>
          <w:highlight w:val="none"/>
        </w:rPr>
        <w:t>（项目名称），</w:t>
      </w:r>
      <w:r>
        <w:rPr>
          <w:rFonts w:hint="eastAsia" w:ascii="Times New Roman" w:hAnsi="Times New Roman" w:eastAsia="宋体" w:cs="Times New Roman"/>
          <w:bCs/>
          <w:color w:val="auto"/>
          <w:sz w:val="24"/>
          <w:szCs w:val="21"/>
          <w:highlight w:val="none"/>
          <w:u w:val="single"/>
        </w:rPr>
        <w:t>_______ __________</w:t>
      </w:r>
      <w:r>
        <w:rPr>
          <w:rFonts w:hint="eastAsia" w:ascii="Times New Roman" w:hAnsi="Times New Roman" w:eastAsia="宋体" w:cs="Times New Roman"/>
          <w:bCs/>
          <w:color w:val="auto"/>
          <w:sz w:val="24"/>
          <w:szCs w:val="21"/>
          <w:highlight w:val="none"/>
        </w:rPr>
        <w:t>（项目编号）竞争性磋商活动。针对《中华人民共和国政府采购法》第二十二条规定做出如下声明：</w:t>
      </w:r>
    </w:p>
    <w:p w14:paraId="19EA956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bCs/>
          <w:color w:val="auto"/>
          <w:sz w:val="24"/>
          <w:szCs w:val="21"/>
          <w:highlight w:val="none"/>
        </w:rPr>
        <w:t>1.我单位具有独立承担民事责任的能力；</w:t>
      </w:r>
    </w:p>
    <w:p w14:paraId="1A785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2.我单位具有良好的商业信誉和健全的财务会计制度；</w:t>
      </w:r>
    </w:p>
    <w:p w14:paraId="31A8F42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3.我单位具有履行合同所必需的设备和专业技术能力；</w:t>
      </w:r>
    </w:p>
    <w:p w14:paraId="1900871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4.我单位有依法缴纳税收和社会保障资金的良好记录；</w:t>
      </w:r>
    </w:p>
    <w:p w14:paraId="0FCD552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较大数额罚款</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认定为200万元以上的罚款，法律、行政法规以及国务院有关部门明确规定相关领域</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较大数额罚款</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标准高于200万元的，从其规定。）</w:t>
      </w:r>
    </w:p>
    <w:p w14:paraId="768A4146">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Cs/>
          <w:color w:val="auto"/>
          <w:sz w:val="24"/>
          <w:szCs w:val="21"/>
          <w:highlight w:val="none"/>
        </w:rPr>
      </w:pPr>
      <w:r>
        <w:rPr>
          <w:rFonts w:hint="eastAsia" w:ascii="Times New Roman" w:hAnsi="Times New Roman" w:eastAsia="宋体" w:cs="Times New Roman"/>
          <w:color w:val="auto"/>
          <w:sz w:val="24"/>
          <w:szCs w:val="21"/>
          <w:highlight w:val="none"/>
        </w:rPr>
        <w:t>6.我单位满足法律、行政法规规定的其他条件。</w:t>
      </w:r>
    </w:p>
    <w:p w14:paraId="3E31EBA1">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color w:val="auto"/>
          <w:sz w:val="28"/>
          <w:szCs w:val="20"/>
          <w:highlight w:val="none"/>
        </w:rPr>
      </w:pPr>
    </w:p>
    <w:p w14:paraId="1345351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p>
    <w:p w14:paraId="06041CA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供应商：（加盖公章）</w:t>
      </w:r>
    </w:p>
    <w:p w14:paraId="71726D7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法定代表人或被授权人：（签字或盖章）</w:t>
      </w:r>
    </w:p>
    <w:p w14:paraId="58A40EDC">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p w14:paraId="7B970FE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1DC4C2D6">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Times New Roman"/>
          <w:b/>
          <w:color w:val="auto"/>
          <w:sz w:val="24"/>
          <w:szCs w:val="24"/>
          <w:highlight w:val="none"/>
        </w:rPr>
      </w:pPr>
      <w:r>
        <w:rPr>
          <w:rFonts w:hint="eastAsia" w:ascii="Times New Roman" w:hAnsi="Times New Roman" w:eastAsia="宋体"/>
          <w:b/>
          <w:color w:val="auto"/>
          <w:sz w:val="24"/>
          <w:szCs w:val="24"/>
          <w:highlight w:val="none"/>
        </w:rPr>
        <w:t>4、</w:t>
      </w:r>
      <w:r>
        <w:rPr>
          <w:rFonts w:hint="eastAsia" w:ascii="Times New Roman" w:hAnsi="Times New Roman" w:eastAsia="宋体" w:cs="Times New Roman"/>
          <w:b/>
          <w:color w:val="auto"/>
          <w:sz w:val="24"/>
          <w:szCs w:val="24"/>
          <w:highlight w:val="none"/>
        </w:rPr>
        <w:t>诚信承诺书</w:t>
      </w:r>
    </w:p>
    <w:p w14:paraId="4C039A2A">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color w:val="auto"/>
          <w:sz w:val="28"/>
          <w:szCs w:val="28"/>
          <w:highlight w:val="none"/>
          <w:u w:val="single"/>
        </w:rPr>
      </w:pPr>
      <w:r>
        <w:rPr>
          <w:rFonts w:ascii="Times New Roman" w:hAnsi="Times New Roman" w:eastAsia="宋体" w:cs="仿宋_GB2312"/>
          <w:color w:val="auto"/>
          <w:sz w:val="24"/>
          <w:szCs w:val="24"/>
          <w:highlight w:val="none"/>
          <w:u w:val="single"/>
        </w:rPr>
        <w:softHyphen/>
      </w:r>
      <w:r>
        <w:rPr>
          <w:rFonts w:hint="eastAsia" w:ascii="Times New Roman" w:hAnsi="Times New Roman" w:eastAsia="宋体" w:cs="仿宋_GB2312"/>
          <w:color w:val="auto"/>
          <w:sz w:val="24"/>
          <w:szCs w:val="24"/>
          <w:highlight w:val="none"/>
          <w:u w:val="single"/>
        </w:rPr>
        <w:t>______</w:t>
      </w:r>
      <w:r>
        <w:rPr>
          <w:rFonts w:hint="eastAsia" w:ascii="Times New Roman" w:hAnsi="Times New Roman" w:eastAsia="宋体" w:cs="宋体"/>
          <w:color w:val="auto"/>
          <w:sz w:val="24"/>
          <w:szCs w:val="24"/>
          <w:highlight w:val="none"/>
          <w:u w:val="single"/>
        </w:rPr>
        <w:t>：</w:t>
      </w:r>
    </w:p>
    <w:p w14:paraId="6D322D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我单位在参加贵单位组织的</w:t>
      </w:r>
      <w:r>
        <w:rPr>
          <w:rFonts w:hint="eastAsia" w:ascii="Times New Roman" w:hAnsi="Times New Roman" w:eastAsia="宋体" w:cs="宋体"/>
          <w:color w:val="auto"/>
          <w:sz w:val="24"/>
          <w:szCs w:val="24"/>
          <w:highlight w:val="none"/>
          <w:u w:val="single"/>
        </w:rPr>
        <w:t xml:space="preserve">     项目</w:t>
      </w:r>
      <w:r>
        <w:rPr>
          <w:rFonts w:hint="eastAsia" w:ascii="Times New Roman" w:hAnsi="Times New Roman" w:eastAsia="宋体" w:cs="宋体"/>
          <w:color w:val="auto"/>
          <w:sz w:val="24"/>
          <w:szCs w:val="24"/>
          <w:highlight w:val="none"/>
        </w:rPr>
        <w:t>的招投标活动中，郑重承诺如下：</w:t>
      </w:r>
    </w:p>
    <w:p w14:paraId="4FC44F01">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1、我方申报的所有资料都是真实、准确、完整的；</w:t>
      </w:r>
    </w:p>
    <w:p w14:paraId="1E8C534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2、我方无资质挂靠或参与串标、围标、及抬标情形；</w:t>
      </w:r>
    </w:p>
    <w:p w14:paraId="58D22709">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3、我方没有被各级行政主管部门做出停止市场行为的处罚；</w:t>
      </w:r>
    </w:p>
    <w:p w14:paraId="445D709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4、若我方中标，将严格按照规定及时与招标单位签订合同；</w:t>
      </w:r>
    </w:p>
    <w:p w14:paraId="5D33C2D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5、若我方中标，将严格按照投标文件所承诺的报价、质量、供货期等内容组织实施；</w:t>
      </w:r>
    </w:p>
    <w:p w14:paraId="40DBAAF4">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若我方违反上述承诺，隐瞒、提供虚假资料或不按投标文件要求组织实施，被贵方发现或被他人举报查实，无条件接受有关行政监督部门做出的取消投标资格、中标资格、没收</w:t>
      </w:r>
      <w:r>
        <w:rPr>
          <w:rFonts w:hint="eastAsia" w:ascii="Times New Roman" w:hAnsi="Times New Roman" w:eastAsia="宋体" w:cs="宋体"/>
          <w:color w:val="auto"/>
          <w:sz w:val="24"/>
          <w:szCs w:val="24"/>
          <w:highlight w:val="none"/>
          <w:lang w:eastAsia="zh-CN"/>
        </w:rPr>
        <w:t>磋商</w:t>
      </w:r>
      <w:r>
        <w:rPr>
          <w:rFonts w:hint="eastAsia" w:ascii="Times New Roman" w:hAnsi="Times New Roman" w:eastAsia="宋体" w:cs="宋体"/>
          <w:color w:val="auto"/>
          <w:sz w:val="24"/>
          <w:szCs w:val="24"/>
          <w:highlight w:val="none"/>
        </w:rPr>
        <w:t>保证金、不良行为记录、限制其一定期限内投标资格等处罚。对造成的损失，任何法律和经济责任完全由我方负责。</w:t>
      </w:r>
    </w:p>
    <w:p w14:paraId="10CA0CFA">
      <w:pPr>
        <w:keepNext w:val="0"/>
        <w:keepLines w:val="0"/>
        <w:pageBreakBefore w:val="0"/>
        <w:widowControl w:val="0"/>
        <w:kinsoku/>
        <w:wordWrap/>
        <w:topLinePunct w:val="0"/>
        <w:autoSpaceDE/>
        <w:autoSpaceDN/>
        <w:bidi w:val="0"/>
        <w:spacing w:line="360" w:lineRule="auto"/>
        <w:ind w:firstLine="560" w:firstLineChars="200"/>
        <w:rPr>
          <w:rFonts w:ascii="Times New Roman" w:hAnsi="Times New Roman" w:eastAsia="宋体" w:cs="宋体"/>
          <w:bCs/>
          <w:color w:val="auto"/>
          <w:sz w:val="28"/>
          <w:szCs w:val="28"/>
          <w:highlight w:val="none"/>
        </w:rPr>
      </w:pPr>
    </w:p>
    <w:p w14:paraId="0E306E57">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供应商：（加盖公章）</w:t>
      </w:r>
    </w:p>
    <w:p w14:paraId="1C2E879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法定代表人或被授权人：（签字或盖章）</w:t>
      </w:r>
    </w:p>
    <w:p w14:paraId="06093B84">
      <w:pPr>
        <w:keepNext w:val="0"/>
        <w:keepLines w:val="0"/>
        <w:pageBreakBefore w:val="0"/>
        <w:widowControl w:val="0"/>
        <w:kinsoku/>
        <w:wordWrap/>
        <w:topLinePunct w:val="0"/>
        <w:autoSpaceDE/>
        <w:autoSpaceDN/>
        <w:bidi w:val="0"/>
        <w:spacing w:line="360" w:lineRule="auto"/>
        <w:ind w:firstLine="1320" w:firstLineChars="550"/>
        <w:jc w:val="righ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p w14:paraId="3ED19012">
      <w:pPr>
        <w:keepNext w:val="0"/>
        <w:keepLines w:val="0"/>
        <w:pageBreakBefore w:val="0"/>
        <w:kinsoku/>
        <w:topLinePunct w:val="0"/>
        <w:autoSpaceDE/>
        <w:autoSpaceDN/>
        <w:bidi w:val="0"/>
        <w:spacing w:line="360" w:lineRule="auto"/>
        <w:rPr>
          <w:rFonts w:hint="eastAsia" w:ascii="Times New Roman" w:hAnsi="Times New Roman" w:eastAsia="宋体"/>
          <w:color w:val="auto"/>
          <w:highlight w:val="none"/>
        </w:rPr>
      </w:pPr>
      <w:r>
        <w:rPr>
          <w:rFonts w:hint="eastAsia" w:ascii="Times New Roman" w:hAnsi="Times New Roman" w:eastAsia="宋体" w:cs="宋体"/>
          <w:color w:val="auto"/>
          <w:sz w:val="24"/>
          <w:szCs w:val="24"/>
          <w:highlight w:val="none"/>
        </w:rPr>
        <w:br w:type="page"/>
      </w:r>
    </w:p>
    <w:p w14:paraId="49A9F47F">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lang w:val="en-US" w:eastAsia="zh-CN"/>
        </w:rPr>
        <w:t>5</w:t>
      </w:r>
      <w:r>
        <w:rPr>
          <w:rFonts w:hint="eastAsia" w:ascii="Times New Roman" w:hAnsi="Times New Roman" w:eastAsia="宋体" w:cs="宋体"/>
          <w:b/>
          <w:bCs/>
          <w:color w:val="auto"/>
          <w:sz w:val="24"/>
          <w:szCs w:val="24"/>
          <w:highlight w:val="none"/>
        </w:rPr>
        <w:t>、竞争性磋商响应函</w:t>
      </w:r>
    </w:p>
    <w:p w14:paraId="41CFE15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64E039D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依据贵单位委托代理机构组织的（磋商项目名称)项目竞争性磋商的邀请，我方授权</w:t>
      </w:r>
      <w:r>
        <w:rPr>
          <w:rFonts w:hint="eastAsia" w:ascii="Times New Roman" w:hAnsi="Times New Roman" w:eastAsia="宋体"/>
          <w:color w:val="auto"/>
          <w:sz w:val="24"/>
          <w:szCs w:val="24"/>
          <w:highlight w:val="none"/>
          <w:u w:val="single"/>
        </w:rPr>
        <w:t>（姓名）（职务）为</w:t>
      </w:r>
      <w:r>
        <w:rPr>
          <w:rFonts w:hint="eastAsia" w:ascii="Times New Roman" w:hAnsi="Times New Roman" w:eastAsia="宋体"/>
          <w:color w:val="auto"/>
          <w:sz w:val="24"/>
          <w:szCs w:val="24"/>
          <w:highlight w:val="none"/>
        </w:rPr>
        <w:t>全权代表参加该项目的磋商工作，全权处理本次竞争性磋商的有关事宜。同时，我公司声明如下：</w:t>
      </w:r>
    </w:p>
    <w:p w14:paraId="51FBA21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1、同意并接受竞争性磋商文件的各项要求，遵守竞争性磋商文件中的各项规定，按竞争性磋商文件的要求提供报价。</w:t>
      </w:r>
    </w:p>
    <w:p w14:paraId="6C6A61C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2、我公司已经详细阅读了竞争性磋商文件的全部内容，我方已完全清晰理解竞争性磋商文件的要求，不存在任何含糊不清和误解之处，同意放弃对竞争性磋商文件所表述的内容提出异议和质疑的权利。</w:t>
      </w:r>
    </w:p>
    <w:p w14:paraId="1F3D4B6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3、我公司已毫无保留地向贵方提供一切所需的证明材料。</w:t>
      </w:r>
    </w:p>
    <w:p w14:paraId="1CD14FA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4、我公司承诺在本次磋商响应中提供的一切文件，无论是原件还是复印件均真实有效，绝无任何虚假、伪造和夸大的成份。否则，愿承担相应的后果和法律责任。</w:t>
      </w:r>
    </w:p>
    <w:p w14:paraId="67F4F44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color w:val="auto"/>
          <w:sz w:val="24"/>
          <w:szCs w:val="24"/>
          <w:highlight w:val="none"/>
        </w:rPr>
        <w:t>5、</w:t>
      </w:r>
      <w:r>
        <w:rPr>
          <w:rFonts w:hint="eastAsia" w:ascii="Times New Roman" w:hAnsi="Times New Roman" w:eastAsia="宋体"/>
          <w:b/>
          <w:color w:val="auto"/>
          <w:sz w:val="24"/>
          <w:szCs w:val="24"/>
          <w:highlight w:val="none"/>
        </w:rPr>
        <w:t>我公司尊重磋商小组所作的评定结果，同时清楚理解到报价最低并非意味着必定获得成交资格。</w:t>
      </w:r>
    </w:p>
    <w:p w14:paraId="58857A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、一旦成交，我方承诺无正当理由拒绝签订合同，将被贵方取消成交资格，同意贵方将磋商保证金作为违约金全额不予退还的处理。</w:t>
      </w:r>
    </w:p>
    <w:p w14:paraId="308FC1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
          <w:color w:val="auto"/>
          <w:sz w:val="24"/>
          <w:szCs w:val="24"/>
          <w:highlight w:val="none"/>
        </w:rPr>
        <w:t>一旦成交，我方将根据竞争性磋商文件的规定，严格履行合同规定的责任和义务，并保证在竞争性磋商文件中规定的时间期限内完成合同项目。</w:t>
      </w:r>
    </w:p>
    <w:p w14:paraId="5EEBBD7C">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color w:val="auto"/>
          <w:sz w:val="24"/>
          <w:szCs w:val="24"/>
          <w:highlight w:val="none"/>
        </w:rPr>
      </w:pPr>
    </w:p>
    <w:p w14:paraId="2D5797B5">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竞争性磋商响应单位：（加盖公章）</w:t>
      </w:r>
    </w:p>
    <w:p w14:paraId="5F1E5940">
      <w:pPr>
        <w:keepNext w:val="0"/>
        <w:keepLines w:val="0"/>
        <w:pageBreakBefore w:val="0"/>
        <w:widowControl w:val="0"/>
        <w:kinsoku/>
        <w:wordWrap/>
        <w:topLinePunct w:val="0"/>
        <w:autoSpaceDE/>
        <w:autoSpaceDN/>
        <w:bidi w:val="0"/>
        <w:spacing w:line="360" w:lineRule="auto"/>
        <w:ind w:firstLine="3600" w:firstLineChars="15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法定代表人：（签字或盖章）</w:t>
      </w:r>
    </w:p>
    <w:p w14:paraId="080E7D08">
      <w:pPr>
        <w:keepNext w:val="0"/>
        <w:keepLines w:val="0"/>
        <w:pageBreakBefore w:val="0"/>
        <w:widowControl w:val="0"/>
        <w:kinsoku/>
        <w:wordWrap/>
        <w:topLinePunct w:val="0"/>
        <w:autoSpaceDE/>
        <w:autoSpaceDN/>
        <w:bidi w:val="0"/>
        <w:spacing w:line="360" w:lineRule="auto"/>
        <w:ind w:firstLine="6840" w:firstLineChars="28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年月日</w:t>
      </w:r>
    </w:p>
    <w:p w14:paraId="29FDDB08">
      <w:pPr>
        <w:keepNext w:val="0"/>
        <w:keepLines w:val="0"/>
        <w:pageBreakBefore w:val="0"/>
        <w:kinsoku/>
        <w:topLinePunct w:val="0"/>
        <w:autoSpaceDE/>
        <w:autoSpaceDN/>
        <w:bidi w:val="0"/>
        <w:spacing w:line="360" w:lineRule="auto"/>
        <w:rPr>
          <w:rFonts w:hint="eastAsia" w:ascii="Times New Roman" w:hAnsi="Times New Roman" w:eastAsia="宋体"/>
          <w:b/>
          <w:color w:val="auto"/>
          <w:sz w:val="24"/>
          <w:szCs w:val="24"/>
          <w:highlight w:val="none"/>
          <w:lang w:val="en-US" w:eastAsia="zh-CN"/>
        </w:rPr>
      </w:pPr>
    </w:p>
    <w:p w14:paraId="0B0F1166">
      <w:pPr>
        <w:keepNext w:val="0"/>
        <w:keepLines w:val="0"/>
        <w:pageBreakBefore w:val="0"/>
        <w:kinsoku/>
        <w:topLinePunct w:val="0"/>
        <w:autoSpaceDE/>
        <w:autoSpaceDN/>
        <w:bidi w:val="0"/>
        <w:spacing w:line="360" w:lineRule="auto"/>
        <w:rPr>
          <w:rFonts w:hint="eastAsia"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br w:type="page"/>
      </w:r>
    </w:p>
    <w:p w14:paraId="5EFC8A36">
      <w:pPr>
        <w:keepNext w:val="0"/>
        <w:keepLines w:val="0"/>
        <w:pageBreakBefore w:val="0"/>
        <w:kinsoku/>
        <w:topLinePunct w:val="0"/>
        <w:autoSpaceDE/>
        <w:autoSpaceDN/>
        <w:bidi w:val="0"/>
        <w:spacing w:line="360" w:lineRule="auto"/>
        <w:jc w:val="center"/>
        <w:rPr>
          <w:rFonts w:ascii="Times New Roman" w:hAnsi="Times New Roman" w:cs="宋体"/>
          <w:b/>
          <w:color w:val="auto"/>
          <w:sz w:val="24"/>
          <w:szCs w:val="24"/>
          <w:highlight w:val="none"/>
        </w:rPr>
      </w:pPr>
      <w:r>
        <w:rPr>
          <w:rFonts w:hint="eastAsia" w:ascii="Times New Roman" w:hAnsi="Times New Roman"/>
          <w:b/>
          <w:color w:val="auto"/>
          <w:sz w:val="24"/>
          <w:szCs w:val="24"/>
          <w:highlight w:val="none"/>
          <w:lang w:val="en-US" w:eastAsia="zh-CN"/>
        </w:rPr>
        <w:t>6</w:t>
      </w:r>
      <w:r>
        <w:rPr>
          <w:rFonts w:hint="eastAsia" w:ascii="Times New Roman" w:hAnsi="Times New Roman"/>
          <w:b/>
          <w:color w:val="auto"/>
          <w:sz w:val="24"/>
          <w:szCs w:val="24"/>
          <w:highlight w:val="none"/>
        </w:rPr>
        <w:t>、</w:t>
      </w:r>
      <w:r>
        <w:rPr>
          <w:rFonts w:ascii="Times New Roman" w:hAnsi="Times New Roman"/>
          <w:b/>
          <w:bCs/>
          <w:color w:val="auto"/>
          <w:sz w:val="24"/>
          <w:szCs w:val="24"/>
          <w:highlight w:val="none"/>
        </w:rPr>
        <w:t>供应商一般情况表</w:t>
      </w:r>
    </w:p>
    <w:tbl>
      <w:tblPr>
        <w:tblStyle w:val="26"/>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040A215F">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0997F416">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14:paraId="4A6F1267">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2D06D9D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38DB13B8">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14:paraId="03F87BB1">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1741608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B88F46C">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14:paraId="7463C496">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27DF4E7F">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30A736D">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14:paraId="6CEE8DE6">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6CE3ACD2">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E117316">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电话</w:t>
            </w:r>
          </w:p>
        </w:tc>
        <w:tc>
          <w:tcPr>
            <w:tcW w:w="2408" w:type="dxa"/>
            <w:gridSpan w:val="3"/>
            <w:tcBorders>
              <w:top w:val="single" w:color="auto" w:sz="4" w:space="0"/>
              <w:left w:val="nil"/>
              <w:bottom w:val="single" w:color="auto" w:sz="4" w:space="0"/>
              <w:right w:val="single" w:color="auto" w:sz="4" w:space="0"/>
            </w:tcBorders>
            <w:noWrap w:val="0"/>
            <w:vAlign w:val="top"/>
          </w:tcPr>
          <w:p w14:paraId="3C50B9EF">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09D3AF5D">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联系人</w:t>
            </w:r>
          </w:p>
        </w:tc>
        <w:tc>
          <w:tcPr>
            <w:tcW w:w="2946" w:type="dxa"/>
            <w:gridSpan w:val="3"/>
            <w:tcBorders>
              <w:top w:val="single" w:color="auto" w:sz="4" w:space="0"/>
              <w:left w:val="nil"/>
              <w:bottom w:val="single" w:color="auto" w:sz="4" w:space="0"/>
              <w:right w:val="single" w:color="auto" w:sz="4" w:space="0"/>
            </w:tcBorders>
            <w:noWrap w:val="0"/>
            <w:vAlign w:val="top"/>
          </w:tcPr>
          <w:p w14:paraId="338688B5">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1FC0E33E">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2127E447">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传真</w:t>
            </w:r>
          </w:p>
        </w:tc>
        <w:tc>
          <w:tcPr>
            <w:tcW w:w="2408" w:type="dxa"/>
            <w:gridSpan w:val="3"/>
            <w:tcBorders>
              <w:top w:val="single" w:color="auto" w:sz="4" w:space="0"/>
              <w:left w:val="nil"/>
              <w:bottom w:val="single" w:color="auto" w:sz="4" w:space="0"/>
              <w:right w:val="single" w:color="auto" w:sz="4" w:space="0"/>
            </w:tcBorders>
            <w:noWrap w:val="0"/>
            <w:vAlign w:val="top"/>
          </w:tcPr>
          <w:p w14:paraId="1988CDAB">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5FBF3F37">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14:paraId="7C14C35B">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39C59AEC">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1EE8C6FD">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注册地</w:t>
            </w:r>
          </w:p>
        </w:tc>
        <w:tc>
          <w:tcPr>
            <w:tcW w:w="2408" w:type="dxa"/>
            <w:gridSpan w:val="3"/>
            <w:tcBorders>
              <w:top w:val="single" w:color="auto" w:sz="4" w:space="0"/>
              <w:left w:val="nil"/>
              <w:bottom w:val="single" w:color="auto" w:sz="4" w:space="0"/>
              <w:right w:val="single" w:color="auto" w:sz="4" w:space="0"/>
            </w:tcBorders>
            <w:noWrap w:val="0"/>
            <w:vAlign w:val="top"/>
          </w:tcPr>
          <w:p w14:paraId="2CD32C1C">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7BE2FE5E">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14:paraId="7944468E">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5C1033E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2398A18">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14:paraId="4968E794">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公司具备的相关资质等级及相应的证书号</w:t>
            </w:r>
          </w:p>
          <w:p w14:paraId="2565F232">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（请附有关证书的复印件）</w:t>
            </w:r>
          </w:p>
        </w:tc>
      </w:tr>
      <w:tr w14:paraId="09A8DFA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922CA55">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14:paraId="78882D71">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公司</w:t>
            </w:r>
            <w:r>
              <w:rPr>
                <w:rFonts w:hint="eastAsia" w:ascii="Times New Roman" w:hAnsi="Times New Roman" w:cs="宋体"/>
                <w:color w:val="auto"/>
                <w:sz w:val="24"/>
                <w:szCs w:val="24"/>
                <w:highlight w:val="none"/>
                <w:u w:val="single"/>
              </w:rPr>
              <w:t xml:space="preserve">   （是否通过，何种）   </w:t>
            </w:r>
            <w:r>
              <w:rPr>
                <w:rFonts w:hint="eastAsia" w:ascii="Times New Roman" w:hAnsi="Times New Roman" w:cs="宋体"/>
                <w:color w:val="auto"/>
                <w:sz w:val="24"/>
                <w:szCs w:val="24"/>
                <w:highlight w:val="none"/>
              </w:rPr>
              <w:t>质量保证体系认证（如通过请附相关在有效期内的证书复印件）</w:t>
            </w:r>
          </w:p>
        </w:tc>
      </w:tr>
      <w:tr w14:paraId="5285AB8A">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7394BEB">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14:paraId="14FD4989">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p>
        </w:tc>
        <w:tc>
          <w:tcPr>
            <w:tcW w:w="1417" w:type="dxa"/>
            <w:gridSpan w:val="2"/>
            <w:tcBorders>
              <w:top w:val="single" w:color="auto" w:sz="4" w:space="0"/>
              <w:left w:val="nil"/>
              <w:bottom w:val="single" w:color="auto" w:sz="4" w:space="0"/>
              <w:right w:val="single" w:color="auto" w:sz="4" w:space="0"/>
            </w:tcBorders>
            <w:noWrap w:val="0"/>
            <w:vAlign w:val="top"/>
          </w:tcPr>
          <w:p w14:paraId="540B98AF">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年龄</w:t>
            </w:r>
          </w:p>
        </w:tc>
        <w:tc>
          <w:tcPr>
            <w:tcW w:w="1466" w:type="dxa"/>
            <w:gridSpan w:val="2"/>
            <w:tcBorders>
              <w:top w:val="single" w:color="auto" w:sz="4" w:space="0"/>
              <w:left w:val="nil"/>
              <w:bottom w:val="single" w:color="auto" w:sz="4" w:space="0"/>
              <w:right w:val="single" w:color="auto" w:sz="4" w:space="0"/>
            </w:tcBorders>
            <w:noWrap w:val="0"/>
            <w:vAlign w:val="top"/>
          </w:tcPr>
          <w:p w14:paraId="20069AC9">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p>
        </w:tc>
        <w:tc>
          <w:tcPr>
            <w:tcW w:w="1320" w:type="dxa"/>
            <w:tcBorders>
              <w:top w:val="single" w:color="auto" w:sz="4" w:space="0"/>
              <w:left w:val="nil"/>
              <w:bottom w:val="single" w:color="auto" w:sz="4" w:space="0"/>
              <w:right w:val="single" w:color="auto" w:sz="4" w:space="0"/>
            </w:tcBorders>
            <w:noWrap w:val="0"/>
            <w:vAlign w:val="top"/>
          </w:tcPr>
          <w:p w14:paraId="73F75210">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性别</w:t>
            </w:r>
          </w:p>
        </w:tc>
        <w:tc>
          <w:tcPr>
            <w:tcW w:w="1467" w:type="dxa"/>
            <w:tcBorders>
              <w:top w:val="single" w:color="auto" w:sz="4" w:space="0"/>
              <w:left w:val="nil"/>
              <w:bottom w:val="single" w:color="auto" w:sz="4" w:space="0"/>
              <w:right w:val="single" w:color="auto" w:sz="4" w:space="0"/>
            </w:tcBorders>
            <w:noWrap w:val="0"/>
            <w:vAlign w:val="top"/>
          </w:tcPr>
          <w:p w14:paraId="4BCB8897">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p>
        </w:tc>
      </w:tr>
      <w:tr w14:paraId="40781A40">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8B0A8C9">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14:paraId="32AD43DD">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466" w:type="dxa"/>
            <w:gridSpan w:val="2"/>
            <w:tcBorders>
              <w:top w:val="single" w:color="auto" w:sz="4" w:space="0"/>
              <w:left w:val="nil"/>
              <w:bottom w:val="single" w:color="auto" w:sz="4" w:space="0"/>
              <w:right w:val="single" w:color="auto" w:sz="4" w:space="0"/>
            </w:tcBorders>
            <w:noWrap w:val="0"/>
            <w:vAlign w:val="top"/>
          </w:tcPr>
          <w:p w14:paraId="67B38DDD">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14:paraId="606BB6B0">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18FA155E">
        <w:tblPrEx>
          <w:tblCellMar>
            <w:top w:w="0" w:type="dxa"/>
            <w:left w:w="108" w:type="dxa"/>
            <w:bottom w:w="0" w:type="dxa"/>
            <w:right w:w="108" w:type="dxa"/>
          </w:tblCellMar>
        </w:tblPrEx>
        <w:trPr>
          <w:cantSplit/>
          <w:trHeight w:val="223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475356B">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14:paraId="51ADCFC9">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营业执照载明：</w:t>
            </w:r>
          </w:p>
          <w:p w14:paraId="5EE0BD47">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u w:val="single"/>
              </w:rPr>
            </w:pPr>
            <w:r>
              <w:rPr>
                <w:rFonts w:hint="eastAsia" w:ascii="Times New Roman" w:hAnsi="Times New Roman" w:cs="宋体"/>
                <w:color w:val="auto"/>
                <w:sz w:val="24"/>
                <w:szCs w:val="24"/>
                <w:highlight w:val="none"/>
              </w:rPr>
              <w:t>1.</w:t>
            </w:r>
          </w:p>
          <w:p w14:paraId="07B584BE">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u w:val="single"/>
              </w:rPr>
            </w:pPr>
            <w:r>
              <w:rPr>
                <w:rFonts w:hint="eastAsia" w:ascii="Times New Roman" w:hAnsi="Times New Roman" w:cs="宋体"/>
                <w:color w:val="auto"/>
                <w:sz w:val="24"/>
                <w:szCs w:val="24"/>
                <w:highlight w:val="none"/>
              </w:rPr>
              <w:t>2.</w:t>
            </w:r>
          </w:p>
          <w:p w14:paraId="29E64E2B">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r w14:paraId="07352344">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2B7E6512">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14:paraId="23470065">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2607E268">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41FE15FE">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14:paraId="43EAD9AF">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bl>
    <w:p w14:paraId="1498CB8B">
      <w:pPr>
        <w:keepNext w:val="0"/>
        <w:keepLines w:val="0"/>
        <w:pageBreakBefore w:val="0"/>
        <w:kinsoku/>
        <w:topLinePunct w:val="0"/>
        <w:autoSpaceDE/>
        <w:autoSpaceDN/>
        <w:bidi w:val="0"/>
        <w:spacing w:line="360" w:lineRule="auto"/>
        <w:ind w:firstLine="480" w:firstLineChars="20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供应商：（加盖公章）</w:t>
      </w:r>
    </w:p>
    <w:p w14:paraId="68FA0755">
      <w:pPr>
        <w:keepNext w:val="0"/>
        <w:keepLines w:val="0"/>
        <w:pageBreakBefore w:val="0"/>
        <w:kinsoku/>
        <w:topLinePunct w:val="0"/>
        <w:autoSpaceDE/>
        <w:autoSpaceDN/>
        <w:bidi w:val="0"/>
        <w:spacing w:line="360" w:lineRule="auto"/>
        <w:ind w:firstLine="480" w:firstLineChars="20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法定代表人或被授权人：（签字或盖章）</w:t>
      </w:r>
    </w:p>
    <w:p w14:paraId="37205B1E">
      <w:pPr>
        <w:keepNext w:val="0"/>
        <w:keepLines w:val="0"/>
        <w:pageBreakBefore w:val="0"/>
        <w:kinsoku/>
        <w:topLinePunct w:val="0"/>
        <w:autoSpaceDE/>
        <w:autoSpaceDN/>
        <w:bidi w:val="0"/>
        <w:spacing w:line="360" w:lineRule="auto"/>
        <w:ind w:firstLine="1320" w:firstLineChars="55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年      月     日</w:t>
      </w:r>
    </w:p>
    <w:p w14:paraId="75556BD6">
      <w:pPr>
        <w:keepNext w:val="0"/>
        <w:keepLines w:val="0"/>
        <w:pageBreakBefore w:val="0"/>
        <w:kinsoku/>
        <w:topLinePunct w:val="0"/>
        <w:autoSpaceDE/>
        <w:autoSpaceDN/>
        <w:bidi w:val="0"/>
        <w:spacing w:line="360" w:lineRule="auto"/>
        <w:rPr>
          <w:rFonts w:hint="eastAsia" w:ascii="Times New Roman" w:hAnsi="Times New Roman" w:eastAsia="宋体"/>
          <w:b/>
          <w:color w:val="auto"/>
          <w:sz w:val="24"/>
          <w:szCs w:val="24"/>
          <w:highlight w:val="none"/>
          <w:lang w:val="en-US" w:eastAsia="zh-CN"/>
        </w:rPr>
      </w:pPr>
    </w:p>
    <w:p w14:paraId="7371FE56">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r>
        <w:rPr>
          <w:rFonts w:hint="eastAsia" w:ascii="Times New Roman" w:hAnsi="Times New Roman" w:eastAsia="宋体"/>
          <w:b/>
          <w:color w:val="auto"/>
          <w:sz w:val="24"/>
          <w:szCs w:val="24"/>
          <w:highlight w:val="none"/>
          <w:lang w:val="en-US" w:eastAsia="zh-CN"/>
        </w:rPr>
        <w:br w:type="page"/>
      </w:r>
    </w:p>
    <w:p w14:paraId="04A9112A">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lang w:val="en-US" w:eastAsia="zh-CN"/>
        </w:rPr>
        <w:t>7</w:t>
      </w:r>
      <w:r>
        <w:rPr>
          <w:rFonts w:hint="eastAsia" w:ascii="Times New Roman" w:hAnsi="Times New Roman" w:eastAsia="宋体"/>
          <w:b/>
          <w:color w:val="auto"/>
          <w:sz w:val="24"/>
          <w:szCs w:val="24"/>
          <w:highlight w:val="none"/>
        </w:rPr>
        <w:t>、技术条款响应正负偏离表</w:t>
      </w:r>
    </w:p>
    <w:p w14:paraId="350DD0E2">
      <w:pPr>
        <w:keepNext w:val="0"/>
        <w:keepLines w:val="0"/>
        <w:pageBreakBefore w:val="0"/>
        <w:widowControl w:val="0"/>
        <w:kinsoku/>
        <w:wordWrap/>
        <w:topLinePunct w:val="0"/>
        <w:autoSpaceDE/>
        <w:autoSpaceDN/>
        <w:bidi w:val="0"/>
        <w:spacing w:line="360" w:lineRule="auto"/>
        <w:ind w:firstLine="480"/>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仿宋"/>
          <w:color w:val="auto"/>
          <w:sz w:val="28"/>
          <w:szCs w:val="28"/>
          <w:highlight w:val="none"/>
        </w:rPr>
        <w:t>（</w:t>
      </w:r>
      <w:r>
        <w:rPr>
          <w:rFonts w:hint="eastAsia" w:ascii="Times New Roman" w:hAnsi="Times New Roman" w:eastAsia="宋体" w:cs="宋体"/>
          <w:color w:val="auto"/>
          <w:sz w:val="24"/>
          <w:szCs w:val="24"/>
          <w:highlight w:val="none"/>
        </w:rPr>
        <w:t>由响应人据实提交，表格不够自行添加）</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14:paraId="17641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noWrap w:val="0"/>
            <w:vAlign w:val="center"/>
          </w:tcPr>
          <w:p w14:paraId="5151AA6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序号</w:t>
            </w:r>
          </w:p>
        </w:tc>
        <w:tc>
          <w:tcPr>
            <w:tcW w:w="1357" w:type="dxa"/>
            <w:tcBorders>
              <w:top w:val="single" w:color="auto" w:sz="12" w:space="0"/>
              <w:left w:val="single" w:color="auto" w:sz="6" w:space="0"/>
              <w:bottom w:val="single" w:color="auto" w:sz="6" w:space="0"/>
              <w:right w:val="single" w:color="auto" w:sz="6" w:space="0"/>
            </w:tcBorders>
            <w:noWrap w:val="0"/>
            <w:vAlign w:val="center"/>
          </w:tcPr>
          <w:p w14:paraId="7EE186F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采购文件条目号</w:t>
            </w:r>
          </w:p>
        </w:tc>
        <w:tc>
          <w:tcPr>
            <w:tcW w:w="2302" w:type="dxa"/>
            <w:tcBorders>
              <w:top w:val="single" w:color="auto" w:sz="12" w:space="0"/>
              <w:left w:val="single" w:color="auto" w:sz="6" w:space="0"/>
              <w:bottom w:val="single" w:color="auto" w:sz="6" w:space="0"/>
              <w:right w:val="single" w:color="auto" w:sz="6" w:space="0"/>
            </w:tcBorders>
            <w:noWrap w:val="0"/>
            <w:vAlign w:val="center"/>
          </w:tcPr>
          <w:p w14:paraId="7943DDA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磋商文件要求</w:t>
            </w:r>
          </w:p>
        </w:tc>
        <w:tc>
          <w:tcPr>
            <w:tcW w:w="2720" w:type="dxa"/>
            <w:tcBorders>
              <w:top w:val="single" w:color="auto" w:sz="12" w:space="0"/>
              <w:left w:val="single" w:color="auto" w:sz="6" w:space="0"/>
              <w:bottom w:val="single" w:color="auto" w:sz="6" w:space="0"/>
              <w:right w:val="single" w:color="auto" w:sz="6" w:space="0"/>
            </w:tcBorders>
            <w:noWrap w:val="0"/>
            <w:vAlign w:val="center"/>
          </w:tcPr>
          <w:p w14:paraId="732E205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noWrap w:val="0"/>
            <w:vAlign w:val="center"/>
          </w:tcPr>
          <w:p w14:paraId="7A1C13B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偏离说明</w:t>
            </w:r>
          </w:p>
        </w:tc>
      </w:tr>
      <w:tr w14:paraId="382DE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2118AA7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01F8721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094AC53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025466F7">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5D53BB6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38168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6477E34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C5B9AE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256EEE0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0457216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7847E9E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6021E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7460CC9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4FB4539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141C279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38AB8F2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019F234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0BCA1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69457CE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2B8216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36E393A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7C705B5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45C2914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bl>
    <w:p w14:paraId="1489A23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注：</w:t>
      </w:r>
    </w:p>
    <w:p w14:paraId="3663099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1、响应人提交的响应文件中与磋商文件第三部分</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项目需求说明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中的技术部分的要求有不同时，应逐条填列在偏离表中，否则将认为响应人接受磋商文件的所有要求。完全响应部分不填。</w:t>
      </w:r>
    </w:p>
    <w:p w14:paraId="4DE403EF">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2、</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偏离说明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一栏选择</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正偏离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负偏离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进行填写。正偏离的确认和负偏离的是否</w:t>
      </w:r>
      <w:r>
        <w:rPr>
          <w:rFonts w:hint="eastAsia" w:ascii="Times New Roman" w:hAnsi="Times New Roman" w:eastAsia="宋体" w:cs="宋体"/>
          <w:color w:val="auto"/>
          <w:sz w:val="24"/>
          <w:szCs w:val="24"/>
          <w:highlight w:val="none"/>
          <w:lang w:eastAsia="zh-CN"/>
        </w:rPr>
        <w:t>响应</w:t>
      </w:r>
      <w:r>
        <w:rPr>
          <w:rFonts w:ascii="Times New Roman" w:hAnsi="Times New Roman" w:eastAsia="宋体" w:cs="宋体"/>
          <w:color w:val="auto"/>
          <w:sz w:val="24"/>
          <w:szCs w:val="24"/>
          <w:highlight w:val="none"/>
        </w:rPr>
        <w:t>磋商文件，经三分之二评委认定。</w:t>
      </w:r>
    </w:p>
    <w:p w14:paraId="5CB36D5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3、响应人如果虚假响应，将承担一切可能的风险。</w:t>
      </w:r>
    </w:p>
    <w:p w14:paraId="60163FF7">
      <w:pPr>
        <w:keepNext w:val="0"/>
        <w:keepLines w:val="0"/>
        <w:pageBreakBefore w:val="0"/>
        <w:widowControl w:val="0"/>
        <w:kinsoku/>
        <w:wordWrap/>
        <w:topLinePunct w:val="0"/>
        <w:autoSpaceDE/>
        <w:autoSpaceDN/>
        <w:bidi w:val="0"/>
        <w:spacing w:line="360" w:lineRule="auto"/>
        <w:ind w:firstLine="48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4、供应商若提供其他增值服务，可以在表中自行据实填写。</w:t>
      </w:r>
    </w:p>
    <w:p w14:paraId="42AC6E95">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186DF948">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4F4AEC50">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供应商名称（盖章）：</w:t>
      </w:r>
    </w:p>
    <w:p w14:paraId="08357CB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法人或授权委托人（签字或盖章）：</w:t>
      </w:r>
    </w:p>
    <w:p w14:paraId="1D26B32F">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日期：</w:t>
      </w:r>
    </w:p>
    <w:p w14:paraId="6057A296">
      <w:pPr>
        <w:keepNext w:val="0"/>
        <w:keepLines w:val="0"/>
        <w:pageBreakBefore w:val="0"/>
        <w:kinsoku/>
        <w:topLinePunct w:val="0"/>
        <w:autoSpaceDE/>
        <w:autoSpaceDN/>
        <w:bidi w:val="0"/>
        <w:spacing w:line="360" w:lineRule="auto"/>
        <w:rPr>
          <w:rFonts w:hint="eastAsia" w:ascii="Times New Roman" w:hAnsi="Times New Roman" w:eastAsia="宋体" w:cs="宋体"/>
          <w:b/>
          <w:color w:val="auto"/>
          <w:sz w:val="24"/>
          <w:szCs w:val="24"/>
          <w:highlight w:val="none"/>
          <w:lang w:val="en-US" w:eastAsia="zh-CN"/>
        </w:rPr>
      </w:pPr>
    </w:p>
    <w:p w14:paraId="2B9F3D50">
      <w:pPr>
        <w:keepNext w:val="0"/>
        <w:keepLines w:val="0"/>
        <w:pageBreakBefore w:val="0"/>
        <w:kinsoku/>
        <w:topLinePunct w:val="0"/>
        <w:autoSpaceDE/>
        <w:autoSpaceDN/>
        <w:bidi w:val="0"/>
        <w:spacing w:line="360" w:lineRule="auto"/>
        <w:rPr>
          <w:rFonts w:hint="eastAsia" w:ascii="Times New Roman" w:hAnsi="Times New Roman" w:eastAsia="宋体" w:cs="宋体"/>
          <w:b/>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br w:type="page"/>
      </w:r>
    </w:p>
    <w:p w14:paraId="67975B0E">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lang w:val="en-US" w:eastAsia="zh-CN"/>
        </w:rPr>
        <w:t>8</w:t>
      </w:r>
      <w:r>
        <w:rPr>
          <w:rFonts w:hint="eastAsia" w:ascii="Times New Roman" w:hAnsi="Times New Roman" w:eastAsia="宋体"/>
          <w:b/>
          <w:color w:val="auto"/>
          <w:sz w:val="24"/>
          <w:szCs w:val="24"/>
          <w:highlight w:val="none"/>
        </w:rPr>
        <w:t>、</w:t>
      </w:r>
      <w:r>
        <w:rPr>
          <w:rFonts w:hint="eastAsia" w:ascii="Times New Roman" w:hAnsi="Times New Roman" w:eastAsia="宋体"/>
          <w:b/>
          <w:color w:val="auto"/>
          <w:sz w:val="24"/>
          <w:szCs w:val="24"/>
          <w:highlight w:val="none"/>
          <w:lang w:eastAsia="zh-CN"/>
        </w:rPr>
        <w:t>商务</w:t>
      </w:r>
      <w:r>
        <w:rPr>
          <w:rFonts w:hint="eastAsia" w:ascii="Times New Roman" w:hAnsi="Times New Roman" w:eastAsia="宋体"/>
          <w:b/>
          <w:color w:val="auto"/>
          <w:sz w:val="24"/>
          <w:szCs w:val="24"/>
          <w:highlight w:val="none"/>
        </w:rPr>
        <w:t>条款响应正负偏离表</w:t>
      </w:r>
    </w:p>
    <w:p w14:paraId="4573D28C">
      <w:pPr>
        <w:keepNext w:val="0"/>
        <w:keepLines w:val="0"/>
        <w:pageBreakBefore w:val="0"/>
        <w:widowControl w:val="0"/>
        <w:kinsoku/>
        <w:wordWrap/>
        <w:topLinePunct w:val="0"/>
        <w:autoSpaceDE/>
        <w:autoSpaceDN/>
        <w:bidi w:val="0"/>
        <w:spacing w:line="360" w:lineRule="auto"/>
        <w:ind w:firstLine="480"/>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仿宋"/>
          <w:color w:val="auto"/>
          <w:sz w:val="28"/>
          <w:szCs w:val="28"/>
          <w:highlight w:val="none"/>
        </w:rPr>
        <w:t>（</w:t>
      </w:r>
      <w:r>
        <w:rPr>
          <w:rFonts w:hint="eastAsia" w:ascii="Times New Roman" w:hAnsi="Times New Roman" w:eastAsia="宋体" w:cs="宋体"/>
          <w:color w:val="auto"/>
          <w:sz w:val="24"/>
          <w:szCs w:val="24"/>
          <w:highlight w:val="none"/>
        </w:rPr>
        <w:t>由响应人据实提交，表格不够自行添加）</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14:paraId="13779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noWrap w:val="0"/>
            <w:vAlign w:val="center"/>
          </w:tcPr>
          <w:p w14:paraId="617B6C9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序号</w:t>
            </w:r>
          </w:p>
        </w:tc>
        <w:tc>
          <w:tcPr>
            <w:tcW w:w="1357" w:type="dxa"/>
            <w:tcBorders>
              <w:top w:val="single" w:color="auto" w:sz="12" w:space="0"/>
              <w:left w:val="single" w:color="auto" w:sz="6" w:space="0"/>
              <w:bottom w:val="single" w:color="auto" w:sz="6" w:space="0"/>
              <w:right w:val="single" w:color="auto" w:sz="6" w:space="0"/>
            </w:tcBorders>
            <w:noWrap w:val="0"/>
            <w:vAlign w:val="center"/>
          </w:tcPr>
          <w:p w14:paraId="65A181B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采购文件条目号</w:t>
            </w:r>
          </w:p>
        </w:tc>
        <w:tc>
          <w:tcPr>
            <w:tcW w:w="2302" w:type="dxa"/>
            <w:tcBorders>
              <w:top w:val="single" w:color="auto" w:sz="12" w:space="0"/>
              <w:left w:val="single" w:color="auto" w:sz="6" w:space="0"/>
              <w:bottom w:val="single" w:color="auto" w:sz="6" w:space="0"/>
              <w:right w:val="single" w:color="auto" w:sz="6" w:space="0"/>
            </w:tcBorders>
            <w:noWrap w:val="0"/>
            <w:vAlign w:val="center"/>
          </w:tcPr>
          <w:p w14:paraId="47D34F41">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磋商文件要求</w:t>
            </w:r>
          </w:p>
        </w:tc>
        <w:tc>
          <w:tcPr>
            <w:tcW w:w="2720" w:type="dxa"/>
            <w:tcBorders>
              <w:top w:val="single" w:color="auto" w:sz="12" w:space="0"/>
              <w:left w:val="single" w:color="auto" w:sz="6" w:space="0"/>
              <w:bottom w:val="single" w:color="auto" w:sz="6" w:space="0"/>
              <w:right w:val="single" w:color="auto" w:sz="6" w:space="0"/>
            </w:tcBorders>
            <w:noWrap w:val="0"/>
            <w:vAlign w:val="center"/>
          </w:tcPr>
          <w:p w14:paraId="7E86B8A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noWrap w:val="0"/>
            <w:vAlign w:val="center"/>
          </w:tcPr>
          <w:p w14:paraId="124BE64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偏离说明</w:t>
            </w:r>
          </w:p>
        </w:tc>
      </w:tr>
      <w:tr w14:paraId="5BBAD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4B7ACEE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2C142C0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48B6E0E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6ED2171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2CD48ED7">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2E08D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40F659C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677EFF0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0C8A068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60A0B48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03644D1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0BB87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019B8CB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62D2555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53C816B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6D9B230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00318E8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43FB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2B0D481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F71201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002F93CF">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1593D53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58EC8685">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bl>
    <w:p w14:paraId="5EAC848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注：</w:t>
      </w:r>
    </w:p>
    <w:p w14:paraId="2C5AD22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1、响应人提交的响应文件中与磋商文件第三部分</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项目需求说明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中的</w:t>
      </w:r>
      <w:r>
        <w:rPr>
          <w:rFonts w:hint="eastAsia" w:ascii="Times New Roman" w:hAnsi="Times New Roman" w:eastAsia="宋体" w:cs="宋体"/>
          <w:color w:val="auto"/>
          <w:sz w:val="24"/>
          <w:szCs w:val="24"/>
          <w:highlight w:val="none"/>
          <w:lang w:eastAsia="zh-CN"/>
        </w:rPr>
        <w:t>商务</w:t>
      </w:r>
      <w:r>
        <w:rPr>
          <w:rFonts w:ascii="Times New Roman" w:hAnsi="Times New Roman" w:eastAsia="宋体" w:cs="宋体"/>
          <w:color w:val="auto"/>
          <w:sz w:val="24"/>
          <w:szCs w:val="24"/>
          <w:highlight w:val="none"/>
        </w:rPr>
        <w:t>部分的要求有不同时，应逐条填列在偏离表中，否则将认为响应人接受磋商文件的所有要求。完全响应部分不填。</w:t>
      </w:r>
    </w:p>
    <w:p w14:paraId="1599803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2、</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偏离说明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一栏选择</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正偏离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负偏离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进行填写。正偏离的确认和负偏离的是否</w:t>
      </w:r>
      <w:r>
        <w:rPr>
          <w:rFonts w:hint="eastAsia" w:ascii="Times New Roman" w:hAnsi="Times New Roman" w:eastAsia="宋体" w:cs="宋体"/>
          <w:color w:val="auto"/>
          <w:sz w:val="24"/>
          <w:szCs w:val="24"/>
          <w:highlight w:val="none"/>
          <w:lang w:eastAsia="zh-CN"/>
        </w:rPr>
        <w:t>响应</w:t>
      </w:r>
      <w:r>
        <w:rPr>
          <w:rFonts w:ascii="Times New Roman" w:hAnsi="Times New Roman" w:eastAsia="宋体" w:cs="宋体"/>
          <w:color w:val="auto"/>
          <w:sz w:val="24"/>
          <w:szCs w:val="24"/>
          <w:highlight w:val="none"/>
        </w:rPr>
        <w:t>磋商文件，经三分之二评委认定。</w:t>
      </w:r>
    </w:p>
    <w:p w14:paraId="7C069CA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3、响应人如果虚假响应，将承担一切可能的风险。</w:t>
      </w:r>
    </w:p>
    <w:p w14:paraId="6F7A03AF">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4、供应商若提供其他增值服务，可以在表中自行据实填写。</w:t>
      </w:r>
    </w:p>
    <w:p w14:paraId="7C3CC3D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4A49A10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0C84F1D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供应商名称（盖章）：</w:t>
      </w:r>
    </w:p>
    <w:p w14:paraId="56BF4B5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法人或授权委托人（签字或盖章）：</w:t>
      </w:r>
    </w:p>
    <w:p w14:paraId="55F504B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日期：</w:t>
      </w:r>
    </w:p>
    <w:p w14:paraId="17FCEED4">
      <w:pPr>
        <w:rPr>
          <w:rFonts w:hint="eastAsia" w:ascii="Times New Roman" w:hAnsi="Times New Roman" w:eastAsia="宋体" w:cs="宋体"/>
          <w:b/>
          <w:color w:val="auto"/>
          <w:sz w:val="24"/>
          <w:szCs w:val="24"/>
          <w:highlight w:val="none"/>
          <w:lang w:val="en-US" w:eastAsia="zh-CN"/>
        </w:rPr>
      </w:pPr>
    </w:p>
    <w:p w14:paraId="58FB5A42">
      <w:pPr>
        <w:rPr>
          <w:rFonts w:hint="eastAsia" w:ascii="Times New Roman" w:hAnsi="Times New Roman" w:eastAsia="宋体" w:cs="宋体"/>
          <w:b/>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br w:type="page"/>
      </w:r>
    </w:p>
    <w:p w14:paraId="458D3AD3">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olor w:val="auto"/>
          <w:highlight w:val="none"/>
        </w:rPr>
      </w:pPr>
      <w:r>
        <w:rPr>
          <w:rFonts w:hint="eastAsia" w:ascii="Times New Roman" w:hAnsi="Times New Roman" w:eastAsia="宋体" w:cs="宋体"/>
          <w:b/>
          <w:color w:val="auto"/>
          <w:sz w:val="24"/>
          <w:szCs w:val="24"/>
          <w:highlight w:val="none"/>
          <w:lang w:val="en-US" w:eastAsia="zh-CN"/>
        </w:rPr>
        <w:t>9</w:t>
      </w:r>
      <w:r>
        <w:rPr>
          <w:rFonts w:hint="eastAsia" w:ascii="Times New Roman" w:hAnsi="Times New Roman" w:eastAsia="宋体" w:cs="宋体"/>
          <w:b/>
          <w:color w:val="auto"/>
          <w:sz w:val="24"/>
          <w:szCs w:val="24"/>
          <w:highlight w:val="none"/>
        </w:rPr>
        <w:t>、磋商响应报价表</w:t>
      </w:r>
    </w:p>
    <w:p w14:paraId="3CF2F475">
      <w:pPr>
        <w:keepNext w:val="0"/>
        <w:keepLines w:val="0"/>
        <w:pageBreakBefore w:val="0"/>
        <w:widowControl w:val="0"/>
        <w:kinsoku/>
        <w:wordWrap/>
        <w:topLinePunct w:val="0"/>
        <w:autoSpaceDE/>
        <w:autoSpaceDN/>
        <w:bidi w:val="0"/>
        <w:spacing w:line="360" w:lineRule="auto"/>
        <w:ind w:firstLine="241" w:firstLineChars="100"/>
        <w:textAlignment w:val="baseline"/>
        <w:rPr>
          <w:rFonts w:hint="eastAsia" w:ascii="Times New Roman" w:hAnsi="Times New Roman" w:eastAsia="宋体"/>
          <w:b/>
          <w:color w:val="auto"/>
          <w:sz w:val="24"/>
          <w:szCs w:val="24"/>
          <w:highlight w:val="none"/>
          <w:lang w:eastAsia="zh-CN"/>
        </w:rPr>
      </w:pPr>
      <w:r>
        <w:rPr>
          <w:rFonts w:hint="eastAsia" w:ascii="Times New Roman" w:hAnsi="Times New Roman" w:eastAsia="宋体"/>
          <w:b/>
          <w:color w:val="auto"/>
          <w:sz w:val="24"/>
          <w:szCs w:val="24"/>
          <w:highlight w:val="none"/>
        </w:rPr>
        <w:t>项目</w:t>
      </w:r>
      <w:r>
        <w:rPr>
          <w:rFonts w:ascii="Times New Roman" w:hAnsi="Times New Roman" w:eastAsia="宋体"/>
          <w:b/>
          <w:color w:val="auto"/>
          <w:sz w:val="24"/>
          <w:szCs w:val="24"/>
          <w:highlight w:val="none"/>
        </w:rPr>
        <w:t>名称：</w:t>
      </w:r>
      <w:r>
        <w:rPr>
          <w:rFonts w:hint="eastAsia" w:ascii="Times New Roman" w:hAnsi="Times New Roman" w:eastAsia="宋体"/>
          <w:color w:val="auto"/>
          <w:sz w:val="24"/>
          <w:szCs w:val="24"/>
          <w:highlight w:val="none"/>
          <w:lang w:eastAsia="zh-CN"/>
        </w:rPr>
        <w:t>南通市第三人民医院软件正版化项目（第二次）</w:t>
      </w:r>
    </w:p>
    <w:tbl>
      <w:tblPr>
        <w:tblStyle w:val="26"/>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180"/>
        <w:gridCol w:w="1945"/>
        <w:gridCol w:w="3855"/>
        <w:gridCol w:w="806"/>
      </w:tblGrid>
      <w:tr w14:paraId="621FB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61D7714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序号</w:t>
            </w:r>
          </w:p>
        </w:tc>
        <w:tc>
          <w:tcPr>
            <w:tcW w:w="2180" w:type="dxa"/>
            <w:tcBorders>
              <w:top w:val="single" w:color="auto" w:sz="4" w:space="0"/>
              <w:left w:val="single" w:color="auto" w:sz="4" w:space="0"/>
              <w:bottom w:val="single" w:color="auto" w:sz="4" w:space="0"/>
              <w:right w:val="single" w:color="auto" w:sz="4" w:space="0"/>
            </w:tcBorders>
            <w:vAlign w:val="center"/>
          </w:tcPr>
          <w:p w14:paraId="4F511CA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项目内容</w:t>
            </w:r>
          </w:p>
        </w:tc>
        <w:tc>
          <w:tcPr>
            <w:tcW w:w="1945" w:type="dxa"/>
            <w:tcBorders>
              <w:top w:val="single" w:color="auto" w:sz="4" w:space="0"/>
              <w:left w:val="single" w:color="auto" w:sz="4" w:space="0"/>
              <w:bottom w:val="single" w:color="auto" w:sz="4" w:space="0"/>
              <w:right w:val="single" w:color="auto" w:sz="4" w:space="0"/>
            </w:tcBorders>
            <w:vAlign w:val="center"/>
          </w:tcPr>
          <w:p w14:paraId="15FA82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14:paraId="3EBC2FE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磋商总报价</w:t>
            </w:r>
            <w:r>
              <w:rPr>
                <w:rFonts w:hint="eastAsia" w:ascii="Times New Roman" w:hAnsi="Times New Roman"/>
                <w:b/>
                <w:color w:val="auto"/>
                <w:sz w:val="24"/>
                <w:szCs w:val="24"/>
                <w:highlight w:val="none"/>
              </w:rPr>
              <w:t>（元）</w:t>
            </w:r>
          </w:p>
        </w:tc>
        <w:tc>
          <w:tcPr>
            <w:tcW w:w="806" w:type="dxa"/>
            <w:tcBorders>
              <w:top w:val="single" w:color="auto" w:sz="4" w:space="0"/>
              <w:left w:val="single" w:color="auto" w:sz="4" w:space="0"/>
              <w:bottom w:val="single" w:color="auto" w:sz="4" w:space="0"/>
              <w:right w:val="single" w:color="auto" w:sz="4" w:space="0"/>
            </w:tcBorders>
            <w:vAlign w:val="center"/>
          </w:tcPr>
          <w:p w14:paraId="52D847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备注</w:t>
            </w:r>
          </w:p>
        </w:tc>
      </w:tr>
      <w:tr w14:paraId="236E9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7E223D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1</w:t>
            </w:r>
          </w:p>
        </w:tc>
        <w:tc>
          <w:tcPr>
            <w:tcW w:w="2180" w:type="dxa"/>
            <w:vMerge w:val="restart"/>
            <w:tcBorders>
              <w:top w:val="single" w:color="auto" w:sz="4" w:space="0"/>
              <w:left w:val="single" w:color="auto" w:sz="4" w:space="0"/>
              <w:right w:val="single" w:color="auto" w:sz="4" w:space="0"/>
            </w:tcBorders>
            <w:vAlign w:val="center"/>
          </w:tcPr>
          <w:p w14:paraId="31FA80EF">
            <w:pPr>
              <w:keepNext w:val="0"/>
              <w:keepLines w:val="0"/>
              <w:pageBreakBefore w:val="0"/>
              <w:widowControl w:val="0"/>
              <w:kinsoku/>
              <w:wordWrap/>
              <w:topLinePunct w:val="0"/>
              <w:autoSpaceDE/>
              <w:autoSpaceDN/>
              <w:bidi w:val="0"/>
              <w:spacing w:line="360" w:lineRule="auto"/>
              <w:textAlignment w:val="baseline"/>
              <w:rPr>
                <w:rFonts w:hint="eastAsia" w:ascii="Times New Roman" w:hAnsi="Times New Roman" w:eastAsia="宋体"/>
                <w:b/>
                <w:bCs/>
                <w:color w:val="auto"/>
                <w:sz w:val="20"/>
                <w:szCs w:val="21"/>
                <w:highlight w:val="none"/>
                <w:lang w:eastAsia="zh-CN"/>
              </w:rPr>
            </w:pPr>
            <w:r>
              <w:rPr>
                <w:rFonts w:hint="eastAsia" w:ascii="Times New Roman" w:hAnsi="Times New Roman" w:eastAsia="宋体"/>
                <w:b/>
                <w:color w:val="auto"/>
                <w:sz w:val="24"/>
                <w:szCs w:val="24"/>
                <w:highlight w:val="none"/>
                <w:lang w:eastAsia="zh-CN"/>
              </w:rPr>
              <w:t>南通市第三人民医院软件正版化项目（第二次）</w:t>
            </w:r>
          </w:p>
        </w:tc>
        <w:tc>
          <w:tcPr>
            <w:tcW w:w="1945" w:type="dxa"/>
            <w:tcBorders>
              <w:top w:val="single" w:color="auto" w:sz="4" w:space="0"/>
              <w:left w:val="single" w:color="auto" w:sz="4" w:space="0"/>
              <w:bottom w:val="single" w:color="auto" w:sz="4" w:space="0"/>
              <w:right w:val="single" w:color="auto" w:sz="4" w:space="0"/>
            </w:tcBorders>
            <w:vAlign w:val="center"/>
          </w:tcPr>
          <w:p w14:paraId="68E8449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首次</w:t>
            </w:r>
            <w:r>
              <w:rPr>
                <w:rFonts w:ascii="Times New Roman" w:hAnsi="Times New Roman" w:eastAsia="宋体"/>
                <w:bCs/>
                <w:color w:val="auto"/>
                <w:sz w:val="24"/>
                <w:szCs w:val="24"/>
                <w:highlight w:val="none"/>
              </w:rPr>
              <w:t>报价</w:t>
            </w:r>
          </w:p>
        </w:tc>
        <w:tc>
          <w:tcPr>
            <w:tcW w:w="3855" w:type="dxa"/>
            <w:tcBorders>
              <w:top w:val="single" w:color="auto" w:sz="4" w:space="0"/>
              <w:left w:val="single" w:color="auto" w:sz="4" w:space="0"/>
              <w:bottom w:val="single" w:color="auto" w:sz="4" w:space="0"/>
              <w:right w:val="single" w:color="auto" w:sz="4" w:space="0"/>
            </w:tcBorders>
            <w:vAlign w:val="center"/>
          </w:tcPr>
          <w:p w14:paraId="572A8FB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大写（人民币）：</w:t>
            </w:r>
          </w:p>
          <w:p w14:paraId="14360A7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039D738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p>
        </w:tc>
      </w:tr>
      <w:tr w14:paraId="58DF0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2E83C4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2</w:t>
            </w:r>
          </w:p>
        </w:tc>
        <w:tc>
          <w:tcPr>
            <w:tcW w:w="2180" w:type="dxa"/>
            <w:vMerge w:val="continue"/>
            <w:tcBorders>
              <w:left w:val="single" w:color="auto" w:sz="4" w:space="0"/>
              <w:right w:val="single" w:color="auto" w:sz="4" w:space="0"/>
            </w:tcBorders>
            <w:vAlign w:val="center"/>
          </w:tcPr>
          <w:p w14:paraId="2FB6079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14:paraId="70C67EB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第二次</w:t>
            </w:r>
            <w:r>
              <w:rPr>
                <w:rFonts w:ascii="Times New Roman" w:hAnsi="Times New Roman" w:eastAsia="宋体"/>
                <w:bCs/>
                <w:color w:val="auto"/>
                <w:sz w:val="24"/>
                <w:szCs w:val="24"/>
                <w:highlight w:val="none"/>
              </w:rPr>
              <w:t>报价</w:t>
            </w:r>
            <w:r>
              <w:rPr>
                <w:rFonts w:hint="eastAsia" w:ascii="Times New Roman" w:hAnsi="Times New Roman" w:eastAsia="宋体"/>
                <w:bCs/>
                <w:color w:val="auto"/>
                <w:sz w:val="24"/>
                <w:szCs w:val="24"/>
                <w:highlight w:val="none"/>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14:paraId="4EA88764">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大写（人民币）：</w:t>
            </w:r>
          </w:p>
          <w:p w14:paraId="40BB3A81">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1651A4E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p>
        </w:tc>
      </w:tr>
    </w:tbl>
    <w:p w14:paraId="1AE0BD19">
      <w:pPr>
        <w:keepNext w:val="0"/>
        <w:keepLines w:val="0"/>
        <w:pageBreakBefore w:val="0"/>
        <w:widowControl w:val="0"/>
        <w:kinsoku/>
        <w:wordWrap/>
        <w:topLinePunct w:val="0"/>
        <w:autoSpaceDE/>
        <w:autoSpaceDN/>
        <w:bidi w:val="0"/>
        <w:spacing w:line="360" w:lineRule="auto"/>
        <w:ind w:firstLine="2640" w:firstLineChars="11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竞争性磋商响应单位：（加盖公章）</w:t>
      </w:r>
    </w:p>
    <w:p w14:paraId="22CDA91C">
      <w:pPr>
        <w:keepNext w:val="0"/>
        <w:keepLines w:val="0"/>
        <w:pageBreakBefore w:val="0"/>
        <w:widowControl w:val="0"/>
        <w:kinsoku/>
        <w:wordWrap/>
        <w:topLinePunct w:val="0"/>
        <w:autoSpaceDE/>
        <w:autoSpaceDN/>
        <w:bidi w:val="0"/>
        <w:spacing w:line="360" w:lineRule="auto"/>
        <w:ind w:firstLine="3480" w:firstLineChars="14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法定代表人：（签字或盖章）</w:t>
      </w:r>
    </w:p>
    <w:p w14:paraId="313797E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0"/>
          <w:highlight w:val="none"/>
        </w:rPr>
      </w:pPr>
    </w:p>
    <w:p w14:paraId="5E4CED0F">
      <w:pPr>
        <w:pStyle w:val="14"/>
        <w:keepNext w:val="0"/>
        <w:keepLines w:val="0"/>
        <w:pageBreakBefore w:val="0"/>
        <w:widowControl w:val="0"/>
        <w:kinsoku/>
        <w:wordWrap/>
        <w:topLinePunct w:val="0"/>
        <w:autoSpaceDE/>
        <w:autoSpaceDN/>
        <w:bidi w:val="0"/>
        <w:spacing w:line="360" w:lineRule="auto"/>
        <w:ind w:firstLine="5400" w:firstLineChars="225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color w:val="auto"/>
          <w:sz w:val="24"/>
          <w:szCs w:val="24"/>
          <w:highlight w:val="none"/>
        </w:rPr>
        <w:t>年月日</w:t>
      </w:r>
    </w:p>
    <w:p w14:paraId="5938DC34">
      <w:pPr>
        <w:pStyle w:val="14"/>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p>
    <w:p w14:paraId="1195DA9F">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p>
    <w:p w14:paraId="2D7A0F9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注：</w:t>
      </w:r>
    </w:p>
    <w:p w14:paraId="7A591F9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（1）</w:t>
      </w:r>
      <w:r>
        <w:rPr>
          <w:rFonts w:ascii="Times New Roman" w:hAnsi="Times New Roman" w:eastAsia="宋体"/>
          <w:color w:val="auto"/>
          <w:sz w:val="24"/>
          <w:szCs w:val="24"/>
          <w:highlight w:val="none"/>
        </w:rPr>
        <w:t>本表</w:t>
      </w:r>
      <w:r>
        <w:rPr>
          <w:rFonts w:hint="eastAsia" w:ascii="Times New Roman" w:hAnsi="Times New Roman" w:eastAsia="宋体"/>
          <w:color w:val="auto"/>
          <w:sz w:val="24"/>
          <w:szCs w:val="24"/>
          <w:highlight w:val="none"/>
        </w:rPr>
        <w:t>为格式表</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不得自行改动，必须提供</w:t>
      </w:r>
      <w:r>
        <w:rPr>
          <w:rFonts w:ascii="Times New Roman" w:hAnsi="Times New Roman" w:eastAsia="宋体"/>
          <w:color w:val="auto"/>
          <w:sz w:val="24"/>
          <w:szCs w:val="24"/>
          <w:highlight w:val="none"/>
        </w:rPr>
        <w:t>。</w:t>
      </w:r>
    </w:p>
    <w:p w14:paraId="1023D42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（2）磋商报价的总价中应包含：完成本项目所需的一切费用，</w:t>
      </w:r>
      <w:r>
        <w:rPr>
          <w:rFonts w:hint="eastAsia" w:ascii="Times New Roman" w:hAnsi="Times New Roman" w:eastAsia="宋体"/>
          <w:bCs/>
          <w:color w:val="auto"/>
          <w:sz w:val="24"/>
          <w:szCs w:val="24"/>
          <w:highlight w:val="none"/>
          <w:lang w:eastAsia="zh-CN"/>
        </w:rPr>
        <w:t>包含但不限于</w:t>
      </w:r>
      <w:r>
        <w:rPr>
          <w:rFonts w:hint="eastAsia" w:ascii="Times New Roman" w:hAnsi="Times New Roman" w:eastAsia="宋体"/>
          <w:bCs/>
          <w:color w:val="auto"/>
          <w:sz w:val="24"/>
          <w:szCs w:val="24"/>
          <w:highlight w:val="none"/>
        </w:rPr>
        <w:t>成本、利润、税金、开办费、政策性调整风险费等的所有费用；</w:t>
      </w:r>
      <w:r>
        <w:rPr>
          <w:rFonts w:hint="eastAsia" w:ascii="Times New Roman" w:hAnsi="Times New Roman" w:eastAsia="宋体" w:cs="宋体"/>
          <w:color w:val="auto"/>
          <w:sz w:val="24"/>
          <w:szCs w:val="24"/>
          <w:highlight w:val="none"/>
        </w:rPr>
        <w:t>辅材费、</w:t>
      </w:r>
      <w:r>
        <w:rPr>
          <w:rFonts w:hint="eastAsia" w:ascii="Times New Roman" w:hAnsi="Times New Roman" w:eastAsia="宋体"/>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cs="宋体"/>
          <w:color w:val="auto"/>
          <w:sz w:val="24"/>
          <w:szCs w:val="24"/>
          <w:highlight w:val="none"/>
        </w:rPr>
        <w:t>。同时，报价也包含了合同履行过程中可能发生的一切风险。</w:t>
      </w:r>
    </w:p>
    <w:p w14:paraId="39B82C5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（3）第二次报价将在开标现场填写，响应文件密封提交时只需填写磋商报价总计（首次）。</w:t>
      </w:r>
      <w:r>
        <w:rPr>
          <w:rFonts w:hint="eastAsia" w:ascii="Times New Roman" w:hAnsi="Times New Roman" w:eastAsia="宋体"/>
          <w:b/>
          <w:bCs/>
          <w:color w:val="auto"/>
          <w:sz w:val="24"/>
          <w:szCs w:val="24"/>
          <w:highlight w:val="none"/>
        </w:rPr>
        <w:t>报价明细表总价金额</w:t>
      </w:r>
      <w:r>
        <w:rPr>
          <w:rFonts w:hint="eastAsia" w:ascii="Times New Roman" w:hAnsi="Times New Roman" w:eastAsia="宋体"/>
          <w:b/>
          <w:color w:val="auto"/>
          <w:sz w:val="24"/>
          <w:szCs w:val="24"/>
          <w:highlight w:val="none"/>
        </w:rPr>
        <w:t>应当与首次报价表金额相等，且第二次报价时，磋商响应报价明细表按同比例下浮。</w:t>
      </w:r>
    </w:p>
    <w:p w14:paraId="0D8137EC">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7B2CABD5">
      <w:pPr>
        <w:keepNext w:val="0"/>
        <w:keepLines w:val="0"/>
        <w:pageBreakBefore w:val="0"/>
        <w:widowControl w:val="0"/>
        <w:numPr>
          <w:ilvl w:val="0"/>
          <w:numId w:val="0"/>
        </w:numPr>
        <w:kinsoku/>
        <w:wordWrap/>
        <w:topLinePunct w:val="0"/>
        <w:autoSpaceDE/>
        <w:autoSpaceDN/>
        <w:bidi w:val="0"/>
        <w:spacing w:line="360" w:lineRule="auto"/>
        <w:jc w:val="center"/>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10、</w:t>
      </w:r>
      <w:r>
        <w:rPr>
          <w:rFonts w:hint="eastAsia" w:ascii="Times New Roman" w:hAnsi="Times New Roman" w:eastAsia="宋体" w:cs="宋体"/>
          <w:b/>
          <w:color w:val="auto"/>
          <w:sz w:val="24"/>
          <w:szCs w:val="24"/>
          <w:highlight w:val="none"/>
        </w:rPr>
        <w:t>磋商响应报价明细表</w:t>
      </w:r>
    </w:p>
    <w:p w14:paraId="6BA8BFFC">
      <w:pPr>
        <w:keepNext w:val="0"/>
        <w:keepLines w:val="0"/>
        <w:pageBreakBefore w:val="0"/>
        <w:kinsoku/>
        <w:topLinePunct w:val="0"/>
        <w:autoSpaceDE/>
        <w:autoSpaceDN/>
        <w:bidi w:val="0"/>
        <w:spacing w:line="360" w:lineRule="auto"/>
        <w:rPr>
          <w:rFonts w:hint="eastAsia" w:ascii="Times New Roman" w:hAnsi="Times New Roman" w:eastAsia="宋体"/>
          <w:bCs/>
          <w:color w:val="auto"/>
          <w:sz w:val="24"/>
          <w:szCs w:val="24"/>
          <w:highlight w:val="none"/>
        </w:rPr>
      </w:pPr>
      <w:r>
        <w:rPr>
          <w:rFonts w:hint="eastAsia"/>
          <w:color w:val="auto"/>
          <w:sz w:val="24"/>
          <w:szCs w:val="24"/>
          <w:highlight w:val="none"/>
        </w:rPr>
        <w:t>项目名称：</w:t>
      </w:r>
      <w:r>
        <w:rPr>
          <w:rFonts w:hint="eastAsia"/>
          <w:color w:val="auto"/>
          <w:sz w:val="24"/>
          <w:szCs w:val="24"/>
          <w:highlight w:val="none"/>
          <w:lang w:eastAsia="zh-CN"/>
        </w:rPr>
        <w:t>南通市第三人民医院软件正版化项目（第二次）</w:t>
      </w:r>
    </w:p>
    <w:tbl>
      <w:tblPr>
        <w:tblStyle w:val="2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712"/>
        <w:gridCol w:w="1230"/>
        <w:gridCol w:w="1275"/>
        <w:gridCol w:w="1575"/>
        <w:gridCol w:w="1646"/>
      </w:tblGrid>
      <w:tr w14:paraId="7012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20" w:type="dxa"/>
            <w:tcBorders>
              <w:tl2br w:val="nil"/>
              <w:tr2bl w:val="nil"/>
            </w:tcBorders>
            <w:noWrap w:val="0"/>
            <w:vAlign w:val="center"/>
          </w:tcPr>
          <w:p w14:paraId="70FF239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712" w:type="dxa"/>
            <w:tcBorders>
              <w:tl2br w:val="nil"/>
              <w:tr2bl w:val="nil"/>
            </w:tcBorders>
            <w:noWrap w:val="0"/>
            <w:vAlign w:val="center"/>
          </w:tcPr>
          <w:p w14:paraId="430D15A7">
            <w:pPr>
              <w:keepNext w:val="0"/>
              <w:keepLines w:val="0"/>
              <w:pageBreakBefore w:val="0"/>
              <w:widowControl/>
              <w:kinsoku/>
              <w:topLinePunct w:val="0"/>
              <w:autoSpaceDE/>
              <w:autoSpaceDN/>
              <w:bidi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zh-CN"/>
              </w:rPr>
              <w:t>产品</w:t>
            </w:r>
            <w:r>
              <w:rPr>
                <w:rFonts w:hint="eastAsia" w:ascii="宋体" w:hAnsi="宋体" w:eastAsia="宋体" w:cs="宋体"/>
                <w:b w:val="0"/>
                <w:bCs w:val="0"/>
                <w:color w:val="auto"/>
                <w:kern w:val="0"/>
                <w:sz w:val="24"/>
                <w:szCs w:val="24"/>
                <w:highlight w:val="none"/>
                <w:lang w:val="en-US" w:eastAsia="zh-CN"/>
              </w:rPr>
              <w:t>/服务</w:t>
            </w:r>
            <w:r>
              <w:rPr>
                <w:rFonts w:hint="eastAsia" w:ascii="宋体" w:hAnsi="宋体" w:eastAsia="宋体" w:cs="宋体"/>
                <w:b w:val="0"/>
                <w:bCs w:val="0"/>
                <w:color w:val="auto"/>
                <w:kern w:val="0"/>
                <w:sz w:val="24"/>
                <w:szCs w:val="24"/>
                <w:highlight w:val="none"/>
                <w:lang w:val="zh-CN"/>
              </w:rPr>
              <w:t>名称</w:t>
            </w:r>
          </w:p>
        </w:tc>
        <w:tc>
          <w:tcPr>
            <w:tcW w:w="1230" w:type="dxa"/>
            <w:tcBorders>
              <w:tl2br w:val="nil"/>
              <w:tr2bl w:val="nil"/>
            </w:tcBorders>
            <w:noWrap w:val="0"/>
            <w:vAlign w:val="center"/>
          </w:tcPr>
          <w:p w14:paraId="0F485324">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单位</w:t>
            </w:r>
          </w:p>
        </w:tc>
        <w:tc>
          <w:tcPr>
            <w:tcW w:w="1275" w:type="dxa"/>
            <w:tcBorders>
              <w:tl2br w:val="nil"/>
              <w:tr2bl w:val="nil"/>
            </w:tcBorders>
            <w:noWrap w:val="0"/>
            <w:vAlign w:val="center"/>
          </w:tcPr>
          <w:p w14:paraId="2C176D3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575" w:type="dxa"/>
            <w:tcBorders>
              <w:tl2br w:val="nil"/>
              <w:tr2bl w:val="nil"/>
            </w:tcBorders>
            <w:noWrap w:val="0"/>
            <w:vAlign w:val="center"/>
          </w:tcPr>
          <w:p w14:paraId="71C1BBD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综合</w:t>
            </w:r>
            <w:r>
              <w:rPr>
                <w:rFonts w:hint="eastAsia" w:ascii="宋体" w:hAnsi="宋体" w:eastAsia="宋体" w:cs="宋体"/>
                <w:color w:val="auto"/>
                <w:kern w:val="0"/>
                <w:sz w:val="24"/>
                <w:szCs w:val="24"/>
                <w:highlight w:val="none"/>
              </w:rPr>
              <w:t>单价</w:t>
            </w:r>
          </w:p>
        </w:tc>
        <w:tc>
          <w:tcPr>
            <w:tcW w:w="1646" w:type="dxa"/>
            <w:tcBorders>
              <w:tl2br w:val="nil"/>
              <w:tr2bl w:val="nil"/>
            </w:tcBorders>
            <w:noWrap w:val="0"/>
            <w:vAlign w:val="center"/>
          </w:tcPr>
          <w:p w14:paraId="120ABB64">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综合合价</w:t>
            </w:r>
          </w:p>
        </w:tc>
      </w:tr>
      <w:tr w14:paraId="2AA3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tcBorders>
              <w:tl2br w:val="nil"/>
              <w:tr2bl w:val="nil"/>
            </w:tcBorders>
            <w:noWrap w:val="0"/>
            <w:vAlign w:val="center"/>
          </w:tcPr>
          <w:p w14:paraId="60E445D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712" w:type="dxa"/>
            <w:tcBorders>
              <w:tl2br w:val="nil"/>
              <w:tr2bl w:val="nil"/>
            </w:tcBorders>
            <w:noWrap w:val="0"/>
            <w:vAlign w:val="center"/>
          </w:tcPr>
          <w:p w14:paraId="1755C123">
            <w:pPr>
              <w:keepNext w:val="0"/>
              <w:keepLines w:val="0"/>
              <w:pageBreakBefore w:val="0"/>
              <w:kinsoku/>
              <w:topLinePunct w:val="0"/>
              <w:autoSpaceDE/>
              <w:autoSpaceDN/>
              <w:bidi w:val="0"/>
              <w:spacing w:line="360" w:lineRule="auto"/>
              <w:jc w:val="center"/>
              <w:rPr>
                <w:rFonts w:hint="eastAsia" w:ascii="宋体" w:hAnsi="宋体" w:eastAsia="宋体" w:cs="宋体"/>
                <w:b w:val="0"/>
                <w:bCs w:val="0"/>
                <w:color w:val="auto"/>
                <w:kern w:val="0"/>
                <w:sz w:val="24"/>
                <w:szCs w:val="24"/>
                <w:highlight w:val="none"/>
              </w:rPr>
            </w:pPr>
          </w:p>
        </w:tc>
        <w:tc>
          <w:tcPr>
            <w:tcW w:w="1230" w:type="dxa"/>
            <w:tcBorders>
              <w:tl2br w:val="nil"/>
              <w:tr2bl w:val="nil"/>
            </w:tcBorders>
            <w:noWrap w:val="0"/>
            <w:vAlign w:val="center"/>
          </w:tcPr>
          <w:p w14:paraId="76BA0E59">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7A13A85D">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14BDDDEF">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402C018B">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3B6F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20" w:type="dxa"/>
            <w:tcBorders>
              <w:tl2br w:val="nil"/>
              <w:tr2bl w:val="nil"/>
            </w:tcBorders>
            <w:noWrap w:val="0"/>
            <w:vAlign w:val="center"/>
          </w:tcPr>
          <w:p w14:paraId="1F6A1F09">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712" w:type="dxa"/>
            <w:tcBorders>
              <w:tl2br w:val="nil"/>
              <w:tr2bl w:val="nil"/>
            </w:tcBorders>
            <w:noWrap w:val="0"/>
            <w:vAlign w:val="center"/>
          </w:tcPr>
          <w:p w14:paraId="6BE116F5">
            <w:pPr>
              <w:keepNext w:val="0"/>
              <w:keepLines w:val="0"/>
              <w:pageBreakBefore w:val="0"/>
              <w:kinsoku/>
              <w:topLinePunct w:val="0"/>
              <w:autoSpaceDE/>
              <w:autoSpaceDN/>
              <w:bidi w:val="0"/>
              <w:spacing w:line="360" w:lineRule="auto"/>
              <w:jc w:val="center"/>
              <w:rPr>
                <w:rFonts w:hint="eastAsia" w:ascii="宋体" w:hAnsi="宋体" w:eastAsia="宋体" w:cs="宋体"/>
                <w:b w:val="0"/>
                <w:bCs w:val="0"/>
                <w:color w:val="auto"/>
                <w:kern w:val="0"/>
                <w:sz w:val="24"/>
                <w:szCs w:val="24"/>
                <w:highlight w:val="none"/>
              </w:rPr>
            </w:pPr>
          </w:p>
        </w:tc>
        <w:tc>
          <w:tcPr>
            <w:tcW w:w="1230" w:type="dxa"/>
            <w:tcBorders>
              <w:tl2br w:val="nil"/>
              <w:tr2bl w:val="nil"/>
            </w:tcBorders>
            <w:noWrap w:val="0"/>
            <w:vAlign w:val="center"/>
          </w:tcPr>
          <w:p w14:paraId="40922C01">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7E1DDA84">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5104DAB7">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12911C4D">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2E46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tcBorders>
              <w:tl2br w:val="nil"/>
              <w:tr2bl w:val="nil"/>
            </w:tcBorders>
            <w:noWrap w:val="0"/>
            <w:vAlign w:val="center"/>
          </w:tcPr>
          <w:p w14:paraId="51F30241">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712" w:type="dxa"/>
            <w:tcBorders>
              <w:tl2br w:val="nil"/>
              <w:tr2bl w:val="nil"/>
            </w:tcBorders>
            <w:noWrap w:val="0"/>
            <w:vAlign w:val="center"/>
          </w:tcPr>
          <w:p w14:paraId="03E31404">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30" w:type="dxa"/>
            <w:tcBorders>
              <w:tl2br w:val="nil"/>
              <w:tr2bl w:val="nil"/>
            </w:tcBorders>
            <w:noWrap w:val="0"/>
            <w:vAlign w:val="center"/>
          </w:tcPr>
          <w:p w14:paraId="090CAE38">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468B9914">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384BD0A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6510F18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7EC9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20" w:type="dxa"/>
            <w:tcBorders>
              <w:tl2br w:val="nil"/>
              <w:tr2bl w:val="nil"/>
            </w:tcBorders>
            <w:noWrap w:val="0"/>
            <w:vAlign w:val="center"/>
          </w:tcPr>
          <w:p w14:paraId="10D1F21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2712" w:type="dxa"/>
            <w:tcBorders>
              <w:tl2br w:val="nil"/>
              <w:tr2bl w:val="nil"/>
            </w:tcBorders>
            <w:noWrap w:val="0"/>
            <w:vAlign w:val="center"/>
          </w:tcPr>
          <w:p w14:paraId="73F96C59">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30" w:type="dxa"/>
            <w:tcBorders>
              <w:tl2br w:val="nil"/>
              <w:tr2bl w:val="nil"/>
            </w:tcBorders>
            <w:noWrap w:val="0"/>
            <w:vAlign w:val="center"/>
          </w:tcPr>
          <w:p w14:paraId="5E9A7045">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64796A97">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3EB27B53">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694A0C13">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6149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20" w:type="dxa"/>
            <w:tcBorders>
              <w:tl2br w:val="nil"/>
              <w:tr2bl w:val="nil"/>
            </w:tcBorders>
            <w:noWrap w:val="0"/>
            <w:vAlign w:val="center"/>
          </w:tcPr>
          <w:p w14:paraId="52ECFD93">
            <w:pPr>
              <w:keepNext w:val="0"/>
              <w:keepLines w:val="0"/>
              <w:pageBreakBefore w:val="0"/>
              <w:widowControl/>
              <w:kinsoku/>
              <w:topLinePunct w:val="0"/>
              <w:autoSpaceDE/>
              <w:autoSpaceDN/>
              <w:bidi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2712" w:type="dxa"/>
            <w:tcBorders>
              <w:tl2br w:val="nil"/>
              <w:tr2bl w:val="nil"/>
            </w:tcBorders>
            <w:noWrap w:val="0"/>
            <w:vAlign w:val="center"/>
          </w:tcPr>
          <w:p w14:paraId="597418A7">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30" w:type="dxa"/>
            <w:tcBorders>
              <w:tl2br w:val="nil"/>
              <w:tr2bl w:val="nil"/>
            </w:tcBorders>
            <w:noWrap w:val="0"/>
            <w:vAlign w:val="center"/>
          </w:tcPr>
          <w:p w14:paraId="449A4F42">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030ADBCB">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5B107A77">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2B6FF71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1C3B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458" w:type="dxa"/>
            <w:gridSpan w:val="6"/>
            <w:tcBorders>
              <w:tl2br w:val="nil"/>
              <w:tr2bl w:val="nil"/>
            </w:tcBorders>
            <w:noWrap w:val="0"/>
            <w:vAlign w:val="center"/>
          </w:tcPr>
          <w:p w14:paraId="2445A840">
            <w:pPr>
              <w:keepNext w:val="0"/>
              <w:keepLines w:val="0"/>
              <w:pageBreakBefore w:val="0"/>
              <w:widowControl/>
              <w:kinsoku/>
              <w:topLinePunct w:val="0"/>
              <w:autoSpaceDE/>
              <w:autoSpaceDN/>
              <w:bidi w:val="0"/>
              <w:spacing w:line="360" w:lineRule="auto"/>
              <w:jc w:val="left"/>
              <w:rPr>
                <w:rFonts w:hint="eastAsia" w:ascii="宋体" w:hAnsi="宋体" w:eastAsia="宋体" w:cs="宋体"/>
                <w:color w:val="auto"/>
                <w:kern w:val="0"/>
                <w:sz w:val="24"/>
                <w:szCs w:val="24"/>
                <w:highlight w:val="none"/>
              </w:rPr>
            </w:pPr>
            <w:r>
              <w:rPr>
                <w:rFonts w:eastAsia="宋体"/>
                <w:color w:val="auto"/>
                <w:sz w:val="24"/>
                <w:szCs w:val="24"/>
                <w:highlight w:val="none"/>
              </w:rPr>
              <w:t>合计：¥</w:t>
            </w:r>
            <w:r>
              <w:rPr>
                <w:rFonts w:eastAsia="宋体"/>
                <w:color w:val="auto"/>
                <w:sz w:val="24"/>
                <w:szCs w:val="24"/>
                <w:highlight w:val="none"/>
                <w:u w:val="single"/>
              </w:rPr>
              <w:t xml:space="preserve">          </w:t>
            </w:r>
            <w:r>
              <w:rPr>
                <w:rFonts w:eastAsia="宋体"/>
                <w:color w:val="auto"/>
                <w:sz w:val="24"/>
                <w:szCs w:val="24"/>
                <w:highlight w:val="none"/>
              </w:rPr>
              <w:t>元，大写：人民币</w:t>
            </w:r>
            <w:r>
              <w:rPr>
                <w:rFonts w:eastAsia="宋体"/>
                <w:color w:val="auto"/>
                <w:sz w:val="24"/>
                <w:szCs w:val="24"/>
                <w:highlight w:val="none"/>
                <w:u w:val="single"/>
              </w:rPr>
              <w:t xml:space="preserve">                    </w:t>
            </w:r>
            <w:r>
              <w:rPr>
                <w:rFonts w:eastAsia="宋体"/>
                <w:color w:val="auto"/>
                <w:sz w:val="24"/>
                <w:szCs w:val="24"/>
                <w:highlight w:val="none"/>
              </w:rPr>
              <w:t xml:space="preserve"> 。</w:t>
            </w:r>
          </w:p>
        </w:tc>
      </w:tr>
    </w:tbl>
    <w:p w14:paraId="37161961">
      <w:pPr>
        <w:pStyle w:val="41"/>
        <w:keepNext w:val="0"/>
        <w:keepLines w:val="0"/>
        <w:pageBreakBefore w:val="0"/>
        <w:kinsoku/>
        <w:topLinePunct w:val="0"/>
        <w:autoSpaceDE/>
        <w:autoSpaceDN/>
        <w:bidi w:val="0"/>
        <w:spacing w:line="360" w:lineRule="auto"/>
        <w:rPr>
          <w:rFonts w:hint="eastAsia"/>
          <w:color w:val="auto"/>
          <w:highlight w:val="none"/>
        </w:rPr>
      </w:pPr>
    </w:p>
    <w:p w14:paraId="01C87B3B">
      <w:pPr>
        <w:keepNext w:val="0"/>
        <w:keepLines w:val="0"/>
        <w:pageBreakBefore w:val="0"/>
        <w:kinsoku/>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本表式，可根据实际报价的明细需要自行添加。</w:t>
      </w:r>
    </w:p>
    <w:p w14:paraId="57E63507">
      <w:pPr>
        <w:keepNext w:val="0"/>
        <w:keepLines w:val="0"/>
        <w:pageBreakBefore w:val="0"/>
        <w:kinsoku/>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总报价（以人民币计价）应</w:t>
      </w:r>
      <w:r>
        <w:rPr>
          <w:rFonts w:hint="eastAsia" w:ascii="Times New Roman" w:hAnsi="Times New Roman" w:eastAsia="宋体"/>
          <w:bCs/>
          <w:color w:val="auto"/>
          <w:sz w:val="24"/>
          <w:szCs w:val="24"/>
          <w:highlight w:val="none"/>
          <w:lang w:eastAsia="zh-CN"/>
        </w:rPr>
        <w:t>包含但不限于</w:t>
      </w:r>
      <w:r>
        <w:rPr>
          <w:rFonts w:hint="eastAsia" w:ascii="Times New Roman" w:hAnsi="Times New Roman" w:eastAsia="宋体"/>
          <w:bCs/>
          <w:color w:val="auto"/>
          <w:sz w:val="24"/>
          <w:szCs w:val="24"/>
          <w:highlight w:val="none"/>
        </w:rPr>
        <w:t>成本、利润、税金、开办费、政策性调整风险费等的所有费用；</w:t>
      </w:r>
      <w:r>
        <w:rPr>
          <w:rFonts w:hint="eastAsia" w:ascii="Times New Roman" w:hAnsi="Times New Roman" w:eastAsia="宋体" w:cs="宋体"/>
          <w:color w:val="auto"/>
          <w:sz w:val="24"/>
          <w:szCs w:val="24"/>
          <w:highlight w:val="none"/>
        </w:rPr>
        <w:t>辅材费、</w:t>
      </w:r>
      <w:r>
        <w:rPr>
          <w:rFonts w:hint="eastAsia" w:ascii="Times New Roman" w:hAnsi="Times New Roman" w:eastAsia="宋体"/>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bCs/>
          <w:color w:val="auto"/>
          <w:sz w:val="24"/>
          <w:szCs w:val="24"/>
          <w:highlight w:val="none"/>
          <w:lang w:eastAsia="zh-CN"/>
        </w:rPr>
        <w:t>；</w:t>
      </w:r>
      <w:r>
        <w:rPr>
          <w:rFonts w:hint="eastAsia" w:ascii="宋体" w:hAnsi="宋体" w:eastAsia="宋体" w:cs="宋体"/>
          <w:color w:val="auto"/>
          <w:sz w:val="24"/>
          <w:szCs w:val="24"/>
          <w:highlight w:val="none"/>
        </w:rPr>
        <w:t>即本项目采购的货物交付使用前的所有费用以及免费质保期内的服务费用等包含响应</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文件采购要求的所有费用。</w:t>
      </w:r>
      <w:r>
        <w:rPr>
          <w:rFonts w:hint="eastAsia" w:ascii="Times New Roman" w:hAnsi="Times New Roman" w:eastAsia="宋体" w:cs="宋体"/>
          <w:color w:val="auto"/>
          <w:sz w:val="24"/>
          <w:szCs w:val="24"/>
          <w:highlight w:val="none"/>
        </w:rPr>
        <w:t>同时，报价也包含了合同履行过程中可能发生的一切风险</w:t>
      </w:r>
      <w:r>
        <w:rPr>
          <w:rFonts w:hint="eastAsia" w:ascii="Times New Roman" w:hAnsi="Times New Roman" w:eastAsia="宋体" w:cs="宋体"/>
          <w:color w:val="auto"/>
          <w:sz w:val="24"/>
          <w:szCs w:val="24"/>
          <w:highlight w:val="none"/>
          <w:lang w:eastAsia="zh-CN"/>
        </w:rPr>
        <w:t>。</w:t>
      </w:r>
    </w:p>
    <w:p w14:paraId="243B4004">
      <w:pPr>
        <w:keepNext w:val="0"/>
        <w:keepLines w:val="0"/>
        <w:pageBreakBefore w:val="0"/>
        <w:tabs>
          <w:tab w:val="left" w:pos="720"/>
        </w:tabs>
        <w:kinsoku/>
        <w:topLinePunct w:val="0"/>
        <w:autoSpaceDE/>
        <w:autoSpaceDN/>
        <w:bidi w:val="0"/>
        <w:snapToGrid w:val="0"/>
        <w:spacing w:line="360" w:lineRule="auto"/>
        <w:jc w:val="left"/>
        <w:rPr>
          <w:rFonts w:hint="eastAsia" w:ascii="宋体" w:hAnsi="宋体" w:eastAsia="宋体" w:cs="宋体"/>
          <w:bCs/>
          <w:color w:val="auto"/>
          <w:sz w:val="24"/>
          <w:szCs w:val="24"/>
          <w:highlight w:val="none"/>
        </w:rPr>
      </w:pPr>
    </w:p>
    <w:p w14:paraId="0D46D2CA">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供应商（盖章）：</w:t>
      </w:r>
      <w:r>
        <w:rPr>
          <w:rFonts w:hint="eastAsia" w:ascii="宋体" w:hAnsi="宋体" w:eastAsia="宋体" w:cs="宋体"/>
          <w:bCs/>
          <w:color w:val="auto"/>
          <w:sz w:val="24"/>
          <w:szCs w:val="24"/>
          <w:highlight w:val="none"/>
          <w:u w:val="single"/>
        </w:rPr>
        <w:t xml:space="preserve">                        </w:t>
      </w:r>
    </w:p>
    <w:p w14:paraId="7EA4319C">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供应商代表签字或盖章：</w:t>
      </w:r>
      <w:r>
        <w:rPr>
          <w:rFonts w:hint="eastAsia" w:ascii="宋体" w:hAnsi="宋体" w:eastAsia="宋体" w:cs="宋体"/>
          <w:bCs/>
          <w:color w:val="auto"/>
          <w:sz w:val="24"/>
          <w:szCs w:val="24"/>
          <w:highlight w:val="none"/>
          <w:u w:val="single"/>
        </w:rPr>
        <w:t xml:space="preserve">                       </w:t>
      </w:r>
    </w:p>
    <w:p w14:paraId="19D027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 xml:space="preserve">日  期： </w:t>
      </w:r>
      <w:r>
        <w:rPr>
          <w:rFonts w:hint="eastAsia" w:ascii="宋体" w:hAnsi="宋体" w:eastAsia="宋体" w:cs="宋体"/>
          <w:bCs/>
          <w:color w:val="auto"/>
          <w:sz w:val="24"/>
          <w:szCs w:val="24"/>
          <w:highlight w:val="none"/>
          <w:u w:val="single"/>
        </w:rPr>
        <w:t xml:space="preserve">                            </w:t>
      </w:r>
    </w:p>
    <w:sectPr>
      <w:footerReference r:id="rId3" w:type="default"/>
      <w:pgSz w:w="11906" w:h="16838"/>
      <w:pgMar w:top="1418" w:right="1588" w:bottom="1418" w:left="1588"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E2BF">
    <w:pPr>
      <w:pStyle w:val="18"/>
      <w:jc w:val="center"/>
    </w:pPr>
    <w:r>
      <w:fldChar w:fldCharType="begin"/>
    </w:r>
    <w:r>
      <w:instrText xml:space="preserve"> PAGE   \* MERGEFORMAT </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D3170"/>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15C4CBF"/>
    <w:rsid w:val="02117D9A"/>
    <w:rsid w:val="0232372D"/>
    <w:rsid w:val="02F619EC"/>
    <w:rsid w:val="032341C5"/>
    <w:rsid w:val="03A83A42"/>
    <w:rsid w:val="03E379A2"/>
    <w:rsid w:val="041E22FB"/>
    <w:rsid w:val="0475016D"/>
    <w:rsid w:val="05D721F2"/>
    <w:rsid w:val="0A2543E3"/>
    <w:rsid w:val="0A2830AC"/>
    <w:rsid w:val="0A5D1C72"/>
    <w:rsid w:val="0A727010"/>
    <w:rsid w:val="0B462863"/>
    <w:rsid w:val="0BE5207C"/>
    <w:rsid w:val="0CD77836"/>
    <w:rsid w:val="0DEA1BCB"/>
    <w:rsid w:val="0E6C4D9F"/>
    <w:rsid w:val="0FB9436E"/>
    <w:rsid w:val="10E548CC"/>
    <w:rsid w:val="10EF15A7"/>
    <w:rsid w:val="113F1AEE"/>
    <w:rsid w:val="115B540E"/>
    <w:rsid w:val="133E3283"/>
    <w:rsid w:val="134F24D1"/>
    <w:rsid w:val="136D4745"/>
    <w:rsid w:val="139A7BF0"/>
    <w:rsid w:val="14EA7E81"/>
    <w:rsid w:val="151421A8"/>
    <w:rsid w:val="15253159"/>
    <w:rsid w:val="155F3D53"/>
    <w:rsid w:val="157C1E87"/>
    <w:rsid w:val="159468C1"/>
    <w:rsid w:val="15C2217E"/>
    <w:rsid w:val="15D63BCC"/>
    <w:rsid w:val="15F6320B"/>
    <w:rsid w:val="16593DC0"/>
    <w:rsid w:val="17B30762"/>
    <w:rsid w:val="17BF578A"/>
    <w:rsid w:val="17F32EE2"/>
    <w:rsid w:val="18117D55"/>
    <w:rsid w:val="18263421"/>
    <w:rsid w:val="197565C6"/>
    <w:rsid w:val="19DB2D10"/>
    <w:rsid w:val="1A18186E"/>
    <w:rsid w:val="1B4F155D"/>
    <w:rsid w:val="1C503906"/>
    <w:rsid w:val="1DE432AC"/>
    <w:rsid w:val="1E163551"/>
    <w:rsid w:val="1F0C4400"/>
    <w:rsid w:val="1F8E2FE8"/>
    <w:rsid w:val="203A77C4"/>
    <w:rsid w:val="20436AF3"/>
    <w:rsid w:val="21450846"/>
    <w:rsid w:val="21B43D41"/>
    <w:rsid w:val="224E366C"/>
    <w:rsid w:val="22D402FC"/>
    <w:rsid w:val="2335285B"/>
    <w:rsid w:val="252E676F"/>
    <w:rsid w:val="255B09A2"/>
    <w:rsid w:val="272A0E68"/>
    <w:rsid w:val="274D0351"/>
    <w:rsid w:val="27DE22E9"/>
    <w:rsid w:val="286D194F"/>
    <w:rsid w:val="28885E11"/>
    <w:rsid w:val="28F53B49"/>
    <w:rsid w:val="293735A9"/>
    <w:rsid w:val="29C12658"/>
    <w:rsid w:val="29C97C61"/>
    <w:rsid w:val="2B9F25ED"/>
    <w:rsid w:val="2BD6675A"/>
    <w:rsid w:val="2C5A6960"/>
    <w:rsid w:val="2C6E5A4D"/>
    <w:rsid w:val="2C9A004F"/>
    <w:rsid w:val="2CA1696C"/>
    <w:rsid w:val="2CC8252C"/>
    <w:rsid w:val="2CCE28B7"/>
    <w:rsid w:val="2D0068BE"/>
    <w:rsid w:val="2D404F0C"/>
    <w:rsid w:val="2D547055"/>
    <w:rsid w:val="2DD824AC"/>
    <w:rsid w:val="2E672C1C"/>
    <w:rsid w:val="2F837332"/>
    <w:rsid w:val="30A401EF"/>
    <w:rsid w:val="322E658F"/>
    <w:rsid w:val="32347FCD"/>
    <w:rsid w:val="32593CE2"/>
    <w:rsid w:val="32D85BE7"/>
    <w:rsid w:val="32F8518F"/>
    <w:rsid w:val="3329796B"/>
    <w:rsid w:val="34700A2F"/>
    <w:rsid w:val="358D4A67"/>
    <w:rsid w:val="35CA34F6"/>
    <w:rsid w:val="35CB4299"/>
    <w:rsid w:val="35EB3C95"/>
    <w:rsid w:val="35EB4569"/>
    <w:rsid w:val="36161DCC"/>
    <w:rsid w:val="366867C2"/>
    <w:rsid w:val="38594DC9"/>
    <w:rsid w:val="388D2136"/>
    <w:rsid w:val="39083E3F"/>
    <w:rsid w:val="396E11A3"/>
    <w:rsid w:val="3A3E6499"/>
    <w:rsid w:val="3AAB1168"/>
    <w:rsid w:val="3AEC4906"/>
    <w:rsid w:val="3C2C44E9"/>
    <w:rsid w:val="3CA14B12"/>
    <w:rsid w:val="3DA05553"/>
    <w:rsid w:val="3DEA6E32"/>
    <w:rsid w:val="3DF31169"/>
    <w:rsid w:val="3E246184"/>
    <w:rsid w:val="3ED2396D"/>
    <w:rsid w:val="3EF274D2"/>
    <w:rsid w:val="3EFD4AE8"/>
    <w:rsid w:val="3F13120C"/>
    <w:rsid w:val="3F696AF2"/>
    <w:rsid w:val="3FBC10C9"/>
    <w:rsid w:val="401C35B7"/>
    <w:rsid w:val="40423602"/>
    <w:rsid w:val="4080750E"/>
    <w:rsid w:val="42024E02"/>
    <w:rsid w:val="420764B5"/>
    <w:rsid w:val="422B5D33"/>
    <w:rsid w:val="425D1C65"/>
    <w:rsid w:val="42672AE3"/>
    <w:rsid w:val="440A15A0"/>
    <w:rsid w:val="442B555F"/>
    <w:rsid w:val="448734FB"/>
    <w:rsid w:val="44966A2D"/>
    <w:rsid w:val="44972DA7"/>
    <w:rsid w:val="4561465A"/>
    <w:rsid w:val="45983BDF"/>
    <w:rsid w:val="459E47A7"/>
    <w:rsid w:val="46CD07F9"/>
    <w:rsid w:val="4759558F"/>
    <w:rsid w:val="47693BAF"/>
    <w:rsid w:val="482C45B3"/>
    <w:rsid w:val="486E3206"/>
    <w:rsid w:val="48FE0BAD"/>
    <w:rsid w:val="49727F94"/>
    <w:rsid w:val="49DC3654"/>
    <w:rsid w:val="4A324B44"/>
    <w:rsid w:val="4ACD5C5A"/>
    <w:rsid w:val="4B840262"/>
    <w:rsid w:val="4BE75A2A"/>
    <w:rsid w:val="4C510AF8"/>
    <w:rsid w:val="4E46218F"/>
    <w:rsid w:val="4EBA73A4"/>
    <w:rsid w:val="4FA520EA"/>
    <w:rsid w:val="4FC139BA"/>
    <w:rsid w:val="502E6EFE"/>
    <w:rsid w:val="5035522F"/>
    <w:rsid w:val="515F3303"/>
    <w:rsid w:val="5291359A"/>
    <w:rsid w:val="53A23A14"/>
    <w:rsid w:val="54120D39"/>
    <w:rsid w:val="542A6B2C"/>
    <w:rsid w:val="544F229E"/>
    <w:rsid w:val="55385BD7"/>
    <w:rsid w:val="56400311"/>
    <w:rsid w:val="56E5418D"/>
    <w:rsid w:val="584274DB"/>
    <w:rsid w:val="585A4B1B"/>
    <w:rsid w:val="599B1D79"/>
    <w:rsid w:val="5A183261"/>
    <w:rsid w:val="5A4C01FF"/>
    <w:rsid w:val="5A8F2AFB"/>
    <w:rsid w:val="5A91106B"/>
    <w:rsid w:val="5AD25AC4"/>
    <w:rsid w:val="5B02520C"/>
    <w:rsid w:val="5BD838E7"/>
    <w:rsid w:val="5BD91F04"/>
    <w:rsid w:val="5C855626"/>
    <w:rsid w:val="5EE01142"/>
    <w:rsid w:val="5FBD3A12"/>
    <w:rsid w:val="60032852"/>
    <w:rsid w:val="60480F23"/>
    <w:rsid w:val="61946007"/>
    <w:rsid w:val="61BD1D0E"/>
    <w:rsid w:val="633D4A8B"/>
    <w:rsid w:val="63810588"/>
    <w:rsid w:val="640E3A9F"/>
    <w:rsid w:val="64191A38"/>
    <w:rsid w:val="64475451"/>
    <w:rsid w:val="64ED5461"/>
    <w:rsid w:val="64FB113D"/>
    <w:rsid w:val="658F2EA6"/>
    <w:rsid w:val="659772A6"/>
    <w:rsid w:val="6742329A"/>
    <w:rsid w:val="675F7512"/>
    <w:rsid w:val="68A31FFC"/>
    <w:rsid w:val="68A84122"/>
    <w:rsid w:val="68AD6BF3"/>
    <w:rsid w:val="696E2E35"/>
    <w:rsid w:val="6A585565"/>
    <w:rsid w:val="6A721EA2"/>
    <w:rsid w:val="6AB53F04"/>
    <w:rsid w:val="6AE32C8B"/>
    <w:rsid w:val="6C1132E7"/>
    <w:rsid w:val="6D600F61"/>
    <w:rsid w:val="6E9616EC"/>
    <w:rsid w:val="6F3A3EBA"/>
    <w:rsid w:val="6FA871F7"/>
    <w:rsid w:val="700D0A38"/>
    <w:rsid w:val="70541114"/>
    <w:rsid w:val="707A560C"/>
    <w:rsid w:val="70B054D2"/>
    <w:rsid w:val="712D5BF6"/>
    <w:rsid w:val="71AD12AD"/>
    <w:rsid w:val="71EA5EF0"/>
    <w:rsid w:val="720C2DA1"/>
    <w:rsid w:val="72BF1288"/>
    <w:rsid w:val="73392B0C"/>
    <w:rsid w:val="74266144"/>
    <w:rsid w:val="74493C73"/>
    <w:rsid w:val="75363ACC"/>
    <w:rsid w:val="75652356"/>
    <w:rsid w:val="75F25BCF"/>
    <w:rsid w:val="762F76F3"/>
    <w:rsid w:val="76372D83"/>
    <w:rsid w:val="76876CD5"/>
    <w:rsid w:val="76B22FC1"/>
    <w:rsid w:val="76DF48EB"/>
    <w:rsid w:val="787C19CC"/>
    <w:rsid w:val="79173AC2"/>
    <w:rsid w:val="79565D1A"/>
    <w:rsid w:val="798C7570"/>
    <w:rsid w:val="7A0B19CB"/>
    <w:rsid w:val="7B0A1E99"/>
    <w:rsid w:val="7B85422E"/>
    <w:rsid w:val="7C1A2204"/>
    <w:rsid w:val="7C462374"/>
    <w:rsid w:val="7D5A2578"/>
    <w:rsid w:val="7DA178F7"/>
    <w:rsid w:val="7DFB122D"/>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autoRedefine/>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3">
    <w:name w:val="heading 2"/>
    <w:basedOn w:val="1"/>
    <w:next w:val="1"/>
    <w:link w:val="50"/>
    <w:autoRedefine/>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4">
    <w:name w:val="heading 4"/>
    <w:basedOn w:val="1"/>
    <w:next w:val="1"/>
    <w:autoRedefine/>
    <w:semiHidden/>
    <w:qFormat/>
    <w:uiPriority w:val="9"/>
    <w:pPr>
      <w:keepNext/>
      <w:keepLines/>
      <w:spacing w:before="280" w:after="290" w:line="372" w:lineRule="auto"/>
      <w:outlineLvl w:val="3"/>
    </w:pPr>
    <w:rPr>
      <w:rFonts w:ascii="Cambria" w:hAnsi="Cambria"/>
      <w:b/>
      <w:bCs/>
      <w:sz w:val="28"/>
      <w:szCs w:val="28"/>
    </w:rPr>
  </w:style>
  <w:style w:type="paragraph" w:styleId="5">
    <w:name w:val="heading 7"/>
    <w:basedOn w:val="1"/>
    <w:next w:val="1"/>
    <w:unhideWhenUsed/>
    <w:qFormat/>
    <w:uiPriority w:val="9"/>
    <w:pPr>
      <w:keepNext/>
      <w:keepLines/>
      <w:spacing w:before="240" w:after="64" w:line="320" w:lineRule="auto"/>
      <w:outlineLvl w:val="6"/>
    </w:pPr>
    <w:rPr>
      <w:b/>
      <w:bCs/>
      <w:sz w:val="24"/>
      <w:szCs w:val="24"/>
    </w:rPr>
  </w:style>
  <w:style w:type="paragraph" w:styleId="6">
    <w:name w:val="heading 8"/>
    <w:basedOn w:val="1"/>
    <w:next w:val="1"/>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48"/>
    <w:autoRedefine/>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8">
    <w:name w:val="Document Map"/>
    <w:basedOn w:val="1"/>
    <w:link w:val="51"/>
    <w:autoRedefine/>
    <w:semiHidden/>
    <w:unhideWhenUsed/>
    <w:qFormat/>
    <w:uiPriority w:val="99"/>
    <w:rPr>
      <w:rFonts w:ascii="宋体" w:eastAsia="宋体"/>
      <w:sz w:val="18"/>
      <w:szCs w:val="18"/>
    </w:rPr>
  </w:style>
  <w:style w:type="paragraph" w:styleId="9">
    <w:name w:val="toa heading"/>
    <w:basedOn w:val="1"/>
    <w:next w:val="1"/>
    <w:autoRedefine/>
    <w:qFormat/>
    <w:uiPriority w:val="0"/>
    <w:rPr>
      <w:rFonts w:ascii="Arial" w:hAnsi="Arial" w:eastAsia="宋体" w:cs="Times New Roman"/>
      <w:sz w:val="24"/>
      <w:szCs w:val="21"/>
    </w:rPr>
  </w:style>
  <w:style w:type="paragraph" w:styleId="10">
    <w:name w:val="annotation text"/>
    <w:basedOn w:val="1"/>
    <w:link w:val="54"/>
    <w:autoRedefine/>
    <w:semiHidden/>
    <w:unhideWhenUsed/>
    <w:qFormat/>
    <w:uiPriority w:val="99"/>
    <w:pPr>
      <w:jc w:val="left"/>
    </w:pPr>
  </w:style>
  <w:style w:type="paragraph" w:styleId="11">
    <w:name w:val="Body Text"/>
    <w:basedOn w:val="1"/>
    <w:autoRedefine/>
    <w:qFormat/>
    <w:uiPriority w:val="0"/>
    <w:rPr>
      <w:rFonts w:ascii="楷体_GB2312" w:hAnsi="Arial" w:eastAsia="楷体_GB2312"/>
      <w:sz w:val="28"/>
      <w:szCs w:val="28"/>
    </w:rPr>
  </w:style>
  <w:style w:type="paragraph" w:styleId="12">
    <w:name w:val="Body Text Indent"/>
    <w:basedOn w:val="1"/>
    <w:next w:val="13"/>
    <w:autoRedefine/>
    <w:semiHidden/>
    <w:unhideWhenUsed/>
    <w:qFormat/>
    <w:uiPriority w:val="99"/>
    <w:pPr>
      <w:spacing w:after="120"/>
      <w:ind w:left="420" w:leftChars="200"/>
    </w:pPr>
  </w:style>
  <w:style w:type="paragraph" w:styleId="13">
    <w:name w:val="envelope return"/>
    <w:basedOn w:val="1"/>
    <w:autoRedefine/>
    <w:unhideWhenUsed/>
    <w:qFormat/>
    <w:uiPriority w:val="99"/>
    <w:pPr>
      <w:snapToGrid w:val="0"/>
    </w:pPr>
    <w:rPr>
      <w:rFonts w:ascii="Arial" w:hAnsi="Arial" w:eastAsia="楷体_GB2312" w:cs="Times New Roman"/>
      <w:sz w:val="26"/>
      <w:szCs w:val="20"/>
    </w:rPr>
  </w:style>
  <w:style w:type="paragraph" w:styleId="14">
    <w:name w:val="index 4"/>
    <w:basedOn w:val="1"/>
    <w:next w:val="1"/>
    <w:autoRedefine/>
    <w:qFormat/>
    <w:uiPriority w:val="0"/>
    <w:pPr>
      <w:ind w:left="1260"/>
    </w:pPr>
    <w:rPr>
      <w:rFonts w:ascii="Calibri" w:hAnsi="Calibri" w:eastAsia="宋体" w:cs="Times New Roman"/>
      <w:szCs w:val="20"/>
    </w:rPr>
  </w:style>
  <w:style w:type="paragraph" w:styleId="15">
    <w:name w:val="toc 3"/>
    <w:basedOn w:val="1"/>
    <w:next w:val="1"/>
    <w:autoRedefine/>
    <w:qFormat/>
    <w:uiPriority w:val="0"/>
    <w:pPr>
      <w:ind w:left="840" w:leftChars="400"/>
    </w:pPr>
    <w:rPr>
      <w:rFonts w:ascii="Calibri" w:hAnsi="Calibri" w:eastAsia="宋体" w:cs="Times New Roman"/>
      <w:szCs w:val="20"/>
    </w:rPr>
  </w:style>
  <w:style w:type="paragraph" w:styleId="16">
    <w:name w:val="Plain Text"/>
    <w:basedOn w:val="1"/>
    <w:link w:val="60"/>
    <w:autoRedefine/>
    <w:qFormat/>
    <w:uiPriority w:val="99"/>
    <w:rPr>
      <w:rFonts w:ascii="宋体" w:hAnsi="Courier New" w:eastAsia="宋体" w:cs="Times New Roman"/>
      <w:szCs w:val="20"/>
    </w:rPr>
  </w:style>
  <w:style w:type="paragraph" w:styleId="17">
    <w:name w:val="Balloon Text"/>
    <w:basedOn w:val="1"/>
    <w:link w:val="53"/>
    <w:autoRedefine/>
    <w:semiHidden/>
    <w:unhideWhenUsed/>
    <w:qFormat/>
    <w:uiPriority w:val="99"/>
    <w:rPr>
      <w:sz w:val="18"/>
      <w:szCs w:val="18"/>
    </w:rPr>
  </w:style>
  <w:style w:type="paragraph" w:styleId="18">
    <w:name w:val="footer"/>
    <w:basedOn w:val="1"/>
    <w:link w:val="47"/>
    <w:autoRedefine/>
    <w:unhideWhenUsed/>
    <w:qFormat/>
    <w:uiPriority w:val="99"/>
    <w:pPr>
      <w:tabs>
        <w:tab w:val="center" w:pos="4153"/>
        <w:tab w:val="right" w:pos="8306"/>
      </w:tabs>
      <w:snapToGrid w:val="0"/>
      <w:jc w:val="left"/>
    </w:pPr>
    <w:rPr>
      <w:sz w:val="18"/>
      <w:szCs w:val="18"/>
    </w:rPr>
  </w:style>
  <w:style w:type="paragraph" w:styleId="19">
    <w:name w:val="header"/>
    <w:basedOn w:val="1"/>
    <w:link w:val="4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pPr>
      <w:adjustRightInd w:val="0"/>
      <w:jc w:val="left"/>
      <w:textAlignment w:val="baseline"/>
    </w:pPr>
    <w:rPr>
      <w:rFonts w:ascii="Calibri" w:hAnsi="Calibri" w:eastAsia="楷体_GB2312" w:cs="Times New Roman"/>
      <w:sz w:val="24"/>
      <w:szCs w:val="20"/>
    </w:rPr>
  </w:style>
  <w:style w:type="paragraph" w:styleId="21">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22">
    <w:name w:val="Title"/>
    <w:basedOn w:val="1"/>
    <w:next w:val="1"/>
    <w:autoRedefine/>
    <w:qFormat/>
    <w:uiPriority w:val="10"/>
    <w:pPr>
      <w:autoSpaceDE/>
      <w:autoSpaceDN/>
      <w:adjustRightInd/>
      <w:spacing w:before="240" w:beforeLines="0" w:after="60" w:afterLines="0" w:line="360" w:lineRule="auto"/>
      <w:ind w:firstLine="643"/>
      <w:jc w:val="center"/>
      <w:outlineLvl w:val="0"/>
    </w:pPr>
    <w:rPr>
      <w:rFonts w:hint="eastAsia" w:ascii="Cambria" w:hAnsi="Cambria" w:cs="Times New Roman"/>
      <w:b/>
      <w:kern w:val="2"/>
      <w:sz w:val="44"/>
      <w:szCs w:val="32"/>
    </w:rPr>
  </w:style>
  <w:style w:type="paragraph" w:styleId="23">
    <w:name w:val="annotation subject"/>
    <w:basedOn w:val="10"/>
    <w:next w:val="10"/>
    <w:link w:val="55"/>
    <w:autoRedefine/>
    <w:semiHidden/>
    <w:unhideWhenUsed/>
    <w:qFormat/>
    <w:uiPriority w:val="99"/>
    <w:rPr>
      <w:b/>
      <w:bCs/>
    </w:rPr>
  </w:style>
  <w:style w:type="paragraph" w:styleId="24">
    <w:name w:val="Body Text First Indent"/>
    <w:basedOn w:val="1"/>
    <w:next w:val="1"/>
    <w:autoRedefine/>
    <w:unhideWhenUsed/>
    <w:qFormat/>
    <w:uiPriority w:val="99"/>
    <w:pPr>
      <w:ind w:firstLine="420" w:firstLineChars="100"/>
    </w:pPr>
  </w:style>
  <w:style w:type="paragraph" w:styleId="25">
    <w:name w:val="Body Text First Indent 2"/>
    <w:basedOn w:val="12"/>
    <w:autoRedefine/>
    <w:unhideWhenUsed/>
    <w:qFormat/>
    <w:uiPriority w:val="99"/>
    <w:pPr>
      <w:ind w:firstLine="420" w:firstLineChars="200"/>
    </w:pPr>
  </w:style>
  <w:style w:type="table" w:styleId="27">
    <w:name w:val="Table Grid"/>
    <w:basedOn w:val="2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FollowedHyperlink"/>
    <w:basedOn w:val="28"/>
    <w:autoRedefine/>
    <w:semiHidden/>
    <w:unhideWhenUsed/>
    <w:qFormat/>
    <w:uiPriority w:val="99"/>
    <w:rPr>
      <w:color w:val="800080"/>
      <w:u w:val="none"/>
    </w:rPr>
  </w:style>
  <w:style w:type="character" w:styleId="30">
    <w:name w:val="HTML Definition"/>
    <w:basedOn w:val="28"/>
    <w:autoRedefine/>
    <w:semiHidden/>
    <w:unhideWhenUsed/>
    <w:qFormat/>
    <w:uiPriority w:val="99"/>
  </w:style>
  <w:style w:type="character" w:styleId="31">
    <w:name w:val="HTML Typewriter"/>
    <w:basedOn w:val="28"/>
    <w:autoRedefine/>
    <w:semiHidden/>
    <w:unhideWhenUsed/>
    <w:qFormat/>
    <w:uiPriority w:val="99"/>
    <w:rPr>
      <w:rFonts w:ascii="monospace" w:hAnsi="monospace" w:eastAsia="monospace" w:cs="monospace"/>
      <w:sz w:val="20"/>
    </w:rPr>
  </w:style>
  <w:style w:type="character" w:styleId="32">
    <w:name w:val="HTML Acronym"/>
    <w:basedOn w:val="28"/>
    <w:autoRedefine/>
    <w:semiHidden/>
    <w:unhideWhenUsed/>
    <w:qFormat/>
    <w:uiPriority w:val="99"/>
  </w:style>
  <w:style w:type="character" w:styleId="33">
    <w:name w:val="HTML Variable"/>
    <w:basedOn w:val="28"/>
    <w:autoRedefine/>
    <w:semiHidden/>
    <w:unhideWhenUsed/>
    <w:qFormat/>
    <w:uiPriority w:val="99"/>
  </w:style>
  <w:style w:type="character" w:styleId="34">
    <w:name w:val="Hyperlink"/>
    <w:basedOn w:val="28"/>
    <w:autoRedefine/>
    <w:unhideWhenUsed/>
    <w:qFormat/>
    <w:uiPriority w:val="99"/>
    <w:rPr>
      <w:color w:val="0000FF" w:themeColor="hyperlink"/>
      <w:u w:val="single"/>
      <w14:textFill>
        <w14:solidFill>
          <w14:schemeClr w14:val="hlink"/>
        </w14:solidFill>
      </w14:textFill>
    </w:rPr>
  </w:style>
  <w:style w:type="character" w:styleId="35">
    <w:name w:val="HTML Code"/>
    <w:basedOn w:val="28"/>
    <w:autoRedefine/>
    <w:semiHidden/>
    <w:unhideWhenUsed/>
    <w:qFormat/>
    <w:uiPriority w:val="99"/>
    <w:rPr>
      <w:rFonts w:hint="default" w:ascii="monospace" w:hAnsi="monospace" w:eastAsia="monospace" w:cs="monospace"/>
      <w:sz w:val="20"/>
    </w:rPr>
  </w:style>
  <w:style w:type="character" w:styleId="36">
    <w:name w:val="annotation reference"/>
    <w:basedOn w:val="28"/>
    <w:autoRedefine/>
    <w:semiHidden/>
    <w:unhideWhenUsed/>
    <w:qFormat/>
    <w:uiPriority w:val="99"/>
    <w:rPr>
      <w:sz w:val="21"/>
      <w:szCs w:val="21"/>
    </w:rPr>
  </w:style>
  <w:style w:type="character" w:styleId="37">
    <w:name w:val="HTML Cite"/>
    <w:basedOn w:val="28"/>
    <w:autoRedefine/>
    <w:semiHidden/>
    <w:unhideWhenUsed/>
    <w:qFormat/>
    <w:uiPriority w:val="99"/>
  </w:style>
  <w:style w:type="character" w:styleId="38">
    <w:name w:val="HTML Keyboard"/>
    <w:basedOn w:val="28"/>
    <w:autoRedefine/>
    <w:semiHidden/>
    <w:unhideWhenUsed/>
    <w:qFormat/>
    <w:uiPriority w:val="99"/>
    <w:rPr>
      <w:rFonts w:hint="default" w:ascii="monospace" w:hAnsi="monospace" w:eastAsia="monospace" w:cs="monospace"/>
      <w:sz w:val="20"/>
    </w:rPr>
  </w:style>
  <w:style w:type="character" w:styleId="39">
    <w:name w:val="HTML Sample"/>
    <w:basedOn w:val="28"/>
    <w:autoRedefine/>
    <w:semiHidden/>
    <w:unhideWhenUsed/>
    <w:qFormat/>
    <w:uiPriority w:val="99"/>
    <w:rPr>
      <w:rFonts w:hint="default" w:ascii="monospace" w:hAnsi="monospace" w:eastAsia="monospace" w:cs="monospace"/>
    </w:rPr>
  </w:style>
  <w:style w:type="paragraph" w:customStyle="1" w:styleId="40">
    <w:name w:val="首行缩进"/>
    <w:basedOn w:val="1"/>
    <w:qFormat/>
    <w:uiPriority w:val="0"/>
    <w:pPr>
      <w:ind w:firstLine="480" w:firstLineChars="200"/>
    </w:pPr>
    <w:rPr>
      <w:lang w:val="zh-CN"/>
    </w:rPr>
  </w:style>
  <w:style w:type="paragraph" w:customStyle="1" w:styleId="41">
    <w:name w:val="无间隔1"/>
    <w:qFormat/>
    <w:uiPriority w:val="0"/>
    <w:pPr>
      <w:spacing w:line="300" w:lineRule="auto"/>
    </w:pPr>
    <w:rPr>
      <w:rFonts w:ascii="Times New Roman" w:hAnsi="Times New Roman" w:eastAsia="华文仿宋" w:cs="Times New Roman"/>
      <w:sz w:val="24"/>
      <w:szCs w:val="24"/>
      <w:lang w:val="en-US" w:eastAsia="zh-CN" w:bidi="ar-SA"/>
    </w:rPr>
  </w:style>
  <w:style w:type="paragraph" w:customStyle="1" w:styleId="42">
    <w:name w:val="Default"/>
    <w:autoRedefine/>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paragraph" w:customStyle="1" w:styleId="43">
    <w:name w:val="正文首行缩进 21"/>
    <w:basedOn w:val="12"/>
    <w:autoRedefine/>
    <w:unhideWhenUsed/>
    <w:qFormat/>
    <w:uiPriority w:val="0"/>
    <w:pPr>
      <w:ind w:firstLine="420"/>
    </w:pPr>
    <w:rPr>
      <w:lang w:val="en-US" w:eastAsia="en-US"/>
    </w:rPr>
  </w:style>
  <w:style w:type="paragraph" w:customStyle="1" w:styleId="44">
    <w:name w:val="正文文本缩进1"/>
    <w:basedOn w:val="1"/>
    <w:next w:val="45"/>
    <w:autoRedefine/>
    <w:unhideWhenUsed/>
    <w:qFormat/>
    <w:uiPriority w:val="0"/>
    <w:pPr>
      <w:spacing w:after="120"/>
      <w:ind w:left="420"/>
    </w:pPr>
    <w:rPr>
      <w:rFonts w:ascii="Times New Roman" w:hAnsi="Times New Roman"/>
      <w:lang w:val="en-US" w:eastAsia="en-US"/>
    </w:rPr>
  </w:style>
  <w:style w:type="paragraph" w:customStyle="1" w:styleId="45">
    <w:name w:val="寄信人地址1"/>
    <w:basedOn w:val="1"/>
    <w:autoRedefine/>
    <w:unhideWhenUsed/>
    <w:qFormat/>
    <w:uiPriority w:val="99"/>
    <w:rPr>
      <w:rFonts w:ascii="Arial" w:hAnsi="Arial" w:eastAsia="楷体_GB2312" w:cs="Times New Roman"/>
      <w:sz w:val="26"/>
      <w:szCs w:val="20"/>
    </w:rPr>
  </w:style>
  <w:style w:type="character" w:customStyle="1" w:styleId="46">
    <w:name w:val="页眉 Char"/>
    <w:basedOn w:val="28"/>
    <w:link w:val="19"/>
    <w:autoRedefine/>
    <w:qFormat/>
    <w:uiPriority w:val="99"/>
    <w:rPr>
      <w:sz w:val="18"/>
      <w:szCs w:val="18"/>
    </w:rPr>
  </w:style>
  <w:style w:type="character" w:customStyle="1" w:styleId="47">
    <w:name w:val="页脚 Char"/>
    <w:basedOn w:val="28"/>
    <w:link w:val="18"/>
    <w:autoRedefine/>
    <w:qFormat/>
    <w:uiPriority w:val="99"/>
    <w:rPr>
      <w:sz w:val="18"/>
      <w:szCs w:val="18"/>
    </w:rPr>
  </w:style>
  <w:style w:type="character" w:customStyle="1" w:styleId="48">
    <w:name w:val="正文缩进 Char"/>
    <w:link w:val="7"/>
    <w:autoRedefine/>
    <w:qFormat/>
    <w:uiPriority w:val="0"/>
    <w:rPr>
      <w:rFonts w:ascii="Calibri" w:hAnsi="Calibri" w:eastAsia="楷体_GB2312" w:cs="Times New Roman"/>
      <w:kern w:val="0"/>
      <w:sz w:val="24"/>
      <w:szCs w:val="20"/>
    </w:rPr>
  </w:style>
  <w:style w:type="character" w:customStyle="1" w:styleId="49">
    <w:name w:val="标题 1 Char"/>
    <w:basedOn w:val="28"/>
    <w:link w:val="2"/>
    <w:autoRedefine/>
    <w:qFormat/>
    <w:uiPriority w:val="0"/>
    <w:rPr>
      <w:rFonts w:ascii="Calibri" w:hAnsi="Calibri" w:eastAsia="楷体_GB2312" w:cs="Times New Roman"/>
      <w:b/>
      <w:kern w:val="44"/>
      <w:sz w:val="44"/>
      <w:szCs w:val="20"/>
    </w:rPr>
  </w:style>
  <w:style w:type="character" w:customStyle="1" w:styleId="50">
    <w:name w:val="标题 2 Char"/>
    <w:basedOn w:val="28"/>
    <w:link w:val="3"/>
    <w:autoRedefine/>
    <w:qFormat/>
    <w:uiPriority w:val="9"/>
    <w:rPr>
      <w:rFonts w:asciiTheme="majorHAnsi" w:hAnsiTheme="majorHAnsi" w:eastAsiaTheme="majorEastAsia" w:cstheme="majorBidi"/>
      <w:b/>
      <w:bCs/>
      <w:sz w:val="32"/>
      <w:szCs w:val="32"/>
    </w:rPr>
  </w:style>
  <w:style w:type="character" w:customStyle="1" w:styleId="51">
    <w:name w:val="文档结构图 Char"/>
    <w:basedOn w:val="28"/>
    <w:link w:val="8"/>
    <w:autoRedefine/>
    <w:semiHidden/>
    <w:qFormat/>
    <w:uiPriority w:val="99"/>
    <w:rPr>
      <w:rFonts w:ascii="宋体" w:eastAsia="宋体"/>
      <w:sz w:val="18"/>
      <w:szCs w:val="18"/>
    </w:rPr>
  </w:style>
  <w:style w:type="character" w:customStyle="1" w:styleId="52">
    <w:name w:val="NormalCharacter"/>
    <w:autoRedefine/>
    <w:qFormat/>
    <w:uiPriority w:val="0"/>
    <w:rPr>
      <w:rFonts w:ascii="Times New Roman" w:hAnsi="Times New Roman" w:eastAsia="宋体" w:cs="Times New Roman"/>
    </w:rPr>
  </w:style>
  <w:style w:type="character" w:customStyle="1" w:styleId="53">
    <w:name w:val="批注框文本 Char"/>
    <w:basedOn w:val="28"/>
    <w:link w:val="17"/>
    <w:autoRedefine/>
    <w:semiHidden/>
    <w:qFormat/>
    <w:uiPriority w:val="99"/>
    <w:rPr>
      <w:kern w:val="2"/>
      <w:sz w:val="18"/>
      <w:szCs w:val="18"/>
    </w:rPr>
  </w:style>
  <w:style w:type="character" w:customStyle="1" w:styleId="54">
    <w:name w:val="批注文字 Char"/>
    <w:basedOn w:val="28"/>
    <w:link w:val="10"/>
    <w:autoRedefine/>
    <w:semiHidden/>
    <w:qFormat/>
    <w:uiPriority w:val="99"/>
    <w:rPr>
      <w:kern w:val="2"/>
      <w:sz w:val="21"/>
      <w:szCs w:val="22"/>
    </w:rPr>
  </w:style>
  <w:style w:type="character" w:customStyle="1" w:styleId="55">
    <w:name w:val="批注主题 Char"/>
    <w:basedOn w:val="54"/>
    <w:link w:val="23"/>
    <w:autoRedefine/>
    <w:semiHidden/>
    <w:qFormat/>
    <w:uiPriority w:val="99"/>
    <w:rPr>
      <w:b/>
      <w:bCs/>
      <w:kern w:val="2"/>
      <w:sz w:val="21"/>
      <w:szCs w:val="22"/>
    </w:rPr>
  </w:style>
  <w:style w:type="character" w:customStyle="1" w:styleId="56">
    <w:name w:val="普通正文 Char"/>
    <w:link w:val="57"/>
    <w:autoRedefine/>
    <w:qFormat/>
    <w:uiPriority w:val="0"/>
    <w:rPr>
      <w:rFonts w:ascii="Arial" w:hAnsi="Arial"/>
      <w:sz w:val="24"/>
      <w:szCs w:val="24"/>
    </w:rPr>
  </w:style>
  <w:style w:type="paragraph" w:customStyle="1" w:styleId="57">
    <w:name w:val="普通正文"/>
    <w:basedOn w:val="1"/>
    <w:link w:val="56"/>
    <w:autoRedefine/>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58">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59">
    <w:name w:val="Normal_5"/>
    <w:autoRedefine/>
    <w:qFormat/>
    <w:uiPriority w:val="0"/>
    <w:rPr>
      <w:rFonts w:ascii="Times New Roman" w:hAnsi="Times New Roman" w:eastAsia="Times New Roman" w:cs="Times New Roman"/>
      <w:sz w:val="24"/>
      <w:szCs w:val="24"/>
      <w:lang w:val="en-US" w:eastAsia="zh-CN" w:bidi="ar-SA"/>
    </w:rPr>
  </w:style>
  <w:style w:type="character" w:customStyle="1" w:styleId="60">
    <w:name w:val="纯文本 Char"/>
    <w:basedOn w:val="28"/>
    <w:link w:val="16"/>
    <w:autoRedefine/>
    <w:qFormat/>
    <w:locked/>
    <w:uiPriority w:val="0"/>
    <w:rPr>
      <w:rFonts w:ascii="宋体" w:hAnsi="Courier New" w:eastAsia="宋体" w:cs="Times New Roman"/>
      <w:kern w:val="2"/>
      <w:sz w:val="21"/>
    </w:rPr>
  </w:style>
  <w:style w:type="paragraph" w:styleId="61">
    <w:name w:val="List Paragraph"/>
    <w:basedOn w:val="1"/>
    <w:autoRedefine/>
    <w:qFormat/>
    <w:uiPriority w:val="34"/>
    <w:pPr>
      <w:ind w:firstLine="420" w:firstLineChars="200"/>
    </w:pPr>
    <w:rPr>
      <w:rFonts w:ascii="Times New Roman" w:hAnsi="Times New Roman" w:eastAsia="宋体" w:cs="Times New Roman"/>
      <w:szCs w:val="21"/>
    </w:rPr>
  </w:style>
  <w:style w:type="paragraph" w:customStyle="1" w:styleId="62">
    <w:name w:val="正文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63">
    <w:name w:val="列出段落2"/>
    <w:basedOn w:val="1"/>
    <w:autoRedefine/>
    <w:qFormat/>
    <w:uiPriority w:val="99"/>
    <w:pPr>
      <w:ind w:firstLine="420" w:firstLineChars="200"/>
    </w:pPr>
    <w:rPr>
      <w:rFonts w:ascii="Times New Roman" w:hAnsi="Times New Roman"/>
      <w:szCs w:val="24"/>
    </w:rPr>
  </w:style>
  <w:style w:type="character" w:customStyle="1" w:styleId="64">
    <w:name w:val="样式 小四 加粗"/>
    <w:basedOn w:val="28"/>
    <w:autoRedefine/>
    <w:qFormat/>
    <w:uiPriority w:val="0"/>
    <w:rPr>
      <w:rFonts w:eastAsia="黑体"/>
      <w:b/>
      <w:bCs/>
      <w:sz w:val="24"/>
    </w:rPr>
  </w:style>
  <w:style w:type="character" w:customStyle="1" w:styleId="65">
    <w:name w:val="first-child"/>
    <w:basedOn w:val="28"/>
    <w:autoRedefine/>
    <w:qFormat/>
    <w:uiPriority w:val="0"/>
  </w:style>
  <w:style w:type="character" w:customStyle="1" w:styleId="66">
    <w:name w:val="hover3"/>
    <w:basedOn w:val="28"/>
    <w:autoRedefine/>
    <w:qFormat/>
    <w:uiPriority w:val="0"/>
    <w:rPr>
      <w:color w:val="5FB878"/>
    </w:rPr>
  </w:style>
  <w:style w:type="character" w:customStyle="1" w:styleId="67">
    <w:name w:val="hover4"/>
    <w:basedOn w:val="28"/>
    <w:autoRedefine/>
    <w:qFormat/>
    <w:uiPriority w:val="0"/>
    <w:rPr>
      <w:color w:val="5FB878"/>
    </w:rPr>
  </w:style>
  <w:style w:type="character" w:customStyle="1" w:styleId="68">
    <w:name w:val="hover5"/>
    <w:basedOn w:val="28"/>
    <w:autoRedefine/>
    <w:qFormat/>
    <w:uiPriority w:val="0"/>
    <w:rPr>
      <w:color w:val="FFFFFF"/>
    </w:rPr>
  </w:style>
  <w:style w:type="character" w:customStyle="1" w:styleId="69">
    <w:name w:val="layui-this"/>
    <w:basedOn w:val="28"/>
    <w:autoRedefine/>
    <w:qFormat/>
    <w:uiPriority w:val="0"/>
    <w:rPr>
      <w:bdr w:val="single" w:color="EEEEEE" w:sz="6" w:space="0"/>
      <w:shd w:val="clear" w:fill="FFFFFF"/>
    </w:rPr>
  </w:style>
  <w:style w:type="paragraph" w:customStyle="1" w:styleId="70">
    <w:name w:val="正文缩进2格"/>
    <w:basedOn w:val="1"/>
    <w:qFormat/>
    <w:uiPriority w:val="0"/>
    <w:pPr>
      <w:spacing w:line="600" w:lineRule="exact"/>
      <w:ind w:firstLine="206"/>
    </w:pPr>
    <w:rPr>
      <w:rFonts w:ascii="仿宋_GB2312" w:hAnsi="宋体" w:eastAsia="仿宋_GB2312"/>
      <w:sz w:val="31"/>
      <w:szCs w:val="31"/>
    </w:rPr>
  </w:style>
  <w:style w:type="paragraph" w:customStyle="1" w:styleId="71">
    <w:name w:val="表头"/>
    <w:basedOn w:val="72"/>
    <w:qFormat/>
    <w:uiPriority w:val="0"/>
    <w:pPr>
      <w:jc w:val="center"/>
    </w:pPr>
    <w:rPr>
      <w:b/>
      <w:bCs/>
    </w:rPr>
  </w:style>
  <w:style w:type="paragraph" w:customStyle="1" w:styleId="72">
    <w:name w:val="表格正文"/>
    <w:basedOn w:val="1"/>
    <w:qFormat/>
    <w:uiPriority w:val="0"/>
    <w:pPr>
      <w:widowControl w:val="0"/>
      <w:spacing w:after="0" w:line="240" w:lineRule="auto"/>
      <w:jc w:val="both"/>
    </w:pPr>
    <w:rPr>
      <w:rFonts w:ascii="Calibri" w:hAnsi="Calibri" w:eastAsia="仿宋" w:cs="宋体"/>
      <w:kern w:val="2"/>
      <w:sz w:val="24"/>
      <w:szCs w:val="20"/>
    </w:rPr>
  </w:style>
  <w:style w:type="paragraph" w:customStyle="1" w:styleId="73">
    <w:name w:val="列出段落1"/>
    <w:basedOn w:val="1"/>
    <w:qFormat/>
    <w:uiPriority w:val="99"/>
    <w:pPr>
      <w:widowControl w:val="0"/>
      <w:spacing w:after="0" w:line="240" w:lineRule="auto"/>
      <w:ind w:firstLine="42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45</Pages>
  <Words>5622</Words>
  <Characters>6025</Characters>
  <Lines>120</Lines>
  <Paragraphs>33</Paragraphs>
  <TotalTime>1</TotalTime>
  <ScaleCrop>false</ScaleCrop>
  <LinksUpToDate>false</LinksUpToDate>
  <CharactersWithSpaces>6071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Administrator</cp:lastModifiedBy>
  <dcterms:modified xsi:type="dcterms:W3CDTF">2024-12-16T08:33:04Z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079A696EDF02486BB848DA2AE0392408_13</vt:lpwstr>
  </property>
</Properties>
</file>