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FD073">
      <w:pPr>
        <w:keepNext w:val="0"/>
        <w:keepLines w:val="0"/>
        <w:pageBreakBefore w:val="0"/>
        <w:widowControl w:val="0"/>
        <w:tabs>
          <w:tab w:val="left" w:pos="5760"/>
          <w:tab w:val="left" w:pos="6300"/>
        </w:tabs>
        <w:kinsoku/>
        <w:wordWrap/>
        <w:topLinePunct w:val="0"/>
        <w:autoSpaceDE/>
        <w:autoSpaceDN/>
        <w:bidi w:val="0"/>
        <w:spacing w:line="360" w:lineRule="auto"/>
        <w:jc w:val="left"/>
        <w:textAlignment w:val="baseline"/>
        <w:rPr>
          <w:rFonts w:ascii="Times New Roman" w:hAnsi="Times New Roman" w:eastAsia="宋体"/>
          <w:sz w:val="44"/>
          <w:szCs w:val="44"/>
        </w:rPr>
      </w:pPr>
    </w:p>
    <w:p w14:paraId="18194507">
      <w:pPr>
        <w:keepNext w:val="0"/>
        <w:keepLines w:val="0"/>
        <w:pageBreakBefore w:val="0"/>
        <w:widowControl w:val="0"/>
        <w:tabs>
          <w:tab w:val="left" w:pos="5760"/>
          <w:tab w:val="left" w:pos="6300"/>
        </w:tabs>
        <w:kinsoku/>
        <w:wordWrap/>
        <w:topLinePunct w:val="0"/>
        <w:autoSpaceDE/>
        <w:autoSpaceDN/>
        <w:bidi w:val="0"/>
        <w:spacing w:line="360" w:lineRule="auto"/>
        <w:jc w:val="left"/>
        <w:textAlignment w:val="baseline"/>
        <w:rPr>
          <w:rFonts w:ascii="Times New Roman" w:hAnsi="Times New Roman" w:eastAsia="宋体"/>
          <w:sz w:val="44"/>
          <w:szCs w:val="44"/>
        </w:rPr>
      </w:pPr>
      <w:r>
        <w:rPr>
          <w:rFonts w:ascii="Times New Roman" w:hAnsi="Times New Roman" w:eastAsia="宋体"/>
          <w:sz w:val="44"/>
          <w:szCs w:val="44"/>
        </w:rPr>
        <w:tab/>
      </w:r>
    </w:p>
    <w:p w14:paraId="256A3111">
      <w:pPr>
        <w:pStyle w:val="55"/>
        <w:keepNext w:val="0"/>
        <w:keepLines w:val="0"/>
        <w:pageBreakBefore w:val="0"/>
        <w:widowControl w:val="0"/>
        <w:kinsoku/>
        <w:wordWrap/>
        <w:topLinePunct w:val="0"/>
        <w:autoSpaceDE/>
        <w:autoSpaceDN/>
        <w:bidi w:val="0"/>
        <w:spacing w:before="0" w:after="0" w:line="360" w:lineRule="auto"/>
        <w:ind w:firstLine="0"/>
        <w:rPr>
          <w:rFonts w:hint="eastAsia" w:ascii="Times New Roman" w:hAnsi="Times New Roman" w:eastAsia="宋体"/>
          <w:b/>
          <w:sz w:val="56"/>
          <w:szCs w:val="56"/>
          <w:lang w:eastAsia="zh-CN"/>
        </w:rPr>
      </w:pPr>
      <w:r>
        <w:rPr>
          <w:rFonts w:hint="eastAsia" w:ascii="Times New Roman" w:hAnsi="Times New Roman" w:eastAsia="宋体"/>
          <w:b/>
          <w:sz w:val="56"/>
          <w:szCs w:val="56"/>
          <w:lang w:eastAsia="zh-CN"/>
        </w:rPr>
        <w:t>南通市第三人民医院等保测评服务项目</w:t>
      </w:r>
    </w:p>
    <w:p w14:paraId="3B9B7B9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72"/>
          <w:szCs w:val="56"/>
        </w:rPr>
      </w:pPr>
    </w:p>
    <w:p w14:paraId="05910CD9">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56"/>
          <w:szCs w:val="56"/>
        </w:rPr>
      </w:pPr>
    </w:p>
    <w:p w14:paraId="487FB2F6">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56"/>
          <w:szCs w:val="56"/>
        </w:rPr>
      </w:pPr>
    </w:p>
    <w:p w14:paraId="05DDC48D">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72"/>
          <w:szCs w:val="56"/>
        </w:rPr>
      </w:pPr>
    </w:p>
    <w:p w14:paraId="627049D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72"/>
          <w:szCs w:val="56"/>
        </w:rPr>
      </w:pPr>
      <w:r>
        <w:rPr>
          <w:rFonts w:ascii="Times New Roman" w:hAnsi="Times New Roman" w:eastAsia="宋体"/>
          <w:b/>
          <w:sz w:val="72"/>
          <w:szCs w:val="56"/>
        </w:rPr>
        <w:t>竞争性磋商文件</w:t>
      </w:r>
    </w:p>
    <w:p w14:paraId="6A1AA93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44"/>
          <w:szCs w:val="44"/>
        </w:rPr>
      </w:pPr>
      <w:r>
        <w:rPr>
          <w:rFonts w:hint="eastAsia" w:ascii="Times New Roman" w:hAnsi="Times New Roman" w:eastAsia="宋体"/>
          <w:b/>
          <w:sz w:val="44"/>
          <w:szCs w:val="44"/>
        </w:rPr>
        <w:t>（资格后审）</w:t>
      </w:r>
    </w:p>
    <w:p w14:paraId="2496116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36"/>
        </w:rPr>
      </w:pPr>
    </w:p>
    <w:p w14:paraId="43AF1A53">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36"/>
        </w:rPr>
      </w:pPr>
    </w:p>
    <w:p w14:paraId="598111F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sz w:val="36"/>
        </w:rPr>
      </w:pPr>
    </w:p>
    <w:p w14:paraId="4B1DF84E">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36"/>
        </w:rPr>
      </w:pPr>
    </w:p>
    <w:p w14:paraId="55E9D7B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sz w:val="30"/>
          <w:szCs w:val="30"/>
        </w:rPr>
      </w:pPr>
    </w:p>
    <w:p w14:paraId="1724E4C2">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sz w:val="30"/>
          <w:szCs w:val="30"/>
        </w:rPr>
      </w:pPr>
      <w:r>
        <w:rPr>
          <w:rFonts w:hint="eastAsia" w:ascii="Times New Roman" w:hAnsi="Times New Roman" w:eastAsia="宋体" w:cs="宋体"/>
          <w:b/>
          <w:sz w:val="30"/>
          <w:szCs w:val="30"/>
        </w:rPr>
        <w:t>采购单位：南通市第三人民医院</w:t>
      </w:r>
    </w:p>
    <w:p w14:paraId="60B36CCE">
      <w:pPr>
        <w:keepNext w:val="0"/>
        <w:keepLines w:val="0"/>
        <w:pageBreakBefore w:val="0"/>
        <w:widowControl w:val="0"/>
        <w:kinsoku/>
        <w:wordWrap/>
        <w:topLinePunct w:val="0"/>
        <w:autoSpaceDE/>
        <w:autoSpaceDN/>
        <w:bidi w:val="0"/>
        <w:spacing w:line="360" w:lineRule="auto"/>
        <w:jc w:val="center"/>
        <w:textAlignment w:val="baseline"/>
        <w:rPr>
          <w:rFonts w:hint="eastAsia" w:ascii="Times New Roman" w:hAnsi="Times New Roman" w:eastAsia="宋体" w:cs="宋体"/>
          <w:b/>
          <w:sz w:val="30"/>
          <w:szCs w:val="30"/>
        </w:rPr>
      </w:pPr>
      <w:r>
        <w:rPr>
          <w:rFonts w:hint="eastAsia" w:ascii="Times New Roman" w:hAnsi="Times New Roman" w:eastAsia="宋体" w:cs="宋体"/>
          <w:b/>
          <w:sz w:val="30"/>
          <w:szCs w:val="30"/>
        </w:rPr>
        <w:t>代理机构：宏信天德工程顾问有限公司</w:t>
      </w:r>
    </w:p>
    <w:p w14:paraId="689D664C">
      <w:pPr>
        <w:keepNext w:val="0"/>
        <w:keepLines w:val="0"/>
        <w:pageBreakBefore w:val="0"/>
        <w:widowControl w:val="0"/>
        <w:kinsoku/>
        <w:wordWrap/>
        <w:topLinePunct w:val="0"/>
        <w:autoSpaceDE/>
        <w:autoSpaceDN/>
        <w:bidi w:val="0"/>
        <w:spacing w:line="360" w:lineRule="auto"/>
        <w:jc w:val="center"/>
        <w:textAlignment w:val="baseline"/>
        <w:rPr>
          <w:rFonts w:hint="eastAsia" w:ascii="Times New Roman" w:hAnsi="Times New Roman" w:eastAsia="宋体" w:cs="宋体"/>
          <w:b/>
          <w:sz w:val="30"/>
          <w:szCs w:val="30"/>
          <w:lang w:eastAsia="zh-CN"/>
        </w:rPr>
      </w:pPr>
      <w:r>
        <w:rPr>
          <w:rFonts w:hint="eastAsia" w:ascii="Times New Roman" w:hAnsi="Times New Roman" w:eastAsia="宋体" w:cs="宋体"/>
          <w:b/>
          <w:sz w:val="30"/>
          <w:szCs w:val="30"/>
        </w:rPr>
        <w:t>二○二</w:t>
      </w:r>
      <w:r>
        <w:rPr>
          <w:rFonts w:hint="eastAsia" w:ascii="Times New Roman" w:hAnsi="Times New Roman" w:eastAsia="宋体" w:cs="宋体"/>
          <w:b/>
          <w:sz w:val="30"/>
          <w:szCs w:val="30"/>
          <w:lang w:eastAsia="zh-CN"/>
        </w:rPr>
        <w:t>四</w:t>
      </w:r>
      <w:r>
        <w:rPr>
          <w:rFonts w:hint="eastAsia" w:ascii="Times New Roman" w:hAnsi="Times New Roman" w:eastAsia="宋体" w:cs="宋体"/>
          <w:b/>
          <w:sz w:val="30"/>
          <w:szCs w:val="30"/>
        </w:rPr>
        <w:t>年</w:t>
      </w:r>
      <w:r>
        <w:rPr>
          <w:rFonts w:hint="eastAsia" w:ascii="Times New Roman" w:hAnsi="Times New Roman" w:eastAsia="宋体" w:cs="宋体"/>
          <w:b/>
          <w:sz w:val="30"/>
          <w:szCs w:val="30"/>
          <w:lang w:eastAsia="zh-CN"/>
        </w:rPr>
        <w:t>十一月</w:t>
      </w:r>
    </w:p>
    <w:p w14:paraId="716420A6">
      <w:pPr>
        <w:keepNext w:val="0"/>
        <w:keepLines w:val="0"/>
        <w:pageBreakBefore w:val="0"/>
        <w:widowControl w:val="0"/>
        <w:wordWrap/>
        <w:topLinePunct w:val="0"/>
        <w:bidi w:val="0"/>
        <w:spacing w:line="360" w:lineRule="auto"/>
        <w:rPr>
          <w:rFonts w:hint="eastAsia" w:ascii="Times New Roman" w:hAnsi="Times New Roman" w:eastAsia="宋体" w:cs="仿宋"/>
          <w:b/>
          <w:sz w:val="32"/>
          <w:szCs w:val="32"/>
          <w:lang w:eastAsia="zh-CN"/>
        </w:rPr>
      </w:pPr>
      <w:r>
        <w:rPr>
          <w:rFonts w:hint="eastAsia" w:ascii="Times New Roman" w:hAnsi="Times New Roman" w:eastAsia="宋体" w:cs="仿宋"/>
          <w:b/>
          <w:sz w:val="32"/>
          <w:szCs w:val="32"/>
          <w:lang w:eastAsia="zh-CN"/>
        </w:rPr>
        <w:br w:type="page"/>
      </w:r>
    </w:p>
    <w:p w14:paraId="5172A593">
      <w:pPr>
        <w:pStyle w:val="8"/>
        <w:keepNext w:val="0"/>
        <w:keepLines w:val="0"/>
        <w:pageBreakBefore w:val="0"/>
        <w:widowControl w:val="0"/>
        <w:wordWrap/>
        <w:topLinePunct w:val="0"/>
        <w:bidi w:val="0"/>
        <w:spacing w:line="360" w:lineRule="auto"/>
        <w:rPr>
          <w:rFonts w:hint="eastAsia" w:ascii="Times New Roman" w:hAnsi="Times New Roman" w:eastAsia="宋体"/>
        </w:rPr>
      </w:pPr>
    </w:p>
    <w:p w14:paraId="2AED9958">
      <w:pPr>
        <w:keepNext w:val="0"/>
        <w:keepLines w:val="0"/>
        <w:pageBreakBefore w:val="0"/>
        <w:widowControl w:val="0"/>
        <w:kinsoku/>
        <w:wordWrap/>
        <w:topLinePunct w:val="0"/>
        <w:autoSpaceDE/>
        <w:autoSpaceDN/>
        <w:bidi w:val="0"/>
        <w:adjustRightInd w:val="0"/>
        <w:snapToGrid w:val="0"/>
        <w:spacing w:line="360" w:lineRule="auto"/>
        <w:jc w:val="center"/>
        <w:rPr>
          <w:rFonts w:ascii="Times New Roman" w:hAnsi="Times New Roman" w:eastAsia="宋体"/>
          <w:b/>
          <w:sz w:val="30"/>
          <w:szCs w:val="30"/>
        </w:rPr>
      </w:pPr>
      <w:r>
        <w:rPr>
          <w:rFonts w:hint="eastAsia" w:ascii="Times New Roman" w:hAnsi="Times New Roman" w:eastAsia="宋体"/>
          <w:b/>
          <w:sz w:val="44"/>
          <w:szCs w:val="44"/>
        </w:rPr>
        <w:t>目  录</w:t>
      </w:r>
    </w:p>
    <w:p w14:paraId="45A64792">
      <w:pPr>
        <w:pStyle w:val="6"/>
        <w:keepNext w:val="0"/>
        <w:keepLines w:val="0"/>
        <w:pageBreakBefore w:val="0"/>
        <w:widowControl w:val="0"/>
        <w:kinsoku/>
        <w:wordWrap/>
        <w:overflowPunct w:val="0"/>
        <w:topLinePunct w:val="0"/>
        <w:autoSpaceDE/>
        <w:autoSpaceDN/>
        <w:bidi w:val="0"/>
        <w:spacing w:line="360" w:lineRule="auto"/>
        <w:ind w:firstLine="0"/>
        <w:jc w:val="center"/>
        <w:rPr>
          <w:rFonts w:ascii="Times New Roman" w:hAnsi="Times New Roman" w:eastAsia="宋体"/>
          <w:sz w:val="30"/>
        </w:rPr>
      </w:pPr>
    </w:p>
    <w:p w14:paraId="590627D2">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 xml:space="preserve">第一章 </w:t>
      </w:r>
      <w:r>
        <w:rPr>
          <w:rFonts w:hint="eastAsia" w:ascii="Times New Roman" w:hAnsi="Times New Roman" w:eastAsia="宋体"/>
          <w:sz w:val="32"/>
          <w:szCs w:val="32"/>
        </w:rPr>
        <w:t>竞争性磋商公告</w:t>
      </w:r>
    </w:p>
    <w:p w14:paraId="5D64F6C0">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sz w:val="32"/>
          <w:szCs w:val="32"/>
        </w:rPr>
        <w:t>第二章 投标</w:t>
      </w:r>
      <w:r>
        <w:rPr>
          <w:rFonts w:hint="eastAsia" w:ascii="Times New Roman" w:hAnsi="Times New Roman" w:eastAsia="宋体"/>
          <w:sz w:val="32"/>
          <w:szCs w:val="32"/>
        </w:rPr>
        <w:t>供应商</w:t>
      </w:r>
      <w:r>
        <w:rPr>
          <w:rFonts w:ascii="Times New Roman" w:hAnsi="Times New Roman" w:eastAsia="宋体"/>
          <w:sz w:val="32"/>
          <w:szCs w:val="32"/>
        </w:rPr>
        <w:t>须知</w:t>
      </w:r>
    </w:p>
    <w:p w14:paraId="114A1FAA">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sz w:val="32"/>
          <w:szCs w:val="32"/>
        </w:rPr>
        <w:t>第三章 项目需求</w:t>
      </w:r>
    </w:p>
    <w:p w14:paraId="2BC05041">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14:paraId="451A8294">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sz w:val="32"/>
          <w:szCs w:val="32"/>
        </w:rPr>
      </w:pPr>
      <w:r>
        <w:rPr>
          <w:rFonts w:hint="eastAsia" w:ascii="Times New Roman" w:hAnsi="Times New Roman" w:eastAsia="宋体"/>
          <w:sz w:val="32"/>
          <w:szCs w:val="32"/>
        </w:rPr>
        <w:t>第五章 合同授予</w:t>
      </w:r>
    </w:p>
    <w:p w14:paraId="6AD71410">
      <w:pPr>
        <w:keepNext w:val="0"/>
        <w:keepLines w:val="0"/>
        <w:pageBreakBefore w:val="0"/>
        <w:widowControl w:val="0"/>
        <w:kinsoku/>
        <w:wordWrap/>
        <w:topLinePunct w:val="0"/>
        <w:autoSpaceDE/>
        <w:autoSpaceDN/>
        <w:bidi w:val="0"/>
        <w:spacing w:line="360" w:lineRule="auto"/>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六</w:t>
      </w:r>
      <w:r>
        <w:rPr>
          <w:rFonts w:ascii="Times New Roman" w:hAnsi="Times New Roman" w:eastAsia="宋体"/>
          <w:sz w:val="32"/>
          <w:szCs w:val="32"/>
        </w:rPr>
        <w:t>章</w:t>
      </w:r>
      <w:r>
        <w:rPr>
          <w:rFonts w:hint="eastAsia" w:ascii="Times New Roman" w:hAnsi="Times New Roman" w:eastAsia="宋体"/>
          <w:sz w:val="32"/>
          <w:szCs w:val="32"/>
        </w:rPr>
        <w:t xml:space="preserve"> 质疑提出和处理</w:t>
      </w:r>
    </w:p>
    <w:p w14:paraId="07FF2F6F">
      <w:pPr>
        <w:keepNext w:val="0"/>
        <w:keepLines w:val="0"/>
        <w:pageBreakBefore w:val="0"/>
        <w:widowControl w:val="0"/>
        <w:kinsoku/>
        <w:wordWrap/>
        <w:topLinePunct w:val="0"/>
        <w:autoSpaceDE/>
        <w:autoSpaceDN/>
        <w:bidi w:val="0"/>
        <w:spacing w:line="360" w:lineRule="auto"/>
        <w:rPr>
          <w:rFonts w:ascii="Times New Roman" w:hAnsi="Times New Roman" w:eastAsia="宋体"/>
          <w:sz w:val="36"/>
          <w:szCs w:val="36"/>
        </w:rPr>
      </w:pPr>
      <w:r>
        <w:rPr>
          <w:rFonts w:ascii="Times New Roman" w:hAnsi="Times New Roman" w:eastAsia="宋体"/>
          <w:sz w:val="32"/>
          <w:szCs w:val="32"/>
        </w:rPr>
        <w:t>第</w:t>
      </w:r>
      <w:r>
        <w:rPr>
          <w:rFonts w:hint="eastAsia" w:ascii="Times New Roman" w:hAnsi="Times New Roman" w:eastAsia="宋体"/>
          <w:sz w:val="32"/>
          <w:szCs w:val="32"/>
        </w:rPr>
        <w:t>七</w:t>
      </w:r>
      <w:r>
        <w:rPr>
          <w:rFonts w:ascii="Times New Roman" w:hAnsi="Times New Roman" w:eastAsia="宋体"/>
          <w:sz w:val="32"/>
          <w:szCs w:val="32"/>
        </w:rPr>
        <w:t>章</w:t>
      </w:r>
      <w:r>
        <w:rPr>
          <w:rFonts w:hint="eastAsia" w:ascii="Times New Roman" w:hAnsi="Times New Roman" w:eastAsia="宋体"/>
          <w:sz w:val="32"/>
          <w:szCs w:val="32"/>
        </w:rPr>
        <w:t xml:space="preserve"> 响应文件组成及格式</w:t>
      </w:r>
    </w:p>
    <w:p w14:paraId="69EB6940">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bCs/>
          <w:sz w:val="36"/>
          <w:szCs w:val="36"/>
        </w:rPr>
      </w:pPr>
      <w:r>
        <w:rPr>
          <w:rFonts w:ascii="Times New Roman" w:hAnsi="Times New Roman" w:eastAsia="宋体"/>
          <w:b/>
          <w:bCs/>
          <w:sz w:val="36"/>
          <w:szCs w:val="36"/>
        </w:rPr>
        <w:fldChar w:fldCharType="end"/>
      </w:r>
    </w:p>
    <w:p w14:paraId="1B0AB7D1">
      <w:pPr>
        <w:pStyle w:val="23"/>
        <w:keepNext w:val="0"/>
        <w:keepLines w:val="0"/>
        <w:pageBreakBefore w:val="0"/>
        <w:widowControl w:val="0"/>
        <w:kinsoku/>
        <w:wordWrap/>
        <w:topLinePunct w:val="0"/>
        <w:autoSpaceDE/>
        <w:autoSpaceDN/>
        <w:bidi w:val="0"/>
        <w:spacing w:after="0" w:line="360" w:lineRule="auto"/>
        <w:rPr>
          <w:rFonts w:ascii="Times New Roman" w:hAnsi="Times New Roman" w:eastAsia="宋体" w:cs="宋体"/>
          <w:b/>
          <w:sz w:val="24"/>
          <w:szCs w:val="24"/>
        </w:rPr>
      </w:pPr>
      <w:r>
        <w:rPr>
          <w:rFonts w:ascii="Times New Roman" w:hAnsi="Times New Roman" w:eastAsia="宋体"/>
        </w:rPr>
        <w:br w:type="page"/>
      </w:r>
    </w:p>
    <w:p w14:paraId="5D35E548">
      <w:pPr>
        <w:pStyle w:val="3"/>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第一章 竞争性磋商公告</w:t>
      </w:r>
    </w:p>
    <w:p w14:paraId="0F9410F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topLinePunct w:val="0"/>
        <w:autoSpaceDE/>
        <w:autoSpaceDN/>
        <w:bidi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项目概况</w:t>
      </w:r>
    </w:p>
    <w:p w14:paraId="1E81CC4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topLinePunct w:val="0"/>
        <w:autoSpaceDE/>
        <w:autoSpaceDN/>
        <w:bidi w:val="0"/>
        <w:spacing w:line="360" w:lineRule="auto"/>
        <w:ind w:firstLine="480" w:firstLineChars="200"/>
        <w:rPr>
          <w:rFonts w:ascii="Times New Roman" w:hAnsi="Times New Roman" w:eastAsia="宋体" w:cs="宋体"/>
          <w:bCs/>
          <w:color w:val="auto"/>
          <w:sz w:val="24"/>
          <w:szCs w:val="24"/>
          <w:highlight w:val="none"/>
          <w:u w:val="single"/>
        </w:rPr>
      </w:pPr>
      <w:r>
        <w:rPr>
          <w:rFonts w:hint="eastAsia" w:ascii="Times New Roman" w:hAnsi="Times New Roman" w:eastAsia="宋体" w:cs="Times New Roman"/>
          <w:sz w:val="24"/>
          <w:szCs w:val="24"/>
          <w:lang w:eastAsia="zh-CN"/>
        </w:rPr>
        <w:t>南通市第三人民医院等保测评服务项目</w:t>
      </w:r>
      <w:r>
        <w:rPr>
          <w:rFonts w:hint="eastAsia" w:ascii="Times New Roman" w:hAnsi="Times New Roman" w:eastAsia="宋体" w:cs="Times New Roman"/>
          <w:color w:val="auto"/>
          <w:sz w:val="24"/>
          <w:szCs w:val="24"/>
        </w:rPr>
        <w:t>的潜在供应商应在南通市第三人民医院官网获取采购文件，并于</w:t>
      </w:r>
      <w:r>
        <w:rPr>
          <w:rFonts w:hint="eastAsia" w:ascii="Times New Roman" w:hAnsi="Times New Roman" w:eastAsia="宋体" w:cs="宋体"/>
          <w:color w:val="auto"/>
          <w:sz w:val="24"/>
          <w:szCs w:val="24"/>
          <w:highlight w:val="none"/>
          <w:u w:val="single"/>
        </w:rPr>
        <w:t>20</w:t>
      </w:r>
      <w:r>
        <w:rPr>
          <w:rFonts w:hint="eastAsia" w:ascii="Times New Roman" w:hAnsi="Times New Roman" w:eastAsia="宋体" w:cs="宋体"/>
          <w:color w:val="auto"/>
          <w:sz w:val="24"/>
          <w:szCs w:val="24"/>
          <w:highlight w:val="none"/>
          <w:u w:val="single"/>
          <w:lang w:val="en-US" w:eastAsia="zh-CN"/>
        </w:rPr>
        <w:t>24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11</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19</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15</w:t>
      </w:r>
      <w:r>
        <w:rPr>
          <w:rFonts w:hint="eastAsia" w:ascii="Times New Roman" w:hAnsi="Times New Roman" w:eastAsia="宋体" w:cs="宋体"/>
          <w:bCs/>
          <w:color w:val="auto"/>
          <w:sz w:val="24"/>
          <w:szCs w:val="24"/>
          <w:highlight w:val="none"/>
          <w:u w:val="single"/>
        </w:rPr>
        <w:t>时00分</w:t>
      </w:r>
      <w:r>
        <w:rPr>
          <w:rFonts w:hint="eastAsia" w:ascii="Times New Roman" w:hAnsi="Times New Roman" w:eastAsia="宋体" w:cs="宋体"/>
          <w:bCs/>
          <w:color w:val="auto"/>
          <w:sz w:val="24"/>
          <w:szCs w:val="24"/>
          <w:highlight w:val="none"/>
        </w:rPr>
        <w:t>（北京时间）</w:t>
      </w:r>
      <w:r>
        <w:rPr>
          <w:rFonts w:hint="eastAsia" w:ascii="Times New Roman" w:hAnsi="Times New Roman" w:eastAsia="宋体" w:cs="Times New Roman"/>
          <w:color w:val="auto"/>
          <w:sz w:val="24"/>
          <w:szCs w:val="24"/>
          <w:highlight w:val="none"/>
        </w:rPr>
        <w:t>前提交响应文件。</w:t>
      </w:r>
    </w:p>
    <w:p w14:paraId="49A9D39B">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一、项目基本情况</w:t>
      </w:r>
    </w:p>
    <w:p w14:paraId="54920BA7">
      <w:pPr>
        <w:keepNext w:val="0"/>
        <w:keepLines w:val="0"/>
        <w:pageBreakBefore w:val="0"/>
        <w:widowControl w:val="0"/>
        <w:kinsoku/>
        <w:wordWrap/>
        <w:topLinePunct w:val="0"/>
        <w:autoSpaceDE/>
        <w:autoSpaceDN/>
        <w:bidi w:val="0"/>
        <w:spacing w:line="360" w:lineRule="auto"/>
        <w:ind w:firstLine="480" w:firstLineChars="2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rPr>
        <w:t>1、项目编号：</w:t>
      </w:r>
      <w:r>
        <w:rPr>
          <w:rFonts w:hint="eastAsia" w:ascii="Times New Roman" w:hAnsi="Times New Roman" w:eastAsia="宋体" w:cs="宋体"/>
          <w:color w:val="auto"/>
          <w:sz w:val="24"/>
          <w:szCs w:val="24"/>
          <w:highlight w:val="none"/>
          <w:lang w:val="en-US" w:eastAsia="zh-CN"/>
        </w:rPr>
        <w:t>SY-HXTDDB202409001</w:t>
      </w:r>
    </w:p>
    <w:p w14:paraId="1A2D13C2">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2、项目名称：</w:t>
      </w:r>
      <w:r>
        <w:rPr>
          <w:rFonts w:hint="eastAsia" w:ascii="Times New Roman" w:hAnsi="Times New Roman" w:eastAsia="宋体" w:cs="Times New Roman"/>
          <w:color w:val="auto"/>
          <w:sz w:val="24"/>
          <w:szCs w:val="24"/>
          <w:highlight w:val="none"/>
          <w:lang w:eastAsia="zh-CN"/>
        </w:rPr>
        <w:t>南通市第三人民医院等保测评服务项目</w:t>
      </w:r>
    </w:p>
    <w:p w14:paraId="099776D4">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3、采购人式：□竞争性谈判 </w:t>
      </w:r>
      <w:r>
        <w:rPr>
          <w:rFonts w:hint="eastAsia" w:ascii="Times New Roman" w:hAnsi="Times New Roman" w:eastAsia="宋体" w:cs="MS Mincho"/>
          <w:color w:val="auto"/>
          <w:sz w:val="24"/>
          <w:szCs w:val="24"/>
          <w:highlight w:val="none"/>
        </w:rPr>
        <w:t>☑</w:t>
      </w:r>
      <w:r>
        <w:rPr>
          <w:rFonts w:hint="eastAsia" w:ascii="Times New Roman" w:hAnsi="Times New Roman" w:eastAsia="宋体" w:cs="宋体"/>
          <w:color w:val="auto"/>
          <w:sz w:val="24"/>
          <w:szCs w:val="24"/>
          <w:highlight w:val="none"/>
        </w:rPr>
        <w:t>竞争性磋商 □询价</w:t>
      </w:r>
    </w:p>
    <w:p w14:paraId="0BFB2248">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4、预算金额：</w:t>
      </w:r>
      <w:r>
        <w:rPr>
          <w:rFonts w:hint="eastAsia" w:ascii="Times New Roman" w:hAnsi="Times New Roman" w:eastAsia="宋体" w:cs="宋体"/>
          <w:color w:val="auto"/>
          <w:sz w:val="24"/>
          <w:szCs w:val="24"/>
          <w:highlight w:val="none"/>
          <w:u w:val="none"/>
          <w:lang w:val="en-US" w:eastAsia="zh-CN"/>
        </w:rPr>
        <w:t>24</w:t>
      </w:r>
      <w:r>
        <w:rPr>
          <w:rFonts w:hint="eastAsia" w:ascii="Times New Roman" w:hAnsi="Times New Roman" w:eastAsia="宋体" w:cs="宋体"/>
          <w:color w:val="auto"/>
          <w:sz w:val="24"/>
          <w:szCs w:val="24"/>
          <w:highlight w:val="none"/>
        </w:rPr>
        <w:t>万元</w:t>
      </w:r>
    </w:p>
    <w:p w14:paraId="236EEE6B">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u w:val="single"/>
        </w:rPr>
      </w:pPr>
      <w:r>
        <w:rPr>
          <w:rFonts w:hint="eastAsia" w:ascii="Times New Roman" w:hAnsi="Times New Roman" w:eastAsia="宋体" w:cs="宋体"/>
          <w:color w:val="auto"/>
          <w:sz w:val="24"/>
          <w:szCs w:val="24"/>
          <w:highlight w:val="none"/>
        </w:rPr>
        <w:t>5、</w:t>
      </w:r>
      <w:r>
        <w:rPr>
          <w:rFonts w:hint="eastAsia" w:ascii="Times New Roman" w:hAnsi="Times New Roman" w:eastAsia="宋体" w:cs="宋体"/>
          <w:b/>
          <w:bCs/>
          <w:color w:val="auto"/>
          <w:sz w:val="24"/>
          <w:szCs w:val="24"/>
          <w:highlight w:val="none"/>
        </w:rPr>
        <w:t>最高限价：</w:t>
      </w:r>
      <w:r>
        <w:rPr>
          <w:rFonts w:hint="eastAsia" w:ascii="Times New Roman" w:hAnsi="Times New Roman" w:eastAsia="宋体" w:cs="宋体"/>
          <w:b/>
          <w:bCs/>
          <w:color w:val="auto"/>
          <w:sz w:val="24"/>
          <w:szCs w:val="24"/>
          <w:highlight w:val="none"/>
          <w:u w:val="none"/>
          <w:lang w:val="en-US" w:eastAsia="zh-CN"/>
        </w:rPr>
        <w:t>24</w:t>
      </w:r>
      <w:r>
        <w:rPr>
          <w:rFonts w:hint="eastAsia" w:ascii="Times New Roman" w:hAnsi="Times New Roman" w:eastAsia="宋体" w:cs="宋体"/>
          <w:b/>
          <w:bCs/>
          <w:color w:val="auto"/>
          <w:sz w:val="24"/>
          <w:szCs w:val="24"/>
          <w:highlight w:val="none"/>
          <w:u w:val="none"/>
        </w:rPr>
        <w:t>万</w:t>
      </w:r>
      <w:r>
        <w:rPr>
          <w:rFonts w:hint="eastAsia" w:ascii="Times New Roman" w:hAnsi="Times New Roman" w:eastAsia="宋体" w:cs="宋体"/>
          <w:b/>
          <w:bCs/>
          <w:color w:val="auto"/>
          <w:sz w:val="24"/>
          <w:szCs w:val="24"/>
          <w:highlight w:val="none"/>
        </w:rPr>
        <w:t>元</w:t>
      </w:r>
      <w:r>
        <w:rPr>
          <w:rFonts w:hint="eastAsia" w:ascii="Times New Roman" w:hAnsi="Times New Roman" w:eastAsia="宋体" w:cs="仿宋"/>
          <w:b/>
          <w:bCs/>
          <w:color w:val="auto"/>
          <w:sz w:val="24"/>
          <w:szCs w:val="20"/>
          <w:highlight w:val="none"/>
        </w:rPr>
        <w:t>，报价超过最高限价的为</w:t>
      </w:r>
      <w:r>
        <w:rPr>
          <w:rFonts w:hint="eastAsia" w:ascii="Times New Roman" w:hAnsi="Times New Roman" w:eastAsia="宋体" w:cs="仿宋"/>
          <w:b/>
          <w:bCs/>
          <w:sz w:val="24"/>
          <w:szCs w:val="20"/>
          <w:highlight w:val="none"/>
        </w:rPr>
        <w:t>无效响应文件；</w:t>
      </w:r>
    </w:p>
    <w:p w14:paraId="27836445">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6、采购需求：</w:t>
      </w:r>
      <w:r>
        <w:rPr>
          <w:rFonts w:hint="eastAsia" w:ascii="Times New Roman" w:hAnsi="Times New Roman" w:eastAsia="宋体" w:cs="宋体"/>
          <w:sz w:val="24"/>
          <w:szCs w:val="24"/>
          <w:highlight w:val="none"/>
          <w:lang w:eastAsia="zh-CN"/>
        </w:rPr>
        <w:t>南通市第三人民医院等保测评服务项目，具体内容详见竞争性磋商文件第三章项目需求。</w:t>
      </w:r>
    </w:p>
    <w:p w14:paraId="2BE8C299">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color w:val="auto"/>
          <w:sz w:val="24"/>
          <w:szCs w:val="24"/>
          <w:highlight w:val="none"/>
          <w:lang w:val="zh-CN" w:eastAsia="zh-CN"/>
        </w:rPr>
      </w:pPr>
      <w:r>
        <w:rPr>
          <w:rFonts w:hint="eastAsia" w:ascii="Times New Roman" w:hAnsi="Times New Roman" w:eastAsia="宋体" w:cs="宋体"/>
          <w:b/>
          <w:bCs/>
          <w:color w:val="auto"/>
          <w:sz w:val="24"/>
          <w:szCs w:val="24"/>
          <w:highlight w:val="none"/>
        </w:rPr>
        <w:t>7、</w:t>
      </w:r>
      <w:r>
        <w:rPr>
          <w:rFonts w:hint="eastAsia" w:ascii="Times New Roman" w:hAnsi="Times New Roman" w:eastAsia="宋体" w:cs="宋体"/>
          <w:b/>
          <w:bCs/>
          <w:color w:val="auto"/>
          <w:sz w:val="24"/>
          <w:szCs w:val="24"/>
          <w:highlight w:val="none"/>
          <w:lang w:eastAsia="zh-CN"/>
        </w:rPr>
        <w:t>合同履行期限</w:t>
      </w:r>
      <w:r>
        <w:rPr>
          <w:rFonts w:hint="eastAsia" w:ascii="Times New Roman" w:hAnsi="Times New Roman" w:eastAsia="宋体" w:cs="宋体"/>
          <w:b/>
          <w:bCs/>
          <w:color w:val="auto"/>
          <w:sz w:val="24"/>
          <w:szCs w:val="24"/>
          <w:highlight w:val="none"/>
        </w:rPr>
        <w:t>：签订合同后</w:t>
      </w:r>
      <w:r>
        <w:rPr>
          <w:rFonts w:hint="eastAsia" w:ascii="Times New Roman" w:hAnsi="Times New Roman" w:eastAsia="宋体" w:cs="宋体"/>
          <w:b/>
          <w:bCs/>
          <w:color w:val="auto"/>
          <w:sz w:val="24"/>
          <w:szCs w:val="24"/>
          <w:highlight w:val="none"/>
          <w:lang w:val="zh-CN"/>
        </w:rPr>
        <w:t>40个工作日内</w:t>
      </w:r>
      <w:r>
        <w:rPr>
          <w:rFonts w:hint="eastAsia" w:ascii="Times New Roman" w:hAnsi="Times New Roman" w:eastAsia="宋体" w:cs="宋体"/>
          <w:b/>
          <w:bCs/>
          <w:color w:val="auto"/>
          <w:sz w:val="24"/>
          <w:szCs w:val="24"/>
          <w:highlight w:val="none"/>
        </w:rPr>
        <w:t>完成网络安全等级保护测评并出具盖章报告。</w:t>
      </w:r>
    </w:p>
    <w:p w14:paraId="5FDE01E6">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8、本项目不接受联合体。</w:t>
      </w:r>
    </w:p>
    <w:p w14:paraId="3680559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二、申请人的资格要求</w:t>
      </w:r>
    </w:p>
    <w:p w14:paraId="50454A6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1、符合《中华人民共和国政府采购法》第二十二条规定，并提供声明函：</w:t>
      </w:r>
    </w:p>
    <w:p w14:paraId="240208D1">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（1）具有独立承担民事责任的能力；</w:t>
      </w:r>
    </w:p>
    <w:p w14:paraId="51A1B4B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（2）具有良好的商业信誉和健全的财务会计制度；</w:t>
      </w:r>
    </w:p>
    <w:p w14:paraId="0E28A25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（3）具有履行合同所必需的设备和专业技术能力；</w:t>
      </w:r>
    </w:p>
    <w:p w14:paraId="12591A9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（4）有依法缴纳税收和社会保障资金的良好记录；</w:t>
      </w:r>
    </w:p>
    <w:p w14:paraId="0BC7FBF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（5）参加政府采购活动前三年内，在经营活动中没有重大违法记录；</w:t>
      </w:r>
    </w:p>
    <w:p w14:paraId="2AC9B18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（6）法律、行政法规规定的其他条件。</w:t>
      </w:r>
    </w:p>
    <w:p w14:paraId="04229FCD">
      <w:pPr>
        <w:keepNext w:val="0"/>
        <w:keepLines w:val="0"/>
        <w:pageBreakBefore w:val="0"/>
        <w:widowControl w:val="0"/>
        <w:kinsoku/>
        <w:wordWrap/>
        <w:topLinePunct w:val="0"/>
        <w:autoSpaceDE/>
        <w:autoSpaceDN/>
        <w:bidi w:val="0"/>
        <w:spacing w:line="360" w:lineRule="auto"/>
        <w:ind w:firstLine="482"/>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2、落实政府采购政策需满足的资格要求：</w:t>
      </w:r>
      <w:r>
        <w:rPr>
          <w:rFonts w:hint="eastAsia" w:ascii="Times New Roman" w:hAnsi="Times New Roman" w:eastAsia="宋体" w:cs="宋体"/>
          <w:sz w:val="24"/>
          <w:szCs w:val="24"/>
          <w:u w:val="single"/>
          <w:lang w:eastAsia="zh-CN"/>
        </w:rPr>
        <w:t>无</w:t>
      </w:r>
      <w:r>
        <w:rPr>
          <w:rFonts w:hint="eastAsia" w:ascii="Times New Roman" w:hAnsi="Times New Roman" w:eastAsia="宋体" w:cs="宋体"/>
          <w:sz w:val="24"/>
          <w:szCs w:val="24"/>
          <w:u w:val="single"/>
          <w:lang w:val="en-US" w:eastAsia="zh-CN"/>
        </w:rPr>
        <w:t xml:space="preserve"> </w:t>
      </w:r>
      <w:r>
        <w:rPr>
          <w:rFonts w:hint="eastAsia" w:ascii="Times New Roman" w:hAnsi="Times New Roman" w:eastAsia="宋体" w:cs="宋体"/>
          <w:sz w:val="24"/>
          <w:szCs w:val="24"/>
          <w:lang w:eastAsia="zh-CN"/>
        </w:rPr>
        <w:t>。</w:t>
      </w:r>
    </w:p>
    <w:p w14:paraId="5A400B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3、本项目的特定资格要求：</w:t>
      </w:r>
    </w:p>
    <w:p w14:paraId="3810257C">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（1）</w:t>
      </w:r>
      <w:r>
        <w:rPr>
          <w:rFonts w:hint="eastAsia" w:ascii="Times New Roman" w:hAnsi="Times New Roman" w:eastAsia="宋体"/>
          <w:bCs/>
          <w:sz w:val="24"/>
          <w:szCs w:val="24"/>
        </w:rPr>
        <w:t>供应商须具有独立法人资格，具有有效的三证合一的营业执照（或事业单位法人证书）</w:t>
      </w:r>
      <w:r>
        <w:rPr>
          <w:rFonts w:hint="eastAsia" w:eastAsia="宋体"/>
          <w:bCs/>
          <w:color w:val="auto"/>
          <w:sz w:val="24"/>
          <w:szCs w:val="24"/>
          <w:lang w:eastAsia="zh-CN"/>
        </w:rPr>
        <w:t>，</w:t>
      </w:r>
      <w:r>
        <w:rPr>
          <w:rFonts w:hint="eastAsia" w:ascii="Times New Roman" w:hAnsi="Times New Roman" w:eastAsia="宋体"/>
          <w:sz w:val="24"/>
          <w:szCs w:val="24"/>
        </w:rPr>
        <w:t>有能力按本</w:t>
      </w:r>
      <w:r>
        <w:rPr>
          <w:rFonts w:hint="eastAsia" w:ascii="Times New Roman" w:hAnsi="Times New Roman" w:eastAsia="宋体"/>
          <w:sz w:val="24"/>
          <w:szCs w:val="24"/>
          <w:lang w:eastAsia="zh-CN"/>
        </w:rPr>
        <w:t>采购</w:t>
      </w:r>
      <w:r>
        <w:rPr>
          <w:rFonts w:hint="eastAsia" w:ascii="Times New Roman" w:hAnsi="Times New Roman" w:eastAsia="宋体"/>
          <w:sz w:val="24"/>
          <w:szCs w:val="24"/>
        </w:rPr>
        <w:t>文件规定的要求提供相关服务</w:t>
      </w:r>
      <w:r>
        <w:rPr>
          <w:rFonts w:hint="eastAsia" w:ascii="Times New Roman" w:hAnsi="Times New Roman" w:eastAsia="宋体"/>
          <w:color w:val="000000"/>
          <w:sz w:val="24"/>
          <w:szCs w:val="24"/>
        </w:rPr>
        <w:t>。</w:t>
      </w:r>
    </w:p>
    <w:p w14:paraId="00035F52">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olor w:val="000000"/>
          <w:sz w:val="24"/>
          <w:szCs w:val="24"/>
        </w:rPr>
        <w:t>（2）法定代表人参加</w:t>
      </w:r>
      <w:r>
        <w:rPr>
          <w:rFonts w:hint="eastAsia" w:ascii="Times New Roman" w:hAnsi="Times New Roman" w:eastAsia="宋体"/>
          <w:color w:val="000000"/>
          <w:sz w:val="24"/>
          <w:szCs w:val="24"/>
          <w:lang w:eastAsia="zh-CN"/>
        </w:rPr>
        <w:t>磋商</w:t>
      </w:r>
      <w:r>
        <w:rPr>
          <w:rFonts w:hint="eastAsia" w:ascii="Times New Roman" w:hAnsi="Times New Roman" w:eastAsia="宋体"/>
          <w:color w:val="000000"/>
          <w:sz w:val="24"/>
          <w:szCs w:val="24"/>
        </w:rPr>
        <w:t>的，必须提供法定代表人身份证明及法定代表人本人身份证两项复印件（须加盖单位公章）；非法定代表人参加</w:t>
      </w:r>
      <w:r>
        <w:rPr>
          <w:rFonts w:hint="eastAsia" w:ascii="Times New Roman" w:hAnsi="Times New Roman" w:eastAsia="宋体"/>
          <w:color w:val="000000"/>
          <w:sz w:val="24"/>
          <w:szCs w:val="24"/>
          <w:lang w:eastAsia="zh-CN"/>
        </w:rPr>
        <w:t>磋商</w:t>
      </w:r>
      <w:r>
        <w:rPr>
          <w:rFonts w:hint="eastAsia" w:ascii="Times New Roman" w:hAnsi="Times New Roman" w:eastAsia="宋体"/>
          <w:color w:val="000000"/>
          <w:sz w:val="24"/>
          <w:szCs w:val="24"/>
        </w:rPr>
        <w:t>的，必须提供法定代表人签字或印章的授权委托书及被授权人本人身份证两项复印件</w:t>
      </w:r>
      <w:r>
        <w:rPr>
          <w:rFonts w:hint="eastAsia" w:ascii="Times New Roman" w:hAnsi="Times New Roman" w:eastAsia="宋体"/>
          <w:color w:val="000000"/>
          <w:sz w:val="24"/>
          <w:szCs w:val="24"/>
          <w:lang w:eastAsia="zh-CN"/>
        </w:rPr>
        <w:t>。</w:t>
      </w:r>
      <w:r>
        <w:rPr>
          <w:rFonts w:hint="eastAsia" w:ascii="Times New Roman" w:hAnsi="Times New Roman" w:eastAsia="宋体"/>
          <w:color w:val="000000"/>
          <w:sz w:val="24"/>
          <w:szCs w:val="24"/>
        </w:rPr>
        <w:t>（须加盖单位公章）</w:t>
      </w:r>
      <w:r>
        <w:rPr>
          <w:rFonts w:hint="eastAsia" w:ascii="Times New Roman" w:hAnsi="Times New Roman" w:eastAsia="宋体" w:cs="Times New Roman"/>
          <w:color w:val="000000"/>
          <w:sz w:val="24"/>
          <w:szCs w:val="24"/>
          <w:lang w:val="en-US" w:eastAsia="zh-CN"/>
        </w:rPr>
        <w:t xml:space="preserve">   </w:t>
      </w:r>
    </w:p>
    <w:p w14:paraId="60884909">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4、未被“信用中国”网站（www.creditchina.gov.cn）列入失信被执行人、重大税收违法案件当事人名单、政府采购严重失信行为记录名单。</w:t>
      </w:r>
    </w:p>
    <w:p w14:paraId="4EE0DDC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sz w:val="24"/>
          <w:szCs w:val="24"/>
          <w:lang w:val="zh-CN"/>
        </w:rPr>
      </w:pPr>
      <w:r>
        <w:rPr>
          <w:rFonts w:hint="eastAsia" w:ascii="Times New Roman" w:hAnsi="Times New Roman" w:eastAsia="宋体"/>
          <w:b/>
          <w:sz w:val="24"/>
          <w:szCs w:val="24"/>
          <w:lang w:val="zh-CN"/>
        </w:rPr>
        <w:t>具体资格要求详见第</w:t>
      </w:r>
      <w:r>
        <w:rPr>
          <w:rFonts w:hint="eastAsia" w:ascii="Times New Roman" w:hAnsi="Times New Roman" w:eastAsia="宋体"/>
          <w:b/>
          <w:sz w:val="24"/>
          <w:szCs w:val="24"/>
        </w:rPr>
        <w:t>七</w:t>
      </w:r>
      <w:r>
        <w:rPr>
          <w:rFonts w:hint="eastAsia" w:ascii="Times New Roman" w:hAnsi="Times New Roman" w:eastAsia="宋体"/>
          <w:b/>
          <w:sz w:val="24"/>
          <w:szCs w:val="24"/>
          <w:lang w:val="zh-CN"/>
        </w:rPr>
        <w:t>章中的“资格审查文件”。</w:t>
      </w:r>
    </w:p>
    <w:p w14:paraId="666DDEE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bookmarkStart w:id="0" w:name="_Toc35393623"/>
      <w:bookmarkStart w:id="1" w:name="_Toc35393792"/>
      <w:r>
        <w:rPr>
          <w:rFonts w:hint="eastAsia" w:ascii="Times New Roman" w:hAnsi="Times New Roman" w:eastAsia="宋体" w:cs="宋体"/>
          <w:b/>
          <w:kern w:val="0"/>
          <w:sz w:val="24"/>
          <w:szCs w:val="24"/>
        </w:rPr>
        <w:t>三、获取采购文件</w:t>
      </w:r>
      <w:bookmarkEnd w:id="0"/>
      <w:bookmarkEnd w:id="1"/>
      <w:r>
        <w:rPr>
          <w:rFonts w:hint="eastAsia" w:ascii="Times New Roman" w:hAnsi="Times New Roman" w:eastAsia="宋体" w:cs="宋体"/>
          <w:b/>
          <w:kern w:val="0"/>
          <w:sz w:val="24"/>
          <w:szCs w:val="24"/>
        </w:rPr>
        <w:t>及投标</w:t>
      </w:r>
      <w:r>
        <w:rPr>
          <w:rFonts w:hint="eastAsia" w:ascii="Times New Roman" w:hAnsi="Times New Roman" w:eastAsia="宋体" w:cs="宋体"/>
          <w:b/>
          <w:kern w:val="0"/>
          <w:sz w:val="24"/>
          <w:szCs w:val="24"/>
          <w:highlight w:val="none"/>
        </w:rPr>
        <w:t>报名</w:t>
      </w:r>
    </w:p>
    <w:p w14:paraId="2DB55DC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bookmarkStart w:id="2" w:name="_Toc28359005"/>
      <w:bookmarkStart w:id="3" w:name="_Toc35393793"/>
      <w:bookmarkStart w:id="4" w:name="_Toc35393624"/>
      <w:bookmarkStart w:id="5" w:name="_Toc28359082"/>
      <w:r>
        <w:rPr>
          <w:rFonts w:hint="eastAsia" w:ascii="Times New Roman" w:hAnsi="Times New Roman" w:eastAsia="宋体" w:cs="宋体"/>
          <w:sz w:val="24"/>
          <w:szCs w:val="24"/>
          <w:highlight w:val="none"/>
        </w:rPr>
        <w:t>1、时间：</w:t>
      </w:r>
      <w:r>
        <w:rPr>
          <w:rFonts w:hint="eastAsia" w:ascii="Times New Roman" w:hAnsi="Times New Roman" w:eastAsia="宋体" w:cs="宋体"/>
          <w:sz w:val="24"/>
          <w:szCs w:val="24"/>
          <w:highlight w:val="none"/>
          <w:u w:val="single"/>
        </w:rPr>
        <w:t>自本磋商公告发布之日起至</w:t>
      </w:r>
      <w:r>
        <w:rPr>
          <w:rFonts w:hint="eastAsia" w:ascii="Times New Roman" w:hAnsi="Times New Roman" w:eastAsia="宋体" w:cs="宋体"/>
          <w:color w:val="auto"/>
          <w:sz w:val="24"/>
          <w:szCs w:val="24"/>
          <w:highlight w:val="none"/>
          <w:u w:val="single"/>
        </w:rPr>
        <w:t>20</w:t>
      </w:r>
      <w:r>
        <w:rPr>
          <w:rFonts w:hint="eastAsia" w:ascii="Times New Roman" w:hAnsi="Times New Roman" w:eastAsia="宋体" w:cs="宋体"/>
          <w:color w:val="auto"/>
          <w:sz w:val="24"/>
          <w:szCs w:val="24"/>
          <w:highlight w:val="none"/>
          <w:u w:val="single"/>
          <w:lang w:val="en-US" w:eastAsia="zh-CN"/>
        </w:rPr>
        <w:t>24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11</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19</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15</w:t>
      </w:r>
      <w:r>
        <w:rPr>
          <w:rFonts w:hint="eastAsia" w:ascii="Times New Roman" w:hAnsi="Times New Roman" w:eastAsia="宋体" w:cs="宋体"/>
          <w:bCs/>
          <w:color w:val="auto"/>
          <w:sz w:val="24"/>
          <w:szCs w:val="24"/>
          <w:highlight w:val="none"/>
          <w:u w:val="single"/>
        </w:rPr>
        <w:t>时00分</w:t>
      </w:r>
      <w:r>
        <w:rPr>
          <w:rFonts w:hint="eastAsia" w:ascii="Times New Roman" w:hAnsi="Times New Roman" w:eastAsia="宋体" w:cs="宋体"/>
          <w:sz w:val="24"/>
          <w:szCs w:val="24"/>
          <w:highlight w:val="none"/>
        </w:rPr>
        <w:t>（北京时间）。</w:t>
      </w:r>
    </w:p>
    <w:p w14:paraId="3C3B874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2、方式：在</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南通市第三人民医院</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官网自行下载采购文件。</w:t>
      </w:r>
    </w:p>
    <w:p w14:paraId="3D01948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3、售价：300元/份，</w:t>
      </w:r>
      <w:r>
        <w:rPr>
          <w:rFonts w:hint="eastAsia" w:ascii="Times New Roman" w:hAnsi="Times New Roman" w:eastAsia="宋体" w:cs="宋体"/>
          <w:sz w:val="24"/>
          <w:szCs w:val="24"/>
          <w:highlight w:val="none"/>
          <w:lang w:eastAsia="zh-CN"/>
        </w:rPr>
        <w:t>报名时递交给采购代理机构</w:t>
      </w:r>
      <w:r>
        <w:rPr>
          <w:rFonts w:hint="eastAsia" w:ascii="Times New Roman" w:hAnsi="Times New Roman" w:eastAsia="宋体" w:cs="宋体"/>
          <w:sz w:val="24"/>
          <w:szCs w:val="24"/>
          <w:highlight w:val="none"/>
        </w:rPr>
        <w:t>，售后不退。</w:t>
      </w:r>
    </w:p>
    <w:p w14:paraId="2D1C10D5">
      <w:pPr>
        <w:keepNext w:val="0"/>
        <w:keepLines w:val="0"/>
        <w:pageBreakBefore w:val="0"/>
        <w:widowControl w:val="0"/>
        <w:kinsoku/>
        <w:wordWrap/>
        <w:topLinePunct w:val="0"/>
        <w:autoSpaceDE/>
        <w:autoSpaceDN/>
        <w:bidi w:val="0"/>
        <w:spacing w:line="360" w:lineRule="auto"/>
        <w:ind w:firstLine="482" w:firstLineChars="200"/>
        <w:rPr>
          <w:rFonts w:ascii="Times New Roman" w:hAnsi="Times New Roman" w:eastAsia="宋体" w:cs="宋体"/>
          <w:b/>
          <w:sz w:val="24"/>
          <w:szCs w:val="24"/>
          <w:highlight w:val="none"/>
        </w:rPr>
      </w:pPr>
      <w:r>
        <w:rPr>
          <w:rFonts w:hint="eastAsia" w:ascii="Times New Roman" w:hAnsi="Times New Roman" w:eastAsia="宋体" w:cs="宋体"/>
          <w:b/>
          <w:sz w:val="24"/>
          <w:szCs w:val="24"/>
          <w:highlight w:val="none"/>
        </w:rPr>
        <w:t>4、报名方式：请有意参与本项目</w:t>
      </w:r>
      <w:r>
        <w:rPr>
          <w:rFonts w:hint="eastAsia" w:ascii="Times New Roman" w:hAnsi="Times New Roman" w:eastAsia="宋体" w:cs="宋体"/>
          <w:b/>
          <w:sz w:val="24"/>
          <w:szCs w:val="24"/>
          <w:highlight w:val="none"/>
          <w:lang w:eastAsia="zh-CN"/>
        </w:rPr>
        <w:t>响应</w:t>
      </w:r>
      <w:r>
        <w:rPr>
          <w:rFonts w:hint="eastAsia" w:ascii="Times New Roman" w:hAnsi="Times New Roman" w:eastAsia="宋体" w:cs="宋体"/>
          <w:b/>
          <w:sz w:val="24"/>
          <w:szCs w:val="24"/>
          <w:highlight w:val="none"/>
        </w:rPr>
        <w:t>的供应商于202</w:t>
      </w:r>
      <w:r>
        <w:rPr>
          <w:rFonts w:hint="eastAsia" w:ascii="Times New Roman" w:hAnsi="Times New Roman" w:eastAsia="宋体" w:cs="宋体"/>
          <w:b/>
          <w:sz w:val="24"/>
          <w:szCs w:val="24"/>
          <w:highlight w:val="none"/>
          <w:lang w:val="en-US" w:eastAsia="zh-CN"/>
        </w:rPr>
        <w:t>4</w:t>
      </w:r>
      <w:r>
        <w:rPr>
          <w:rFonts w:hint="eastAsia" w:ascii="Times New Roman" w:hAnsi="Times New Roman" w:eastAsia="宋体" w:cs="宋体"/>
          <w:b/>
          <w:sz w:val="24"/>
          <w:szCs w:val="24"/>
          <w:highlight w:val="none"/>
        </w:rPr>
        <w:t>年</w:t>
      </w:r>
      <w:r>
        <w:rPr>
          <w:rFonts w:hint="eastAsia" w:ascii="Times New Roman" w:hAnsi="Times New Roman" w:eastAsia="宋体" w:cs="宋体"/>
          <w:b/>
          <w:sz w:val="24"/>
          <w:szCs w:val="24"/>
          <w:highlight w:val="none"/>
          <w:lang w:val="en-US" w:eastAsia="zh-CN"/>
        </w:rPr>
        <w:t>11</w:t>
      </w:r>
      <w:r>
        <w:rPr>
          <w:rFonts w:hint="eastAsia" w:ascii="Times New Roman" w:hAnsi="Times New Roman" w:eastAsia="宋体" w:cs="宋体"/>
          <w:b/>
          <w:sz w:val="24"/>
          <w:szCs w:val="24"/>
          <w:highlight w:val="none"/>
        </w:rPr>
        <w:t>月</w:t>
      </w:r>
      <w:r>
        <w:rPr>
          <w:rFonts w:hint="eastAsia" w:ascii="Times New Roman" w:hAnsi="Times New Roman" w:eastAsia="宋体" w:cs="宋体"/>
          <w:b/>
          <w:sz w:val="24"/>
          <w:szCs w:val="24"/>
          <w:highlight w:val="none"/>
          <w:lang w:val="en-US" w:eastAsia="zh-CN"/>
        </w:rPr>
        <w:t>19</w:t>
      </w:r>
      <w:r>
        <w:rPr>
          <w:rFonts w:hint="eastAsia" w:ascii="Times New Roman" w:hAnsi="Times New Roman" w:eastAsia="宋体" w:cs="宋体"/>
          <w:b/>
          <w:sz w:val="24"/>
          <w:szCs w:val="24"/>
          <w:highlight w:val="none"/>
        </w:rPr>
        <w:t>日</w:t>
      </w:r>
      <w:r>
        <w:rPr>
          <w:rFonts w:hint="eastAsia" w:ascii="Times New Roman" w:hAnsi="Times New Roman" w:eastAsia="宋体" w:cs="宋体"/>
          <w:b/>
          <w:sz w:val="24"/>
          <w:szCs w:val="24"/>
          <w:highlight w:val="none"/>
          <w:lang w:val="en-US" w:eastAsia="zh-CN"/>
        </w:rPr>
        <w:t>11</w:t>
      </w:r>
      <w:r>
        <w:rPr>
          <w:rFonts w:hint="eastAsia" w:ascii="Times New Roman" w:hAnsi="Times New Roman" w:eastAsia="宋体" w:cs="宋体"/>
          <w:b/>
          <w:sz w:val="24"/>
          <w:szCs w:val="24"/>
          <w:highlight w:val="none"/>
        </w:rPr>
        <w:t>时00分前</w:t>
      </w:r>
      <w:r>
        <w:rPr>
          <w:rFonts w:hint="eastAsia" w:ascii="Times New Roman" w:hAnsi="Times New Roman" w:eastAsia="宋体" w:cs="宋体"/>
          <w:b/>
          <w:sz w:val="24"/>
          <w:szCs w:val="24"/>
          <w:highlight w:val="none"/>
          <w:lang w:eastAsia="zh-CN"/>
        </w:rPr>
        <w:t>联系</w:t>
      </w:r>
      <w:r>
        <w:rPr>
          <w:rFonts w:hint="eastAsia" w:ascii="Times New Roman" w:hAnsi="Times New Roman" w:eastAsia="宋体" w:cs="宋体"/>
          <w:b/>
          <w:sz w:val="24"/>
          <w:szCs w:val="24"/>
          <w:highlight w:val="none"/>
        </w:rPr>
        <w:t>代理机构报名</w:t>
      </w:r>
      <w:r>
        <w:rPr>
          <w:rFonts w:hint="eastAsia" w:ascii="Times New Roman" w:hAnsi="Times New Roman" w:eastAsia="宋体" w:cs="宋体"/>
          <w:b/>
          <w:bCs w:val="0"/>
          <w:sz w:val="24"/>
          <w:szCs w:val="24"/>
          <w:highlight w:val="none"/>
          <w:lang w:eastAsia="zh-CN"/>
        </w:rPr>
        <w:t>（联系人：</w:t>
      </w:r>
      <w:r>
        <w:rPr>
          <w:rFonts w:hint="eastAsia" w:ascii="Times New Roman" w:hAnsi="Times New Roman" w:eastAsia="宋体"/>
          <w:b/>
          <w:bCs w:val="0"/>
          <w:sz w:val="24"/>
          <w:szCs w:val="24"/>
        </w:rPr>
        <w:t>董安国</w:t>
      </w:r>
      <w:r>
        <w:rPr>
          <w:rFonts w:hint="eastAsia" w:ascii="Times New Roman" w:hAnsi="Times New Roman" w:eastAsia="宋体"/>
          <w:b/>
          <w:bCs w:val="0"/>
          <w:sz w:val="24"/>
          <w:szCs w:val="24"/>
          <w:lang w:eastAsia="zh-CN"/>
        </w:rPr>
        <w:t>，</w:t>
      </w:r>
      <w:r>
        <w:rPr>
          <w:rFonts w:hint="eastAsia" w:ascii="Times New Roman" w:hAnsi="Times New Roman" w:eastAsia="宋体"/>
          <w:b/>
          <w:bCs w:val="0"/>
          <w:sz w:val="24"/>
          <w:szCs w:val="24"/>
        </w:rPr>
        <w:t>联系电话：</w:t>
      </w:r>
      <w:r>
        <w:rPr>
          <w:rFonts w:hint="eastAsia" w:ascii="Times New Roman" w:hAnsi="Times New Roman" w:eastAsia="宋体" w:cs="宋体"/>
          <w:b/>
          <w:bCs w:val="0"/>
          <w:kern w:val="0"/>
          <w:sz w:val="24"/>
        </w:rPr>
        <w:t>18912299056</w:t>
      </w:r>
      <w:r>
        <w:rPr>
          <w:rFonts w:hint="eastAsia" w:ascii="Times New Roman" w:hAnsi="Times New Roman" w:eastAsia="宋体" w:cs="宋体"/>
          <w:b/>
          <w:bCs w:val="0"/>
          <w:kern w:val="0"/>
          <w:sz w:val="24"/>
          <w:lang w:eastAsia="zh-CN"/>
        </w:rPr>
        <w:t>，</w:t>
      </w:r>
      <w:r>
        <w:rPr>
          <w:rFonts w:hint="eastAsia" w:ascii="Times New Roman" w:hAnsi="Times New Roman" w:eastAsia="宋体" w:cs="宋体"/>
          <w:b/>
          <w:bCs w:val="0"/>
          <w:kern w:val="0"/>
          <w:sz w:val="24"/>
        </w:rPr>
        <w:t>邮箱：812298892@qq.com</w:t>
      </w:r>
      <w:r>
        <w:rPr>
          <w:rFonts w:hint="eastAsia" w:ascii="Times New Roman" w:hAnsi="Times New Roman" w:eastAsia="宋体" w:cs="宋体"/>
          <w:b/>
          <w:bCs w:val="0"/>
          <w:sz w:val="24"/>
          <w:szCs w:val="24"/>
          <w:highlight w:val="none"/>
          <w:lang w:eastAsia="zh-CN"/>
        </w:rPr>
        <w:t>）</w:t>
      </w:r>
      <w:r>
        <w:rPr>
          <w:rFonts w:hint="eastAsia" w:ascii="Times New Roman" w:hAnsi="Times New Roman" w:eastAsia="宋体" w:cs="宋体"/>
          <w:b/>
          <w:sz w:val="24"/>
          <w:szCs w:val="24"/>
          <w:highlight w:val="none"/>
        </w:rPr>
        <w:t>，未报名单位不得参加本项目的</w:t>
      </w:r>
      <w:r>
        <w:rPr>
          <w:rFonts w:hint="eastAsia" w:ascii="Times New Roman" w:hAnsi="Times New Roman" w:eastAsia="宋体" w:cs="宋体"/>
          <w:b/>
          <w:sz w:val="24"/>
          <w:szCs w:val="24"/>
          <w:highlight w:val="none"/>
          <w:lang w:eastAsia="zh-CN"/>
        </w:rPr>
        <w:t>响应</w:t>
      </w:r>
      <w:r>
        <w:rPr>
          <w:rFonts w:hint="eastAsia" w:ascii="Times New Roman" w:hAnsi="Times New Roman" w:eastAsia="宋体" w:cs="宋体"/>
          <w:b/>
          <w:sz w:val="24"/>
          <w:szCs w:val="24"/>
          <w:highlight w:val="none"/>
        </w:rPr>
        <w:t>。</w:t>
      </w:r>
    </w:p>
    <w:bookmarkEnd w:id="2"/>
    <w:bookmarkEnd w:id="3"/>
    <w:bookmarkEnd w:id="4"/>
    <w:bookmarkEnd w:id="5"/>
    <w:p w14:paraId="3D073BB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bookmarkStart w:id="6" w:name="_Toc28359084"/>
      <w:bookmarkStart w:id="7" w:name="_Toc35393625"/>
      <w:bookmarkStart w:id="8" w:name="_Toc28359007"/>
      <w:bookmarkStart w:id="9" w:name="_Toc35393794"/>
      <w:r>
        <w:rPr>
          <w:rFonts w:hint="eastAsia" w:ascii="Times New Roman" w:hAnsi="Times New Roman" w:eastAsia="宋体" w:cs="宋体"/>
          <w:b/>
          <w:kern w:val="0"/>
          <w:sz w:val="24"/>
          <w:szCs w:val="24"/>
          <w:highlight w:val="none"/>
        </w:rPr>
        <w:t>四、响应文件提交</w:t>
      </w:r>
    </w:p>
    <w:p w14:paraId="206C519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1、提交响应文件截止时间：</w:t>
      </w:r>
      <w:bookmarkStart w:id="16" w:name="_GoBack"/>
      <w:bookmarkEnd w:id="16"/>
      <w:r>
        <w:rPr>
          <w:rFonts w:hint="eastAsia" w:ascii="Times New Roman" w:hAnsi="Times New Roman" w:eastAsia="宋体" w:cs="宋体"/>
          <w:color w:val="auto"/>
          <w:sz w:val="24"/>
          <w:szCs w:val="24"/>
          <w:highlight w:val="none"/>
          <w:u w:val="single"/>
        </w:rPr>
        <w:t>20</w:t>
      </w:r>
      <w:r>
        <w:rPr>
          <w:rFonts w:hint="eastAsia" w:ascii="Times New Roman" w:hAnsi="Times New Roman" w:eastAsia="宋体" w:cs="宋体"/>
          <w:color w:val="auto"/>
          <w:sz w:val="24"/>
          <w:szCs w:val="24"/>
          <w:highlight w:val="none"/>
          <w:u w:val="single"/>
          <w:lang w:val="en-US" w:eastAsia="zh-CN"/>
        </w:rPr>
        <w:t>24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11</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19</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15</w:t>
      </w:r>
      <w:r>
        <w:rPr>
          <w:rFonts w:hint="eastAsia" w:ascii="Times New Roman" w:hAnsi="Times New Roman" w:eastAsia="宋体" w:cs="宋体"/>
          <w:bCs/>
          <w:color w:val="auto"/>
          <w:sz w:val="24"/>
          <w:szCs w:val="24"/>
          <w:highlight w:val="none"/>
          <w:u w:val="single"/>
        </w:rPr>
        <w:t>时00分</w:t>
      </w:r>
      <w:r>
        <w:rPr>
          <w:rFonts w:hint="eastAsia" w:ascii="Times New Roman" w:hAnsi="Times New Roman" w:eastAsia="宋体" w:cs="宋体"/>
          <w:sz w:val="24"/>
          <w:szCs w:val="24"/>
          <w:highlight w:val="none"/>
        </w:rPr>
        <w:t>（北京时间）。</w:t>
      </w:r>
      <w:r>
        <w:rPr>
          <w:rFonts w:hint="eastAsia" w:ascii="Times New Roman" w:hAnsi="Times New Roman" w:eastAsia="宋体"/>
          <w:sz w:val="24"/>
          <w:highlight w:val="none"/>
        </w:rPr>
        <w:t>逾时，采购人将拒绝接受响应文件纸质文档。</w:t>
      </w:r>
    </w:p>
    <w:p w14:paraId="31FA91AD">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2、提交响应文件地点：</w:t>
      </w:r>
      <w:r>
        <w:rPr>
          <w:rFonts w:hint="eastAsia" w:ascii="Times New Roman" w:hAnsi="Times New Roman" w:eastAsia="宋体" w:cs="Times New Roman"/>
          <w:sz w:val="24"/>
          <w:szCs w:val="24"/>
          <w:u w:val="single"/>
          <w:lang w:eastAsia="zh-CN"/>
        </w:rPr>
        <w:t>南通市崇川区江海大道488号金贸国际25楼（宏信天德工程顾问有限公司开标室）</w:t>
      </w:r>
      <w:r>
        <w:rPr>
          <w:rFonts w:hint="eastAsia" w:ascii="Times New Roman" w:hAnsi="Times New Roman" w:eastAsia="宋体" w:cs="宋体"/>
          <w:sz w:val="24"/>
          <w:szCs w:val="24"/>
          <w:highlight w:val="none"/>
        </w:rPr>
        <w:t>，如有变动另行通知。</w:t>
      </w:r>
    </w:p>
    <w:p w14:paraId="0CFEAE89">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五、开启</w:t>
      </w:r>
    </w:p>
    <w:p w14:paraId="5849BDD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1、时间：</w:t>
      </w:r>
      <w:r>
        <w:rPr>
          <w:rFonts w:hint="eastAsia" w:ascii="Times New Roman" w:hAnsi="Times New Roman" w:eastAsia="宋体" w:cs="宋体"/>
          <w:color w:val="auto"/>
          <w:sz w:val="24"/>
          <w:szCs w:val="24"/>
          <w:highlight w:val="none"/>
          <w:u w:val="single"/>
        </w:rPr>
        <w:t>20</w:t>
      </w:r>
      <w:r>
        <w:rPr>
          <w:rFonts w:hint="eastAsia" w:ascii="Times New Roman" w:hAnsi="Times New Roman" w:eastAsia="宋体" w:cs="宋体"/>
          <w:color w:val="auto"/>
          <w:sz w:val="24"/>
          <w:szCs w:val="24"/>
          <w:highlight w:val="none"/>
          <w:u w:val="single"/>
          <w:lang w:val="en-US" w:eastAsia="zh-CN"/>
        </w:rPr>
        <w:t>24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11</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19</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15</w:t>
      </w:r>
      <w:r>
        <w:rPr>
          <w:rFonts w:hint="eastAsia" w:ascii="Times New Roman" w:hAnsi="Times New Roman" w:eastAsia="宋体" w:cs="宋体"/>
          <w:bCs/>
          <w:color w:val="auto"/>
          <w:sz w:val="24"/>
          <w:szCs w:val="24"/>
          <w:highlight w:val="none"/>
          <w:u w:val="single"/>
        </w:rPr>
        <w:t>时00分</w:t>
      </w:r>
      <w:r>
        <w:rPr>
          <w:rFonts w:hint="eastAsia" w:ascii="Times New Roman" w:hAnsi="Times New Roman" w:eastAsia="宋体" w:cs="宋体"/>
          <w:sz w:val="24"/>
          <w:szCs w:val="24"/>
          <w:highlight w:val="none"/>
        </w:rPr>
        <w:t>（北京时间）。</w:t>
      </w:r>
    </w:p>
    <w:p w14:paraId="1C27D16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2、开启文件及开标地点：</w:t>
      </w:r>
      <w:r>
        <w:rPr>
          <w:rFonts w:hint="eastAsia" w:ascii="Times New Roman" w:hAnsi="Times New Roman" w:eastAsia="宋体" w:cs="Times New Roman"/>
          <w:sz w:val="24"/>
          <w:szCs w:val="24"/>
          <w:u w:val="single"/>
          <w:lang w:eastAsia="zh-CN"/>
        </w:rPr>
        <w:t>南通市崇川区江海大道488号金贸国际25楼（宏信天德工程顾问有限公司开标室）</w:t>
      </w:r>
      <w:r>
        <w:rPr>
          <w:rFonts w:hint="eastAsia" w:ascii="Times New Roman" w:hAnsi="Times New Roman" w:eastAsia="宋体" w:cs="宋体"/>
          <w:sz w:val="24"/>
          <w:szCs w:val="24"/>
          <w:highlight w:val="none"/>
        </w:rPr>
        <w:t>。</w:t>
      </w:r>
    </w:p>
    <w:p w14:paraId="01BC8F7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kern w:val="0"/>
          <w:sz w:val="24"/>
          <w:szCs w:val="24"/>
          <w:highlight w:val="none"/>
        </w:rPr>
      </w:pPr>
      <w:r>
        <w:rPr>
          <w:rFonts w:hint="eastAsia" w:ascii="Times New Roman" w:hAnsi="Times New Roman" w:eastAsia="宋体" w:cs="宋体"/>
          <w:b/>
          <w:kern w:val="0"/>
          <w:sz w:val="24"/>
          <w:szCs w:val="24"/>
          <w:highlight w:val="none"/>
        </w:rPr>
        <w:t>六、公告期限</w:t>
      </w:r>
      <w:bookmarkEnd w:id="6"/>
      <w:bookmarkEnd w:id="7"/>
      <w:bookmarkEnd w:id="8"/>
      <w:bookmarkEnd w:id="9"/>
    </w:p>
    <w:p w14:paraId="1A25B28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rPr>
        <w:t>自本公告发布之日起3个工作日。</w:t>
      </w:r>
    </w:p>
    <w:p w14:paraId="1063B434">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Cs/>
          <w:sz w:val="24"/>
          <w:szCs w:val="24"/>
          <w:highlight w:val="none"/>
        </w:rPr>
      </w:pPr>
      <w:r>
        <w:rPr>
          <w:rFonts w:hint="eastAsia" w:ascii="Times New Roman" w:hAnsi="Times New Roman" w:eastAsia="宋体" w:cs="宋体"/>
          <w:b/>
          <w:bCs/>
          <w:sz w:val="24"/>
          <w:szCs w:val="24"/>
          <w:highlight w:val="none"/>
        </w:rPr>
        <w:t>七、</w:t>
      </w:r>
      <w:r>
        <w:rPr>
          <w:rFonts w:hint="eastAsia" w:ascii="Times New Roman" w:hAnsi="Times New Roman" w:eastAsia="宋体" w:cs="宋体"/>
          <w:b/>
          <w:sz w:val="24"/>
          <w:szCs w:val="24"/>
          <w:highlight w:val="none"/>
        </w:rPr>
        <w:t>其他补充事宜</w:t>
      </w:r>
    </w:p>
    <w:p w14:paraId="31763BC5">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val="en-US" w:eastAsia="zh-CN"/>
        </w:rPr>
        <w:t>磋商保证金：免收。</w:t>
      </w:r>
      <w:r>
        <w:rPr>
          <w:rFonts w:hint="eastAsia" w:ascii="Times New Roman" w:hAnsi="Times New Roman" w:eastAsia="宋体" w:cs="宋体"/>
          <w:kern w:val="0"/>
          <w:sz w:val="24"/>
          <w:szCs w:val="24"/>
          <w:highlight w:val="none"/>
        </w:rPr>
        <w:t>本项目不收取磋商保证金，采购文件中涉及磋商保证金的事项，均按免收保证金执行。</w:t>
      </w:r>
    </w:p>
    <w:p w14:paraId="45ECEFF1">
      <w:pPr>
        <w:spacing w:line="360" w:lineRule="auto"/>
        <w:ind w:firstLine="480" w:firstLineChars="200"/>
        <w:rPr>
          <w:rFonts w:cs="宋体"/>
          <w:kern w:val="0"/>
          <w:sz w:val="24"/>
          <w:szCs w:val="24"/>
        </w:rPr>
      </w:pPr>
      <w:r>
        <w:rPr>
          <w:rFonts w:hint="eastAsia" w:cs="宋体"/>
          <w:bCs/>
          <w:sz w:val="24"/>
          <w:szCs w:val="24"/>
          <w:lang w:val="en-US" w:eastAsia="zh-CN"/>
        </w:rPr>
        <w:t>2</w:t>
      </w:r>
      <w:r>
        <w:rPr>
          <w:rFonts w:hint="eastAsia" w:cs="宋体"/>
          <w:bCs/>
          <w:sz w:val="24"/>
          <w:szCs w:val="24"/>
        </w:rPr>
        <w:t>、</w:t>
      </w:r>
      <w:r>
        <w:rPr>
          <w:rFonts w:cs="宋体"/>
          <w:kern w:val="0"/>
          <w:sz w:val="24"/>
          <w:szCs w:val="24"/>
        </w:rPr>
        <w:t>项目</w:t>
      </w:r>
      <w:r>
        <w:rPr>
          <w:rFonts w:hint="eastAsia" w:cs="宋体"/>
          <w:kern w:val="0"/>
          <w:sz w:val="24"/>
          <w:szCs w:val="24"/>
        </w:rPr>
        <w:t>磋商</w:t>
      </w:r>
      <w:r>
        <w:rPr>
          <w:rFonts w:cs="宋体"/>
          <w:kern w:val="0"/>
          <w:sz w:val="24"/>
          <w:szCs w:val="24"/>
        </w:rPr>
        <w:t>活动模式：</w:t>
      </w:r>
      <w:r>
        <w:rPr>
          <w:rFonts w:hint="eastAsia" w:cs="宋体"/>
          <w:kern w:val="0"/>
          <w:sz w:val="24"/>
          <w:szCs w:val="24"/>
        </w:rPr>
        <w:t>现场磋商模式</w:t>
      </w:r>
      <w:r>
        <w:rPr>
          <w:rFonts w:cs="宋体"/>
          <w:kern w:val="0"/>
          <w:sz w:val="24"/>
          <w:szCs w:val="24"/>
        </w:rPr>
        <w:t>。</w:t>
      </w:r>
    </w:p>
    <w:p w14:paraId="62022B04">
      <w:pPr>
        <w:spacing w:line="360" w:lineRule="auto"/>
        <w:ind w:firstLine="480" w:firstLineChars="200"/>
      </w:pPr>
      <w:r>
        <w:rPr>
          <w:rFonts w:hint="eastAsia" w:cs="宋体"/>
          <w:kern w:val="0"/>
          <w:sz w:val="24"/>
          <w:szCs w:val="24"/>
          <w:lang w:val="en-US" w:eastAsia="zh-CN"/>
        </w:rPr>
        <w:t>3</w:t>
      </w:r>
      <w:r>
        <w:rPr>
          <w:rFonts w:cs="宋体"/>
          <w:kern w:val="0"/>
          <w:sz w:val="24"/>
          <w:szCs w:val="24"/>
        </w:rPr>
        <w:t>、项目演示、样品、答辩等：无</w:t>
      </w:r>
      <w:r>
        <w:rPr>
          <w:rFonts w:hint="eastAsia" w:cs="宋体"/>
          <w:kern w:val="0"/>
          <w:sz w:val="24"/>
          <w:szCs w:val="24"/>
        </w:rPr>
        <w:t>。</w:t>
      </w:r>
    </w:p>
    <w:p w14:paraId="05019CFE">
      <w:pPr>
        <w:spacing w:line="360" w:lineRule="auto"/>
        <w:ind w:firstLine="480" w:firstLineChars="200"/>
        <w:textAlignment w:val="baseline"/>
        <w:rPr>
          <w:sz w:val="24"/>
          <w:szCs w:val="24"/>
        </w:rPr>
      </w:pPr>
      <w:r>
        <w:rPr>
          <w:rFonts w:hint="eastAsia" w:cs="宋体"/>
          <w:sz w:val="24"/>
          <w:lang w:val="en-US" w:eastAsia="zh-CN"/>
        </w:rPr>
        <w:t>4</w:t>
      </w:r>
      <w:r>
        <w:rPr>
          <w:rFonts w:hint="eastAsia" w:cs="宋体"/>
          <w:sz w:val="24"/>
        </w:rPr>
        <w:t>、</w:t>
      </w:r>
      <w:r>
        <w:rPr>
          <w:rFonts w:hint="eastAsia"/>
          <w:sz w:val="24"/>
          <w:szCs w:val="24"/>
        </w:rPr>
        <w:t>对项目需求部分（供应商其他资格要求、项目需求、评分标准）的询问、质疑请向采购人提出，由采购人负责答复；对项目磋商文件其它部分的询问请向采购人或招标代理提出。</w:t>
      </w:r>
    </w:p>
    <w:p w14:paraId="125A9024">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sz w:val="24"/>
          <w:szCs w:val="24"/>
          <w:lang w:val="en-US" w:eastAsia="zh-CN"/>
        </w:rPr>
      </w:pPr>
      <w:r>
        <w:rPr>
          <w:rFonts w:hint="eastAsia"/>
          <w:sz w:val="24"/>
          <w:szCs w:val="24"/>
          <w:lang w:val="en-US" w:eastAsia="zh-CN"/>
        </w:rPr>
        <w:t>5</w:t>
      </w:r>
      <w:r>
        <w:rPr>
          <w:rFonts w:hint="eastAsia"/>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r>
        <w:rPr>
          <w:rFonts w:hint="eastAsia"/>
          <w:sz w:val="24"/>
          <w:szCs w:val="24"/>
          <w:lang w:val="en-US" w:eastAsia="zh-CN"/>
        </w:rPr>
        <w:t xml:space="preserve">     </w:t>
      </w:r>
    </w:p>
    <w:p w14:paraId="49BD68DE">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八、凡对本次采购提出询问，请按以下方式联系</w:t>
      </w:r>
    </w:p>
    <w:p w14:paraId="7DF947D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1、采购人信息</w:t>
      </w:r>
    </w:p>
    <w:p w14:paraId="632D16B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名称：南通市第三人民医院</w:t>
      </w:r>
    </w:p>
    <w:p w14:paraId="1827BC18">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地址：江苏省南通市青年中路</w:t>
      </w:r>
      <w:r>
        <w:rPr>
          <w:rFonts w:hint="eastAsia" w:ascii="Times New Roman" w:hAnsi="Times New Roman" w:eastAsia="宋体"/>
          <w:sz w:val="24"/>
          <w:szCs w:val="24"/>
          <w:lang w:val="en-US" w:eastAsia="zh-CN"/>
        </w:rPr>
        <w:t>60</w:t>
      </w:r>
      <w:r>
        <w:rPr>
          <w:rFonts w:hint="eastAsia" w:ascii="Times New Roman" w:hAnsi="Times New Roman" w:eastAsia="宋体"/>
          <w:sz w:val="24"/>
          <w:szCs w:val="24"/>
        </w:rPr>
        <w:t>号</w:t>
      </w:r>
    </w:p>
    <w:p w14:paraId="2092EE77">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bCs/>
          <w:sz w:val="24"/>
          <w:lang w:eastAsia="zh-CN"/>
        </w:rPr>
      </w:pPr>
      <w:r>
        <w:rPr>
          <w:rFonts w:hint="eastAsia" w:ascii="Times New Roman" w:hAnsi="Times New Roman" w:eastAsia="宋体" w:cs="宋体"/>
          <w:bCs/>
          <w:sz w:val="24"/>
        </w:rPr>
        <w:t>联系人：钱</w:t>
      </w:r>
      <w:r>
        <w:rPr>
          <w:rFonts w:hint="eastAsia" w:ascii="Times New Roman" w:hAnsi="Times New Roman" w:eastAsia="宋体" w:cs="宋体"/>
          <w:bCs/>
          <w:sz w:val="24"/>
          <w:lang w:eastAsia="zh-CN"/>
        </w:rPr>
        <w:t>先生</w:t>
      </w:r>
    </w:p>
    <w:p w14:paraId="4E61887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联系电话：0513-85116168</w:t>
      </w:r>
    </w:p>
    <w:p w14:paraId="5F705B3B">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2、采购代理机构信息</w:t>
      </w:r>
    </w:p>
    <w:p w14:paraId="445C7E5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sz w:val="24"/>
        </w:rPr>
      </w:pPr>
      <w:r>
        <w:rPr>
          <w:rFonts w:hint="eastAsia" w:ascii="Times New Roman" w:hAnsi="Times New Roman" w:eastAsia="宋体" w:cs="宋体"/>
          <w:bCs/>
          <w:sz w:val="24"/>
        </w:rPr>
        <w:t>名称：宏信天德工程顾问有限公司</w:t>
      </w:r>
    </w:p>
    <w:p w14:paraId="70CFEE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地址：南通市崇川区江海大道488号金贸国际25楼</w:t>
      </w:r>
    </w:p>
    <w:p w14:paraId="345F879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联系人：董安国</w:t>
      </w:r>
    </w:p>
    <w:p w14:paraId="6EAD7A8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sz w:val="24"/>
          <w:szCs w:val="24"/>
        </w:rPr>
        <w:t>联系电话：</w:t>
      </w:r>
      <w:r>
        <w:rPr>
          <w:rFonts w:hint="eastAsia" w:ascii="Times New Roman" w:hAnsi="Times New Roman" w:eastAsia="宋体" w:cs="宋体"/>
          <w:kern w:val="0"/>
          <w:sz w:val="24"/>
        </w:rPr>
        <w:t>18912299056</w:t>
      </w:r>
    </w:p>
    <w:p w14:paraId="2D2133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邮箱：812298892@qq.com</w:t>
      </w:r>
    </w:p>
    <w:p w14:paraId="4D54756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3、项目联系方式</w:t>
      </w:r>
    </w:p>
    <w:p w14:paraId="5309510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项目联系人：董安国</w:t>
      </w:r>
    </w:p>
    <w:p w14:paraId="7B9698F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kern w:val="0"/>
          <w:sz w:val="24"/>
        </w:rPr>
      </w:pPr>
      <w:r>
        <w:rPr>
          <w:rFonts w:hint="eastAsia" w:ascii="Times New Roman" w:hAnsi="Times New Roman" w:eastAsia="宋体"/>
          <w:sz w:val="24"/>
          <w:szCs w:val="24"/>
        </w:rPr>
        <w:t>电　话：</w:t>
      </w:r>
      <w:r>
        <w:rPr>
          <w:rFonts w:hint="eastAsia" w:ascii="Times New Roman" w:hAnsi="Times New Roman" w:eastAsia="宋体" w:cs="宋体"/>
          <w:kern w:val="0"/>
          <w:sz w:val="24"/>
        </w:rPr>
        <w:t>18912299056</w:t>
      </w:r>
    </w:p>
    <w:p w14:paraId="7878B4C5">
      <w:pPr>
        <w:pStyle w:val="10"/>
        <w:keepNext w:val="0"/>
        <w:keepLines w:val="0"/>
        <w:pageBreakBefore w:val="0"/>
        <w:widowControl w:val="0"/>
        <w:kinsoku/>
        <w:wordWrap/>
        <w:topLinePunct w:val="0"/>
        <w:autoSpaceDE/>
        <w:autoSpaceDN/>
        <w:bidi w:val="0"/>
        <w:spacing w:line="360" w:lineRule="auto"/>
        <w:rPr>
          <w:rFonts w:ascii="Times New Roman" w:hAnsi="Times New Roman" w:eastAsia="宋体"/>
          <w:kern w:val="0"/>
        </w:rPr>
      </w:pPr>
      <w:r>
        <w:rPr>
          <w:rFonts w:ascii="Times New Roman" w:hAnsi="Times New Roman" w:eastAsia="宋体"/>
          <w:kern w:val="0"/>
        </w:rPr>
        <w:br w:type="page"/>
      </w:r>
    </w:p>
    <w:p w14:paraId="2AA378F3">
      <w:pPr>
        <w:pStyle w:val="3"/>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w w:val="80"/>
          <w:sz w:val="48"/>
          <w:szCs w:val="44"/>
        </w:rPr>
      </w:pPr>
      <w:r>
        <w:rPr>
          <w:rFonts w:hint="eastAsia" w:ascii="Times New Roman" w:hAnsi="Times New Roman" w:eastAsia="宋体"/>
          <w:w w:val="80"/>
          <w:sz w:val="48"/>
          <w:szCs w:val="44"/>
        </w:rPr>
        <w:t>第二章 投标供应商须知</w:t>
      </w:r>
    </w:p>
    <w:p w14:paraId="5586FE36">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一、说明</w:t>
      </w:r>
    </w:p>
    <w:p w14:paraId="42DBB24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1、本竞争性磋商文件仅适用于采购人组织的竞争性磋商采购活动。</w:t>
      </w:r>
    </w:p>
    <w:p w14:paraId="191377F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2、竞争性磋商活动及因本次磋商产生的合同受中国法律制约和保护。</w:t>
      </w:r>
    </w:p>
    <w:p w14:paraId="0F581CB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3、竞争性磋商文件的解释权属于采购人。</w:t>
      </w:r>
    </w:p>
    <w:p w14:paraId="222F883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下载磋商文件后，应仔细检查磋商文件的所有内容。如内容中有页码短缺、资格要求以及任何设置有不合理的条件对供应商实行差别待遇或者歧视待遇的，应在磋商文件发布后的5日内，以书面形式向代理机构提出询问或疑问，</w:t>
      </w:r>
      <w:r>
        <w:rPr>
          <w:rFonts w:hint="eastAsia" w:ascii="Times New Roman" w:hAnsi="Times New Roman" w:eastAsia="宋体" w:cs="宋体"/>
          <w:sz w:val="24"/>
          <w:szCs w:val="24"/>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宋体"/>
          <w:sz w:val="24"/>
          <w:szCs w:val="24"/>
        </w:rPr>
        <w:t>。</w:t>
      </w:r>
      <w:r>
        <w:rPr>
          <w:rFonts w:hint="eastAsia" w:ascii="Times New Roman" w:hAnsi="Times New Roman" w:eastAsia="宋体" w:cs="宋体"/>
          <w:b/>
          <w:sz w:val="24"/>
          <w:szCs w:val="24"/>
        </w:rPr>
        <w:t>非书面形式的不作为日后质疑提出的依据。</w:t>
      </w:r>
    </w:p>
    <w:p w14:paraId="53B8395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5、供应商应认真审阅磋商文件中所有的事项、格式、条款和规范要求等，如果供应商没有按照磋商文件要求提交响应文件，或者响应文件没有对磋商文件做出实质性响应，将被拒绝参与项目的磋商。</w:t>
      </w:r>
    </w:p>
    <w:p w14:paraId="1620B33A">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二、本项目涉及到的现场勘察</w:t>
      </w:r>
    </w:p>
    <w:p w14:paraId="590F4E0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1、根据自身需要，供应商可在响应文件递交之日前对有关现场和周围环境进行勘察，以获取编制响应文件和签署合同所需的信息。勘察现场所发生的费用由供应商自己承担。</w:t>
      </w:r>
    </w:p>
    <w:p w14:paraId="76ABF4E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2、采购人向供应商提供的有关现场的资料和数据，是采购人现有的并认为能使供应商可利用的资料。采购人对供应商由此而做出的推论、理解和结论概不负责。</w:t>
      </w:r>
    </w:p>
    <w:p w14:paraId="09A6E0D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3、经采购人允许，供应商可为勘察目的进入采购人的项目现场，但供应商不得因此使采购人承担有关的责任和蒙受损失。供应商应承担勘察现场的责任和风险。</w:t>
      </w:r>
    </w:p>
    <w:p w14:paraId="773D6EEB">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4、供应商应认真踏勘现场。在现场勘察时，熟悉现场及周围交通道路等情况，以获得一切可能影响其投标的直接资料。供应商磋商成交后，不得以不完全了解现场情况为理由而向采购人提出任何索赔的要求，对此采购人不承担任何责任并将不作任何答复与考虑。</w:t>
      </w:r>
    </w:p>
    <w:p w14:paraId="08F1E32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sz w:val="24"/>
          <w:szCs w:val="24"/>
        </w:rPr>
      </w:pPr>
      <w:r>
        <w:rPr>
          <w:rFonts w:hint="eastAsia" w:ascii="Times New Roman" w:hAnsi="Times New Roman" w:eastAsia="宋体" w:cs="宋体"/>
          <w:b/>
          <w:sz w:val="24"/>
          <w:szCs w:val="24"/>
        </w:rPr>
        <w:t>三、磋商文件的澄清、修改、答疑</w:t>
      </w:r>
    </w:p>
    <w:p w14:paraId="687F5B3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1、代理机构有权对发出的磋商文件进行必要的澄清、修改或补充。</w:t>
      </w:r>
    </w:p>
    <w:p w14:paraId="755CEFF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2、磋商文件的澄清、修改、补充等内容均以书面明确的形式发布，并以南通市第三人民医院官网发布的信息为准。</w:t>
      </w:r>
    </w:p>
    <w:p w14:paraId="3631A0C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3、代理机构对磋商文件的澄清、修改将构成磋商文件的一部分，对响应磋商的供应商具有约束力。</w:t>
      </w:r>
    </w:p>
    <w:p w14:paraId="712FA2E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4、澄清或者修改的内容可能影响到响应文件编制的，代理机构应当在提交响应文件接收截止之日3个工作日前，发布澄清或者修改公告，不足3个工作日的，当顺延提交响应文件接收截止时间。</w:t>
      </w:r>
    </w:p>
    <w:p w14:paraId="767CF4F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5、除非代理机构以书面的形式对磋商文件作出澄清、修改及补充，供应商对涉及磋商文件的任何推论、理解和结论所造成的结果，均由供应商自负。</w:t>
      </w:r>
    </w:p>
    <w:p w14:paraId="38D9FA6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6、采购单位视情组织答疑会。如有产生答疑且对磋商文件内容有修改，代理机构将按照本须知有关规定，以补充通知（公告）的方式发出。</w:t>
      </w:r>
    </w:p>
    <w:p w14:paraId="05D64943">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四、响应文件的编制及装订</w:t>
      </w:r>
    </w:p>
    <w:p w14:paraId="474761A5">
      <w:pPr>
        <w:keepNext w:val="0"/>
        <w:keepLines w:val="0"/>
        <w:pageBreakBefore w:val="0"/>
        <w:widowControl w:val="0"/>
        <w:kinsoku/>
        <w:wordWrap/>
        <w:topLinePunct w:val="0"/>
        <w:autoSpaceDE/>
        <w:autoSpaceDN/>
        <w:bidi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供应商按磋商文件要求编写响应文件，并牢固装订成册。响应文件均需采用A4纸（图纸等除外）装订。响应文件不得行间插字、涂改、增删，如修改错漏处，须经响应文件签署人签字并加盖公章。</w:t>
      </w:r>
    </w:p>
    <w:p w14:paraId="055F8A02">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五、响应文件的份数和签署</w:t>
      </w:r>
    </w:p>
    <w:p w14:paraId="113B25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1、响应文件由：</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资格审查文件、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技术响应文件、③报价响应文件共3部分组成（以下由文件序号代称）。</w:t>
      </w:r>
    </w:p>
    <w:p w14:paraId="4EAC643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
          <w:sz w:val="24"/>
          <w:szCs w:val="24"/>
          <w:u w:val="single"/>
        </w:rPr>
      </w:pPr>
      <w:r>
        <w:rPr>
          <w:rFonts w:hint="eastAsia" w:ascii="Times New Roman" w:hAnsi="Times New Roman" w:eastAsia="宋体" w:cs="宋体"/>
          <w:sz w:val="24"/>
          <w:szCs w:val="24"/>
        </w:rPr>
        <w:t>2、</w:t>
      </w:r>
      <w:r>
        <w:rPr>
          <w:rFonts w:hint="eastAsia" w:ascii="Times New Roman" w:hAnsi="Times New Roman" w:eastAsia="宋体" w:cs="宋体"/>
          <w:b/>
          <w:sz w:val="24"/>
          <w:szCs w:val="24"/>
        </w:rPr>
        <w:t>响应文件均为一式</w:t>
      </w:r>
      <w:r>
        <w:rPr>
          <w:rFonts w:hint="eastAsia" w:ascii="Times New Roman" w:hAnsi="Times New Roman" w:eastAsia="宋体" w:cs="宋体"/>
          <w:b/>
          <w:sz w:val="24"/>
          <w:szCs w:val="24"/>
          <w:lang w:eastAsia="zh-CN"/>
        </w:rPr>
        <w:t>叁</w:t>
      </w:r>
      <w:r>
        <w:rPr>
          <w:rFonts w:hint="eastAsia" w:ascii="Times New Roman" w:hAnsi="Times New Roman" w:eastAsia="宋体" w:cs="宋体"/>
          <w:b/>
          <w:sz w:val="24"/>
          <w:szCs w:val="24"/>
        </w:rPr>
        <w:t>份，其中</w:t>
      </w:r>
      <w:r>
        <w:rPr>
          <w:rFonts w:hint="eastAsia" w:ascii="Times New Roman" w:hAnsi="Times New Roman" w:eastAsia="宋体" w:cs="宋体"/>
          <w:b/>
          <w:sz w:val="24"/>
          <w:szCs w:val="24"/>
          <w:lang w:eastAsia="zh-CN"/>
        </w:rPr>
        <w:t>“</w:t>
      </w:r>
      <w:r>
        <w:rPr>
          <w:rFonts w:hint="eastAsia" w:ascii="Times New Roman" w:hAnsi="Times New Roman" w:eastAsia="宋体" w:cs="宋体"/>
          <w:b/>
          <w:sz w:val="24"/>
          <w:szCs w:val="24"/>
        </w:rPr>
        <w:t>正本</w:t>
      </w:r>
      <w:r>
        <w:rPr>
          <w:rFonts w:hint="eastAsia" w:ascii="Times New Roman" w:hAnsi="Times New Roman" w:eastAsia="宋体" w:cs="宋体"/>
          <w:b/>
          <w:sz w:val="24"/>
          <w:szCs w:val="24"/>
          <w:lang w:eastAsia="zh-CN"/>
        </w:rPr>
        <w:t>”</w:t>
      </w:r>
      <w:r>
        <w:rPr>
          <w:rFonts w:hint="eastAsia" w:ascii="Times New Roman" w:hAnsi="Times New Roman" w:eastAsia="宋体" w:cs="宋体"/>
          <w:b/>
          <w:sz w:val="24"/>
          <w:szCs w:val="24"/>
        </w:rPr>
        <w:t>壹份和</w:t>
      </w:r>
      <w:r>
        <w:rPr>
          <w:rFonts w:hint="eastAsia" w:ascii="Times New Roman" w:hAnsi="Times New Roman" w:eastAsia="宋体" w:cs="宋体"/>
          <w:b/>
          <w:sz w:val="24"/>
          <w:szCs w:val="24"/>
          <w:lang w:eastAsia="zh-CN"/>
        </w:rPr>
        <w:t>“</w:t>
      </w:r>
      <w:r>
        <w:rPr>
          <w:rFonts w:hint="eastAsia" w:ascii="Times New Roman" w:hAnsi="Times New Roman" w:eastAsia="宋体" w:cs="宋体"/>
          <w:b/>
          <w:sz w:val="24"/>
          <w:szCs w:val="24"/>
        </w:rPr>
        <w:t>副本</w:t>
      </w:r>
      <w:r>
        <w:rPr>
          <w:rFonts w:hint="eastAsia" w:ascii="Times New Roman" w:hAnsi="Times New Roman" w:eastAsia="宋体" w:cs="宋体"/>
          <w:b/>
          <w:sz w:val="24"/>
          <w:szCs w:val="24"/>
          <w:lang w:eastAsia="zh-CN"/>
        </w:rPr>
        <w:t>”贰</w:t>
      </w:r>
      <w:r>
        <w:rPr>
          <w:rFonts w:hint="eastAsia" w:ascii="Times New Roman" w:hAnsi="Times New Roman" w:eastAsia="宋体" w:cs="宋体"/>
          <w:b/>
          <w:sz w:val="24"/>
          <w:szCs w:val="24"/>
        </w:rPr>
        <w:t>份。</w:t>
      </w:r>
    </w:p>
    <w:p w14:paraId="4FACA949">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3、在每份响应文件上要明确标注项目名称、对应的响应文件名称、供应商的全称、日期、</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副本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字样。</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和</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副本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若有差异，概以</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为准。</w:t>
      </w:r>
    </w:p>
    <w:p w14:paraId="462B9602">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4、供应商可将响应文件正副本统一密封或分别密封，如正本和副本分别密封的，应在封袋上标明正、副本字样。</w:t>
      </w:r>
    </w:p>
    <w:p w14:paraId="10A8B01A">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5、响应文件中的所有</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，其正文内容须按磋商文件要求由供应商法定代表人或被授权人签字（或盖章）并加盖单位公章。</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副本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可复印，但须加盖单位公章。</w:t>
      </w:r>
    </w:p>
    <w:p w14:paraId="6830A851">
      <w:pPr>
        <w:keepNext w:val="0"/>
        <w:keepLines w:val="0"/>
        <w:pageBreakBefore w:val="0"/>
        <w:widowControl w:val="0"/>
        <w:kinsoku/>
        <w:wordWrap/>
        <w:topLinePunct w:val="0"/>
        <w:autoSpaceDE/>
        <w:autoSpaceDN/>
        <w:bidi w:val="0"/>
        <w:spacing w:line="360" w:lineRule="auto"/>
        <w:ind w:firstLine="472" w:firstLineChars="19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六、响应文件的密封及标记</w:t>
      </w:r>
    </w:p>
    <w:p w14:paraId="7A047CA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1、供应商须将本项目响应文件：</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w:t>
      </w:r>
      <w:r>
        <w:rPr>
          <w:rFonts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3 \* GB3</w:instrText>
      </w:r>
      <w:r>
        <w:rPr>
          <w:rFonts w:ascii="Times New Roman" w:hAnsi="Times New Roman" w:eastAsia="宋体" w:cs="宋体"/>
          <w:sz w:val="20"/>
          <w:szCs w:val="24"/>
        </w:rPr>
        <w:fldChar w:fldCharType="separate"/>
      </w:r>
      <w:r>
        <w:rPr>
          <w:rFonts w:hint="eastAsia" w:ascii="Times New Roman" w:hAnsi="Times New Roman" w:eastAsia="宋体" w:cs="宋体"/>
          <w:sz w:val="24"/>
          <w:szCs w:val="24"/>
        </w:rPr>
        <w:t>③</w:t>
      </w:r>
      <w:r>
        <w:rPr>
          <w:rFonts w:ascii="Times New Roman" w:hAnsi="Times New Roman" w:eastAsia="宋体" w:cs="宋体"/>
          <w:sz w:val="20"/>
          <w:szCs w:val="24"/>
        </w:rPr>
        <w:fldChar w:fldCharType="end"/>
      </w:r>
      <w:r>
        <w:rPr>
          <w:rFonts w:hint="eastAsia" w:ascii="Times New Roman" w:hAnsi="Times New Roman" w:eastAsia="宋体" w:cs="宋体"/>
          <w:b/>
          <w:sz w:val="24"/>
          <w:szCs w:val="24"/>
        </w:rPr>
        <w:t>单独密封</w:t>
      </w:r>
      <w:r>
        <w:rPr>
          <w:rFonts w:hint="eastAsia" w:ascii="Times New Roman" w:hAnsi="Times New Roman" w:eastAsia="宋体" w:cs="宋体"/>
          <w:sz w:val="24"/>
          <w:szCs w:val="24"/>
        </w:rPr>
        <w:t>。</w:t>
      </w:r>
    </w:p>
    <w:p w14:paraId="5DBB13A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2、密封后，应在每一份密封的响应文件上明确标注磋商项目名称、响应文件各自对应的名称、供应商的全称及日期并加盖供应商公章。</w:t>
      </w:r>
    </w:p>
    <w:p w14:paraId="6651779D">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sz w:val="24"/>
          <w:szCs w:val="24"/>
        </w:rPr>
        <w:t>【特别提醒】</w:t>
      </w:r>
      <w:r>
        <w:rPr>
          <w:rFonts w:hint="eastAsia" w:ascii="Times New Roman" w:hAnsi="Times New Roman" w:eastAsia="宋体" w:cs="宋体"/>
          <w:sz w:val="24"/>
          <w:szCs w:val="24"/>
        </w:rPr>
        <w:t>响应文件中的</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1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①</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和</w:t>
      </w:r>
      <w:r>
        <w:rPr>
          <w:rFonts w:hint="eastAsia" w:ascii="Times New Roman" w:hAnsi="Times New Roman" w:eastAsia="宋体" w:cs="宋体"/>
          <w:sz w:val="20"/>
          <w:szCs w:val="24"/>
        </w:rPr>
        <w:fldChar w:fldCharType="begin"/>
      </w:r>
      <w:r>
        <w:rPr>
          <w:rFonts w:hint="eastAsia" w:ascii="Times New Roman" w:hAnsi="Times New Roman" w:eastAsia="宋体" w:cs="宋体"/>
          <w:sz w:val="20"/>
          <w:szCs w:val="24"/>
        </w:rPr>
        <w:instrText xml:space="preserve"> = 2 \* GB3 </w:instrText>
      </w:r>
      <w:r>
        <w:rPr>
          <w:rFonts w:hint="eastAsia" w:ascii="Times New Roman" w:hAnsi="Times New Roman" w:eastAsia="宋体" w:cs="宋体"/>
          <w:sz w:val="20"/>
          <w:szCs w:val="24"/>
        </w:rPr>
        <w:fldChar w:fldCharType="separate"/>
      </w:r>
      <w:r>
        <w:rPr>
          <w:rFonts w:hint="eastAsia" w:ascii="Times New Roman" w:hAnsi="Times New Roman" w:eastAsia="宋体" w:cs="宋体"/>
          <w:sz w:val="24"/>
          <w:szCs w:val="24"/>
        </w:rPr>
        <w:t>②</w:t>
      </w:r>
      <w:r>
        <w:rPr>
          <w:rFonts w:hint="eastAsia" w:ascii="Times New Roman" w:hAnsi="Times New Roman" w:eastAsia="宋体" w:cs="宋体"/>
          <w:sz w:val="20"/>
          <w:szCs w:val="24"/>
        </w:rPr>
        <w:fldChar w:fldCharType="end"/>
      </w:r>
      <w:r>
        <w:rPr>
          <w:rFonts w:hint="eastAsia" w:ascii="Times New Roman" w:hAnsi="Times New Roman" w:eastAsia="宋体" w:cs="宋体"/>
          <w:sz w:val="24"/>
          <w:szCs w:val="24"/>
        </w:rPr>
        <w:t>的</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正本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或</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副本</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中，均不得含有报价响应文件中报价表（报价单）内的任何项目价格，否则作无效投标处理。</w:t>
      </w:r>
    </w:p>
    <w:p w14:paraId="56EC8E20">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七、磋商报价</w:t>
      </w:r>
    </w:p>
    <w:p w14:paraId="752A621F">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color w:val="000000"/>
          <w:sz w:val="24"/>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sz w:val="24"/>
          <w:szCs w:val="24"/>
        </w:rPr>
        <w:t>。</w:t>
      </w:r>
    </w:p>
    <w:p w14:paraId="467FDC30">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2、磋商报价均以人民币为报价的币种。</w:t>
      </w:r>
    </w:p>
    <w:p w14:paraId="08E7542A">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53B59C29">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4、本项目报价为</w:t>
      </w:r>
      <w:r>
        <w:rPr>
          <w:rFonts w:hint="eastAsia" w:ascii="Times New Roman" w:hAnsi="Times New Roman" w:eastAsia="宋体" w:cs="宋体"/>
          <w:b/>
          <w:bCs/>
          <w:color w:val="auto"/>
          <w:sz w:val="24"/>
          <w:szCs w:val="24"/>
        </w:rPr>
        <w:t>固定价格</w:t>
      </w:r>
      <w:r>
        <w:rPr>
          <w:rFonts w:hint="eastAsia" w:ascii="Times New Roman" w:hAnsi="Times New Roman" w:eastAsia="宋体" w:cs="宋体"/>
          <w:sz w:val="24"/>
          <w:szCs w:val="24"/>
        </w:rPr>
        <w:t>报价，供应商应充分考虑服务实施期间各类市场价格和政策性价格调整因素，确定价格风险计入总报价，今后不作调整。（</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报价应包括完成本项目所需的一切费用，包括但不限于</w:t>
      </w:r>
      <w:r>
        <w:rPr>
          <w:rFonts w:hint="eastAsia" w:ascii="Times New Roman" w:hAnsi="Times New Roman" w:eastAsia="宋体" w:cs="宋体"/>
          <w:sz w:val="24"/>
          <w:szCs w:val="24"/>
          <w:lang w:eastAsia="zh-CN"/>
        </w:rPr>
        <w:t>测评</w:t>
      </w:r>
      <w:r>
        <w:rPr>
          <w:rFonts w:hint="eastAsia" w:ascii="Times New Roman" w:hAnsi="Times New Roman" w:eastAsia="宋体" w:cs="宋体"/>
          <w:sz w:val="24"/>
          <w:szCs w:val="24"/>
        </w:rPr>
        <w:t>服务费、</w:t>
      </w:r>
      <w:r>
        <w:rPr>
          <w:rFonts w:hint="eastAsia" w:ascii="Times New Roman" w:hAnsi="Times New Roman" w:eastAsia="宋体"/>
          <w:bCs/>
          <w:sz w:val="24"/>
          <w:szCs w:val="24"/>
        </w:rPr>
        <w:t>成本、利润、税金、开办费、政策性调整风险费等的所有费用；</w:t>
      </w:r>
      <w:r>
        <w:rPr>
          <w:rFonts w:hint="eastAsia" w:ascii="Times New Roman" w:hAnsi="Times New Roman" w:eastAsia="宋体" w:cs="宋体"/>
          <w:sz w:val="24"/>
          <w:szCs w:val="24"/>
        </w:rPr>
        <w:t>辅材费、</w:t>
      </w:r>
      <w:r>
        <w:rPr>
          <w:rFonts w:hint="eastAsia" w:ascii="Times New Roman" w:hAnsi="Times New Roman" w:eastAsia="宋体"/>
          <w:bCs/>
          <w:sz w:val="24"/>
          <w:szCs w:val="24"/>
        </w:rPr>
        <w:t>人工费、检测费、管理费；国家税务部门规定的各项税金；相关伴随服务以及售后服务等一切费用</w:t>
      </w:r>
      <w:r>
        <w:rPr>
          <w:rFonts w:hint="eastAsia" w:ascii="Times New Roman" w:hAnsi="Times New Roman" w:eastAsia="宋体" w:cs="宋体"/>
          <w:sz w:val="24"/>
          <w:szCs w:val="24"/>
        </w:rPr>
        <w:t>。同时，报价也应包含合同履行过程中可能发生的一切风险。）</w:t>
      </w:r>
    </w:p>
    <w:p w14:paraId="1176815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14:paraId="2787124A">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6、</w:t>
      </w:r>
      <w:r>
        <w:rPr>
          <w:rFonts w:hint="eastAsia" w:ascii="Times New Roman" w:hAnsi="Times New Roman" w:eastAsia="宋体" w:cs="宋体"/>
          <w:sz w:val="24"/>
        </w:rPr>
        <w:t>除非在磋商中磋商小组对采购单位需求内容作了调整增加，或对采购内容作了实质性变更，否则</w:t>
      </w:r>
      <w:r>
        <w:rPr>
          <w:rFonts w:hint="eastAsia" w:ascii="Times New Roman" w:hAnsi="Times New Roman" w:eastAsia="宋体" w:cs="宋体"/>
          <w:b/>
          <w:sz w:val="24"/>
        </w:rPr>
        <w:t>采购单位不接受供应商高于自己前一轮的磋商报价。</w:t>
      </w:r>
    </w:p>
    <w:p w14:paraId="1C2798E4">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7、竞争性磋商的最终报价为成交价。同时，供应商的最终成交价在合同实施期间不因市场变化因素而变动。</w:t>
      </w:r>
    </w:p>
    <w:p w14:paraId="3C2E314F">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sz w:val="24"/>
          <w:szCs w:val="24"/>
        </w:rPr>
      </w:pPr>
      <w:r>
        <w:rPr>
          <w:rFonts w:hint="eastAsia" w:ascii="Times New Roman" w:hAnsi="Times New Roman" w:eastAsia="宋体" w:cs="宋体"/>
          <w:sz w:val="24"/>
          <w:szCs w:val="24"/>
        </w:rPr>
        <w:t>8、</w:t>
      </w:r>
      <w:r>
        <w:rPr>
          <w:rFonts w:hint="eastAsia" w:ascii="Times New Roman" w:hAnsi="Times New Roman" w:eastAsia="宋体" w:cs="宋体"/>
          <w:color w:val="000000"/>
          <w:sz w:val="24"/>
        </w:rPr>
        <w:t>最终报价将作为磋商小组评定成交供应商的依据</w:t>
      </w:r>
      <w:r>
        <w:rPr>
          <w:rFonts w:hint="eastAsia" w:ascii="Times New Roman" w:hAnsi="Times New Roman" w:eastAsia="宋体" w:cs="宋体"/>
          <w:sz w:val="24"/>
          <w:szCs w:val="24"/>
        </w:rPr>
        <w:t>。</w:t>
      </w:r>
    </w:p>
    <w:p w14:paraId="722C7670">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八、联合体参与磋商</w:t>
      </w:r>
    </w:p>
    <w:p w14:paraId="27D212B7">
      <w:pPr>
        <w:keepNext w:val="0"/>
        <w:keepLines w:val="0"/>
        <w:pageBreakBefore w:val="0"/>
        <w:widowControl w:val="0"/>
        <w:kinsoku/>
        <w:wordWrap/>
        <w:topLinePunct w:val="0"/>
        <w:autoSpaceDE/>
        <w:autoSpaceDN/>
        <w:bidi w:val="0"/>
        <w:spacing w:line="360" w:lineRule="auto"/>
        <w:ind w:firstLine="484" w:firstLineChars="202"/>
        <w:textAlignment w:val="baseline"/>
        <w:rPr>
          <w:rFonts w:ascii="Times New Roman" w:hAnsi="Times New Roman" w:eastAsia="宋体" w:cs="宋体"/>
          <w:sz w:val="24"/>
          <w:szCs w:val="24"/>
        </w:rPr>
      </w:pPr>
      <w:r>
        <w:rPr>
          <w:rFonts w:hint="eastAsia" w:ascii="Times New Roman" w:hAnsi="Times New Roman" w:eastAsia="宋体" w:cs="宋体"/>
          <w:sz w:val="24"/>
          <w:szCs w:val="24"/>
        </w:rPr>
        <w:t>不接受任何形式的联合体参与本项目的竞争性磋商。</w:t>
      </w:r>
    </w:p>
    <w:p w14:paraId="35B4653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sz w:val="24"/>
          <w:szCs w:val="24"/>
        </w:rPr>
      </w:pPr>
      <w:r>
        <w:rPr>
          <w:rFonts w:hint="eastAsia" w:ascii="Times New Roman" w:hAnsi="Times New Roman" w:eastAsia="宋体" w:cs="宋体"/>
          <w:b/>
          <w:bCs/>
          <w:sz w:val="24"/>
          <w:szCs w:val="24"/>
        </w:rPr>
        <w:t>九、响应文件及</w:t>
      </w:r>
      <w:r>
        <w:rPr>
          <w:rFonts w:hint="eastAsia" w:ascii="Times New Roman" w:hAnsi="Times New Roman" w:eastAsia="宋体" w:cs="宋体"/>
          <w:b/>
          <w:kern w:val="0"/>
          <w:sz w:val="24"/>
          <w:szCs w:val="24"/>
        </w:rPr>
        <w:t>磋商</w:t>
      </w:r>
      <w:r>
        <w:rPr>
          <w:rFonts w:hint="eastAsia" w:ascii="Times New Roman" w:hAnsi="Times New Roman" w:eastAsia="宋体" w:cs="宋体"/>
          <w:b/>
          <w:bCs/>
          <w:sz w:val="24"/>
          <w:szCs w:val="24"/>
        </w:rPr>
        <w:t>费用</w:t>
      </w:r>
    </w:p>
    <w:p w14:paraId="71871DA7">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1、磋商文件每套售价300元，在</w:t>
      </w:r>
      <w:r>
        <w:rPr>
          <w:rFonts w:hint="eastAsia" w:ascii="Times New Roman" w:hAnsi="Times New Roman" w:eastAsia="宋体" w:cs="宋体"/>
          <w:sz w:val="24"/>
          <w:szCs w:val="24"/>
          <w:lang w:eastAsia="zh-CN"/>
        </w:rPr>
        <w:t>报名</w:t>
      </w:r>
      <w:r>
        <w:rPr>
          <w:rFonts w:hint="eastAsia" w:ascii="Times New Roman" w:hAnsi="Times New Roman" w:eastAsia="宋体" w:cs="宋体"/>
          <w:sz w:val="24"/>
          <w:szCs w:val="24"/>
        </w:rPr>
        <w:t>的同时提交给</w:t>
      </w:r>
      <w:r>
        <w:rPr>
          <w:rFonts w:hint="eastAsia" w:ascii="Times New Roman" w:hAnsi="Times New Roman" w:eastAsia="宋体" w:cs="宋体"/>
          <w:sz w:val="24"/>
          <w:szCs w:val="24"/>
          <w:lang w:eastAsia="zh-CN"/>
        </w:rPr>
        <w:t>采购</w:t>
      </w:r>
      <w:r>
        <w:rPr>
          <w:rFonts w:hint="eastAsia" w:ascii="Times New Roman" w:hAnsi="Times New Roman" w:eastAsia="宋体" w:cs="宋体"/>
          <w:sz w:val="24"/>
          <w:szCs w:val="24"/>
        </w:rPr>
        <w:t>代理机构。</w:t>
      </w:r>
    </w:p>
    <w:p w14:paraId="7E0385F4">
      <w:pPr>
        <w:keepNext w:val="0"/>
        <w:keepLines w:val="0"/>
        <w:pageBreakBefore w:val="0"/>
        <w:widowControl w:val="0"/>
        <w:kinsoku/>
        <w:wordWrap/>
        <w:topLinePunct w:val="0"/>
        <w:autoSpaceDE/>
        <w:autoSpaceDN/>
        <w:bidi w:val="0"/>
        <w:spacing w:line="360" w:lineRule="auto"/>
        <w:ind w:firstLine="460" w:firstLineChars="192"/>
        <w:textAlignment w:val="baseline"/>
        <w:rPr>
          <w:rFonts w:hint="eastAsia" w:ascii="Times New Roman" w:hAnsi="Times New Roman" w:cs="宋体" w:eastAsiaTheme="minorEastAsia"/>
          <w:sz w:val="24"/>
          <w:szCs w:val="24"/>
          <w:lang w:eastAsia="zh-CN"/>
        </w:rPr>
      </w:pPr>
      <w:r>
        <w:rPr>
          <w:rFonts w:hint="eastAsia" w:ascii="Times New Roman" w:hAnsi="Times New Roman" w:eastAsia="宋体" w:cs="宋体"/>
          <w:sz w:val="24"/>
          <w:szCs w:val="24"/>
        </w:rPr>
        <w:t>2、本次</w:t>
      </w:r>
      <w:r>
        <w:rPr>
          <w:rFonts w:hint="eastAsia" w:ascii="Times New Roman" w:hAnsi="Times New Roman" w:eastAsia="宋体" w:cs="宋体"/>
          <w:sz w:val="24"/>
          <w:szCs w:val="24"/>
          <w:lang w:eastAsia="zh-CN"/>
        </w:rPr>
        <w:t>磋商</w:t>
      </w:r>
      <w:r>
        <w:rPr>
          <w:rFonts w:hint="eastAsia" w:ascii="Times New Roman" w:hAnsi="Times New Roman" w:eastAsia="宋体" w:cs="宋体"/>
          <w:sz w:val="24"/>
          <w:szCs w:val="24"/>
        </w:rPr>
        <w:t>向成交供应商收取代理服务费，按国家发改委颁发的[2011]534号文《国家发改委关于降低部分建设项目收费标准规范收费行为等有关问题的通知》的有关规定执行，具体如下：</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服务费按差额定率累进法计算，以成交通知书确定的</w:t>
      </w:r>
      <w:r>
        <w:rPr>
          <w:rFonts w:hint="eastAsia" w:ascii="Times New Roman" w:hAnsi="Times New Roman" w:eastAsia="宋体" w:cs="宋体"/>
          <w:sz w:val="24"/>
          <w:szCs w:val="24"/>
          <w:lang w:eastAsia="zh-CN"/>
        </w:rPr>
        <w:t>成交</w:t>
      </w:r>
      <w:r>
        <w:rPr>
          <w:rFonts w:hint="eastAsia" w:ascii="Times New Roman" w:hAnsi="Times New Roman" w:eastAsia="宋体" w:cs="宋体"/>
          <w:sz w:val="24"/>
          <w:szCs w:val="24"/>
        </w:rPr>
        <w:t>金额作为收费的计算依据，按招标收费标准下浮40%计算，不满1500元的，按1500元收取。</w:t>
      </w:r>
      <w:r>
        <w:rPr>
          <w:rFonts w:hint="eastAsia" w:ascii="Times New Roman" w:cs="仿宋"/>
          <w:color w:val="auto"/>
          <w:sz w:val="24"/>
          <w:szCs w:val="24"/>
        </w:rPr>
        <w:t>评委费按照南通市财政局通财购【2018】18 号文按实</w:t>
      </w:r>
      <w:r>
        <w:rPr>
          <w:rFonts w:hint="eastAsia" w:ascii="Times New Roman" w:cs="仿宋"/>
          <w:color w:val="auto"/>
          <w:sz w:val="24"/>
          <w:szCs w:val="24"/>
          <w:lang w:eastAsia="zh-CN"/>
        </w:rPr>
        <w:t>计</w:t>
      </w:r>
      <w:r>
        <w:rPr>
          <w:rFonts w:hint="eastAsia" w:ascii="Times New Roman" w:cs="仿宋"/>
          <w:color w:val="auto"/>
          <w:sz w:val="24"/>
          <w:szCs w:val="24"/>
        </w:rPr>
        <w:t>取</w:t>
      </w:r>
      <w:r>
        <w:rPr>
          <w:rFonts w:hint="eastAsia" w:ascii="Times New Roman" w:cs="仿宋"/>
          <w:color w:val="auto"/>
          <w:sz w:val="24"/>
          <w:szCs w:val="24"/>
          <w:lang w:eastAsia="zh-CN"/>
        </w:rPr>
        <w:t>。</w:t>
      </w:r>
    </w:p>
    <w:p w14:paraId="74E7B100">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3、磋商程序顺利进行后，除供应商的原件可退回外，其余所有的响应文件都将作为档案保存，不论成交与否，代理机构均不退回。</w:t>
      </w:r>
    </w:p>
    <w:p w14:paraId="58CC8B51">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sz w:val="24"/>
          <w:szCs w:val="24"/>
        </w:rPr>
      </w:pPr>
      <w:r>
        <w:rPr>
          <w:rFonts w:hint="eastAsia" w:ascii="Times New Roman" w:hAnsi="Times New Roman" w:eastAsia="宋体" w:cs="宋体"/>
          <w:sz w:val="24"/>
          <w:szCs w:val="24"/>
        </w:rPr>
        <w:t>4、无论磋商过程和结果如何，参加项目磋商的供应商自行承担与本次项目磋商有关的全部费用。</w:t>
      </w:r>
    </w:p>
    <w:p w14:paraId="29D58D17">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sz w:val="24"/>
          <w:szCs w:val="24"/>
        </w:rPr>
      </w:pPr>
      <w:r>
        <w:rPr>
          <w:rFonts w:hint="eastAsia" w:ascii="Times New Roman" w:hAnsi="Times New Roman" w:eastAsia="宋体" w:cs="宋体"/>
          <w:b/>
          <w:sz w:val="24"/>
          <w:szCs w:val="24"/>
        </w:rPr>
        <w:t>十、</w:t>
      </w:r>
      <w:r>
        <w:rPr>
          <w:rFonts w:hint="eastAsia" w:ascii="Times New Roman" w:hAnsi="Times New Roman" w:eastAsia="宋体" w:cs="宋体"/>
          <w:b/>
          <w:bCs/>
          <w:sz w:val="24"/>
          <w:szCs w:val="24"/>
        </w:rPr>
        <w:t>磋商响应文件的有效期</w:t>
      </w:r>
    </w:p>
    <w:p w14:paraId="31E380B5">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1、从磋商响应文件接收截止之日算起，45个</w:t>
      </w:r>
      <w:r>
        <w:rPr>
          <w:rFonts w:hint="eastAsia" w:ascii="Times New Roman" w:hAnsi="Times New Roman" w:eastAsia="宋体" w:cs="宋体"/>
          <w:bCs/>
          <w:sz w:val="24"/>
          <w:szCs w:val="24"/>
          <w:lang w:eastAsia="zh-CN"/>
        </w:rPr>
        <w:t>“</w:t>
      </w:r>
      <w:r>
        <w:rPr>
          <w:rFonts w:hint="eastAsia" w:ascii="Times New Roman" w:hAnsi="Times New Roman" w:eastAsia="宋体" w:cs="宋体"/>
          <w:bCs/>
          <w:sz w:val="24"/>
          <w:szCs w:val="24"/>
        </w:rPr>
        <w:t>日历天</w:t>
      </w:r>
      <w:r>
        <w:rPr>
          <w:rFonts w:hint="eastAsia" w:ascii="Times New Roman" w:hAnsi="Times New Roman" w:eastAsia="宋体" w:cs="宋体"/>
          <w:bCs/>
          <w:sz w:val="24"/>
          <w:szCs w:val="24"/>
          <w:lang w:eastAsia="zh-CN"/>
        </w:rPr>
        <w:t>”</w:t>
      </w:r>
      <w:r>
        <w:rPr>
          <w:rFonts w:hint="eastAsia" w:ascii="Times New Roman" w:hAnsi="Times New Roman" w:eastAsia="宋体" w:cs="宋体"/>
          <w:bCs/>
          <w:sz w:val="24"/>
          <w:szCs w:val="24"/>
        </w:rPr>
        <w:t>内响应文件应保持有效。有效期短于这个规定期限的磋商，将被拒绝。</w:t>
      </w:r>
    </w:p>
    <w:p w14:paraId="060FA8E0">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bCs/>
          <w:sz w:val="24"/>
          <w:szCs w:val="24"/>
        </w:rPr>
      </w:pPr>
      <w:r>
        <w:rPr>
          <w:rFonts w:hint="eastAsia" w:ascii="Times New Roman" w:hAnsi="Times New Roman" w:eastAsia="宋体" w:cs="宋体"/>
          <w:bCs/>
          <w:sz w:val="24"/>
          <w:szCs w:val="24"/>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14:paraId="070D48B5">
      <w:pPr>
        <w:keepNext w:val="0"/>
        <w:keepLines w:val="0"/>
        <w:pageBreakBefore w:val="0"/>
        <w:widowControl w:val="0"/>
        <w:kinsoku/>
        <w:wordWrap/>
        <w:topLinePunct w:val="0"/>
        <w:autoSpaceDE/>
        <w:autoSpaceDN/>
        <w:bidi w:val="0"/>
        <w:spacing w:line="360" w:lineRule="auto"/>
        <w:ind w:firstLine="482" w:firstLineChars="200"/>
        <w:rPr>
          <w:rFonts w:ascii="Times New Roman" w:hAnsi="Times New Roman" w:eastAsia="宋体" w:cs="宋体"/>
          <w:b/>
          <w:sz w:val="24"/>
          <w:szCs w:val="24"/>
        </w:rPr>
      </w:pPr>
      <w:r>
        <w:rPr>
          <w:rFonts w:hint="eastAsia" w:ascii="Times New Roman" w:hAnsi="Times New Roman" w:eastAsia="宋体" w:cs="宋体"/>
          <w:b/>
          <w:sz w:val="24"/>
          <w:szCs w:val="24"/>
        </w:rPr>
        <w:t>十一、未尽事宜</w:t>
      </w:r>
    </w:p>
    <w:p w14:paraId="5E2AD763">
      <w:pPr>
        <w:wordWrap w:val="0"/>
        <w:spacing w:line="360" w:lineRule="auto"/>
        <w:ind w:firstLine="480" w:firstLineChars="200"/>
        <w:rPr>
          <w:rFonts w:hint="eastAsia" w:ascii="宋体" w:hAnsi="宋体" w:cs="宋体"/>
          <w:sz w:val="24"/>
        </w:rPr>
      </w:pPr>
      <w:r>
        <w:rPr>
          <w:rFonts w:hint="eastAsia" w:ascii="宋体" w:hAnsi="宋体" w:cs="宋体"/>
          <w:sz w:val="24"/>
        </w:rPr>
        <w:t>按《中华人民共和国政府采购法》及《政府采购竞争性磋商采购方式管理暂行办法》与其他有关法律法规的规定执行。</w:t>
      </w:r>
    </w:p>
    <w:p w14:paraId="4DF9C9B8">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14:paraId="49FAFCA5">
      <w:pPr>
        <w:pStyle w:val="3"/>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第三章 项目需求</w:t>
      </w:r>
    </w:p>
    <w:p w14:paraId="5B04D98C">
      <w:pPr>
        <w:wordWrap w:val="0"/>
        <w:spacing w:line="360" w:lineRule="auto"/>
        <w:ind w:firstLine="482" w:firstLineChars="200"/>
        <w:rPr>
          <w:rFonts w:hint="eastAsia" w:ascii="宋体" w:hAnsi="宋体" w:cs="宋体"/>
          <w:b/>
          <w:bCs/>
          <w:sz w:val="24"/>
          <w:lang w:val="zh-CN"/>
        </w:rPr>
      </w:pPr>
      <w:r>
        <w:rPr>
          <w:rFonts w:hint="eastAsia" w:ascii="宋体" w:hAnsi="宋体" w:cs="宋体"/>
          <w:b/>
          <w:bCs/>
          <w:sz w:val="24"/>
          <w:lang w:val="zh-CN"/>
        </w:rPr>
        <w:t>请响应供应商在报名前和制作响应文件时仔细研究项目需求说明。</w:t>
      </w:r>
    </w:p>
    <w:p w14:paraId="7BCFE75A">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一、</w:t>
      </w:r>
      <w:r>
        <w:rPr>
          <w:rFonts w:hint="eastAsia" w:ascii="Times New Roman" w:hAnsi="Times New Roman" w:eastAsia="宋体" w:cs="宋体"/>
          <w:b/>
          <w:sz w:val="24"/>
          <w:szCs w:val="24"/>
        </w:rPr>
        <w:t>采购标的需实现的功能或者目标,以及为落实政府采购政策需满足的要求</w:t>
      </w:r>
    </w:p>
    <w:p w14:paraId="10299137">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网络安全工作不仅是信息化工作的重要组成部分，更是涉及国家经济、政治安全和社会稳定的重要因素，同时也是卫生行业落实主管单位对网络安全及等级保护的要求。</w:t>
      </w:r>
    </w:p>
    <w:p w14:paraId="73AC8676">
      <w:pPr>
        <w:wordWrap w:val="0"/>
        <w:spacing w:line="360" w:lineRule="auto"/>
        <w:ind w:firstLine="480" w:firstLineChars="200"/>
        <w:rPr>
          <w:rFonts w:hint="eastAsia" w:ascii="Times New Roman" w:hAnsi="Times New Roman" w:eastAsia="宋体" w:cs="宋体"/>
          <w:b/>
          <w:sz w:val="24"/>
          <w:szCs w:val="24"/>
        </w:rPr>
      </w:pPr>
      <w:r>
        <w:rPr>
          <w:rFonts w:hint="eastAsia" w:ascii="宋体" w:hAnsi="宋体" w:cs="宋体"/>
          <w:sz w:val="24"/>
          <w:lang w:val="zh-CN"/>
        </w:rPr>
        <w:t>本次信息安全等级测评项目的开展旨在通过本年度的重要信息系统等级测评工作的开展，切实查找当前信息系统安全防护水平与国家网络安全等级保护标准、行业要求之间的存在的差距，提出安全整改方案；以测促改，通过本次测评工作的开展进一步强化相关人员的网络安全工作意识，为以后信息系统长期的稳定运行与网络安全保障打下坚实基础。</w:t>
      </w:r>
    </w:p>
    <w:p w14:paraId="745142F0">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二、</w:t>
      </w:r>
      <w:r>
        <w:rPr>
          <w:rFonts w:hint="eastAsia" w:ascii="Times New Roman" w:hAnsi="Times New Roman" w:eastAsia="宋体" w:cs="宋体"/>
          <w:b/>
          <w:sz w:val="24"/>
          <w:szCs w:val="24"/>
        </w:rPr>
        <w:t>采购标的需执行的国家相关标准、行业标准、地方标准或者其他标准、规范</w:t>
      </w:r>
    </w:p>
    <w:p w14:paraId="4D7CA7A5">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委托具备资质的第三方信息安全等级测评机构（以下简称“测评机构”）对单位已定级的信息系统进行网络安全等级保护测评，查找与分析现有系统的安全防护能力的不足，编制等级保护测评报告，并协助采购方完成测评报告的备案。</w:t>
      </w:r>
    </w:p>
    <w:p w14:paraId="58EB366E">
      <w:pPr>
        <w:wordWrap w:val="0"/>
        <w:spacing w:line="360" w:lineRule="auto"/>
        <w:ind w:firstLine="480" w:firstLineChars="200"/>
        <w:rPr>
          <w:rFonts w:ascii="仿宋" w:hAnsi="仿宋" w:eastAsia="仿宋" w:cs="仿宋"/>
          <w:bCs/>
          <w:kern w:val="0"/>
          <w:sz w:val="24"/>
        </w:rPr>
      </w:pPr>
      <w:r>
        <w:rPr>
          <w:rFonts w:hint="eastAsia" w:ascii="宋体" w:hAnsi="宋体" w:cs="宋体"/>
          <w:sz w:val="24"/>
          <w:lang w:val="zh-CN"/>
        </w:rPr>
        <w:t>根据等级测评成果，由测评机构提出合理可行的安全整改建议，协助院方进行安全管理与安全技术两方面的整改工作。</w:t>
      </w:r>
    </w:p>
    <w:p w14:paraId="4D789948">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三、</w:t>
      </w:r>
      <w:r>
        <w:rPr>
          <w:rFonts w:hint="eastAsia" w:ascii="Times New Roman" w:hAnsi="Times New Roman" w:eastAsia="宋体" w:cs="宋体"/>
          <w:b/>
          <w:sz w:val="24"/>
          <w:szCs w:val="24"/>
        </w:rPr>
        <w:t>采购标的需满足的质量、安全、技术规格、物理特性等要求</w:t>
      </w:r>
    </w:p>
    <w:p w14:paraId="5509630F">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1、具体测评内容包括：</w:t>
      </w:r>
    </w:p>
    <w:p w14:paraId="642A2C89">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（1）安全物理环境</w:t>
      </w:r>
    </w:p>
    <w:p w14:paraId="40FB67CD">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测评内容主要包括：物理位置的选择、物理访问控制、防盗窃和防破坏、防雷击、防火、防水和防潮、防静电、温湿度控制、电力供应、电磁防护等。</w:t>
      </w:r>
    </w:p>
    <w:p w14:paraId="07C9E9C2">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（2）安全通信网络</w:t>
      </w:r>
    </w:p>
    <w:p w14:paraId="6819797C">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测评内容主要包括：网络架构、通信传输、可信验证等。</w:t>
      </w:r>
    </w:p>
    <w:p w14:paraId="34568B39">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（3）安全区域边界</w:t>
      </w:r>
    </w:p>
    <w:p w14:paraId="7727E93D">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测评内容主要包括：边界防护、访问控制、入侵防范、恶意代码和垃圾邮件防范、安全审计、可信验证等。</w:t>
      </w:r>
    </w:p>
    <w:p w14:paraId="512BB9B4">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（4）安全计算环境</w:t>
      </w:r>
    </w:p>
    <w:p w14:paraId="158001A4">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测评内容主要包括：身份鉴别、访问控制、安全审计、入侵防范、恶意代码防范、可信验证、数据保密性、数据完整性、数据备份恢复、剩余信息保护、个人信息保护等。</w:t>
      </w:r>
    </w:p>
    <w:p w14:paraId="6ACB9C7C">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（5）安全管理中心</w:t>
      </w:r>
    </w:p>
    <w:p w14:paraId="203F2BD2">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测评内容主要包括：系统管理、审计管理、安全管理、集中管控等。</w:t>
      </w:r>
    </w:p>
    <w:p w14:paraId="3280EAFC">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（6）安全管理机构</w:t>
      </w:r>
    </w:p>
    <w:p w14:paraId="16C39B45">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测评内容主要包括：安全管理机构设置、人员配备及职责、安全授权和审批、安全沟通和合作、安全审核和检查等。</w:t>
      </w:r>
    </w:p>
    <w:p w14:paraId="692851BF">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涉及信息安全工作领导小组、人员岗位设置、相关日常工作执行情况等。</w:t>
      </w:r>
    </w:p>
    <w:p w14:paraId="4AD5089E">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（7）安全管理制度</w:t>
      </w:r>
    </w:p>
    <w:p w14:paraId="69B87561">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测评内容主要包括：安全管理制度内容、制度的制定与发布、制度的评审和修订等。</w:t>
      </w:r>
    </w:p>
    <w:p w14:paraId="647BFE3A">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涉及信息安全的总体方针、安全策略、管理制度、操作规程等。</w:t>
      </w:r>
    </w:p>
    <w:p w14:paraId="03D4D7CF">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（8）安全管理人员</w:t>
      </w:r>
    </w:p>
    <w:p w14:paraId="1767C06C">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测评内容主要包括：人员岗位管理、人员培训与考核、人员安全意识教育、外部人员访问管理等。</w:t>
      </w:r>
    </w:p>
    <w:p w14:paraId="024DA6C3">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涉及安全相关人员，如安全主管、人事主管、运维主管、网络安全管理员、主机安全管理员、应用安全管理员、机房值班人员、资产管理人员、文档管理员等。</w:t>
      </w:r>
    </w:p>
    <w:p w14:paraId="78032ACD">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（9）安全建设管理</w:t>
      </w:r>
    </w:p>
    <w:p w14:paraId="2C8E01DF">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测评内容主要包括：安全设计管理、产品采购使用管理、自行软件开发管理、外包软件开发管理、安全工程实施管理、安全测试验收管理、安全系统交付管理、安全服务选择管理等。</w:t>
      </w:r>
    </w:p>
    <w:p w14:paraId="5EEA9B1B">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涉及系统总体安全策略、安全技术框架、安全管理策略、总体建设规划、详细设计方案等配套文件，以及产品采购、软件开发、工程管理与交付验收等相关流程与配套文件等。</w:t>
      </w:r>
    </w:p>
    <w:p w14:paraId="694D4581">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（10）安全运维管理</w:t>
      </w:r>
    </w:p>
    <w:p w14:paraId="547058E1">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测评内容主要包括：运行环境管理、资产管理、存储介质管理、设备管理、安全审计管理、入侵防范管理、网络安全管理、主机系统安全管理、用户授权管理、备份与恢复管理、恶意代码防范管理、安全事件处置管理、应急响应管理等。</w:t>
      </w:r>
    </w:p>
    <w:p w14:paraId="750E829B">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涉及系统运维管理方面的流程、措施、制度、文档等。</w:t>
      </w:r>
    </w:p>
    <w:p w14:paraId="48B57077">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项目正式启动后将向测评机构提供详细资产清单与网络拓扑结构图。</w:t>
      </w:r>
    </w:p>
    <w:p w14:paraId="73A85E51">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从系统现状出发，依据《信息系统安全等级保护测评要求》等技术标准进行差距分析，明确校方重要信息系统中存在的风险和相关脆弱点，并针对系统存在的主要问题提出安全建设、整改建议，制订《系统安全建设整改建议》。</w:t>
      </w:r>
    </w:p>
    <w:p w14:paraId="1D374882">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开展信息安全等级保护安全管理制度建设，提高信息系统安全管理水平。按照《信息安全等级保护管理办法》、《信息系统安全等级保护基本要求》，参照《信息系统安全管理要求》、《信息系统安全工程管理要求》等标准规范要求，建立健全并落实符合相应等级要求的安全管理制度。</w:t>
      </w:r>
    </w:p>
    <w:p w14:paraId="6CE55919">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2、实施要求</w:t>
      </w:r>
    </w:p>
    <w:p w14:paraId="359804ED">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2.1标准依据</w:t>
      </w:r>
    </w:p>
    <w:p w14:paraId="2401C0DB">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①《信息安全技术 信息系统安全等级保护定级指南》 （GB/T 22240-2020）</w:t>
      </w:r>
    </w:p>
    <w:p w14:paraId="72505358">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②《信息安全技术 网络安全等级保护实施指南》（GB/T 25058-2019）</w:t>
      </w:r>
    </w:p>
    <w:p w14:paraId="0E9A433E">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③《信息安全技术 网络安全等级保护基本要求》（GB/T 22239-2019）</w:t>
      </w:r>
    </w:p>
    <w:p w14:paraId="4F126722">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④《信息安全技术 网络安全等级保护测评要求》（GB/T 28448-2019）</w:t>
      </w:r>
    </w:p>
    <w:p w14:paraId="100B5361">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⑤《信息安全技术 网络安全等级保护测评过程指南》（GB/T 28449-2018）</w:t>
      </w:r>
    </w:p>
    <w:p w14:paraId="1D8A636B">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本次信息系统等级测评服务项目的实施流程、技术方法必须严格执行国家相关标准规范。</w:t>
      </w:r>
    </w:p>
    <w:p w14:paraId="6114B5AB">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2.2 测评技术与方法</w:t>
      </w:r>
    </w:p>
    <w:p w14:paraId="728A4AFE">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供应商以访谈、现场勘查、上机查看、工具测试等方式开展测评工作，所有获取测评证据的过程尽可能不影响信息系统的正常运行，对于可能产生的负面影响（如有）供应商需要在响应文件中做具体描述。因目前信息系统均为B/S架构，在测评过程中测评机构需重点对WEB应用业务进行安全测试，供应商需在响应文件中对web安全测试方法与测评用例做出详细说明。</w:t>
      </w:r>
    </w:p>
    <w:p w14:paraId="3E6BE55D">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2.3 实施要求</w:t>
      </w:r>
    </w:p>
    <w:p w14:paraId="4C4AFAA0">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（1）为了保证本次测评项目的实施质量和工期，本项目采用项目经理负责制、供应商安排具备一定信息安全技术能力、项目管理能力与等级测评工作经验的人员担任项目经理。</w:t>
      </w:r>
    </w:p>
    <w:p w14:paraId="737D9DCB">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（2）项目进场实施前，供应商必须与采购人签订项目保密协议。现场实施过程中测评人员必须接受</w:t>
      </w:r>
      <w:r>
        <w:rPr>
          <w:rFonts w:hint="eastAsia" w:ascii="宋体" w:hAnsi="宋体" w:cs="宋体"/>
          <w:color w:val="auto"/>
          <w:sz w:val="24"/>
          <w:lang w:val="zh-CN"/>
        </w:rPr>
        <w:t>采购人管</w:t>
      </w:r>
      <w:r>
        <w:rPr>
          <w:rFonts w:hint="eastAsia" w:ascii="宋体" w:hAnsi="宋体" w:cs="宋体"/>
          <w:sz w:val="24"/>
          <w:lang w:val="zh-CN"/>
        </w:rPr>
        <w:t>理。</w:t>
      </w:r>
    </w:p>
    <w:p w14:paraId="351B7480">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（3）供应商制定合理的时间计划安排。（项目工期：40个工作日）</w:t>
      </w:r>
    </w:p>
    <w:p w14:paraId="795120CC">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（4）本次项目实施过程主要分为准备阶段、方案编制阶段、现场测评阶段、分析与报告编制四个主要项目阶段，供应商在方案中明确各阶段双方的主要工作，各阶段双方须相互配合协调的内容。</w:t>
      </w:r>
    </w:p>
    <w:p w14:paraId="38642B32">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（5）为保证实施期间的系统安全运行，供应商应在合同期限内提供相应的应急响应服务，供应商的响应文件中须对期间可能出现的系统典型安全事件的处理流程与应急处理方法做出详细说明。</w:t>
      </w:r>
    </w:p>
    <w:p w14:paraId="75D9E504">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（6）供应商应具备完善的项目质量管理体系，在项目实施过程中项目经理应全程负责项目实施过程的把控。</w:t>
      </w:r>
    </w:p>
    <w:p w14:paraId="4333D213">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3、项目交付物</w:t>
      </w:r>
    </w:p>
    <w:p w14:paraId="00D296A9">
      <w:pPr>
        <w:wordWrap w:val="0"/>
        <w:spacing w:line="360" w:lineRule="auto"/>
        <w:ind w:firstLine="480" w:firstLineChars="200"/>
        <w:rPr>
          <w:rFonts w:hint="eastAsia"/>
        </w:rPr>
      </w:pPr>
      <w:r>
        <w:rPr>
          <w:rFonts w:hint="eastAsia" w:ascii="宋体" w:hAnsi="宋体" w:cs="宋体"/>
          <w:sz w:val="24"/>
          <w:lang w:val="zh-CN"/>
        </w:rPr>
        <w:t>本次项目的最终交付物为《XX（信息系统名称）网络安全等级测评报告》及整改建议（每个系统一份）</w:t>
      </w:r>
    </w:p>
    <w:p w14:paraId="77C80086">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四、</w:t>
      </w:r>
      <w:r>
        <w:rPr>
          <w:rFonts w:hint="eastAsia" w:ascii="Times New Roman" w:hAnsi="Times New Roman" w:eastAsia="宋体" w:cs="宋体"/>
          <w:b/>
          <w:sz w:val="24"/>
          <w:szCs w:val="24"/>
        </w:rPr>
        <w:t>采购标的数量、采购项目交付或者实施的时间和地点</w:t>
      </w:r>
    </w:p>
    <w:p w14:paraId="284F7E4C">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（一）项目预算：24万元</w:t>
      </w:r>
    </w:p>
    <w:p w14:paraId="02BED73A">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（二）服务清单</w:t>
      </w:r>
    </w:p>
    <w:tbl>
      <w:tblPr>
        <w:tblStyle w:val="25"/>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100"/>
        <w:gridCol w:w="1800"/>
        <w:gridCol w:w="1255"/>
        <w:gridCol w:w="1650"/>
      </w:tblGrid>
      <w:tr w14:paraId="52CA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vAlign w:val="center"/>
          </w:tcPr>
          <w:p w14:paraId="6E5380D1">
            <w:pPr>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序号</w:t>
            </w:r>
          </w:p>
        </w:tc>
        <w:tc>
          <w:tcPr>
            <w:tcW w:w="3100" w:type="dxa"/>
            <w:vAlign w:val="center"/>
          </w:tcPr>
          <w:p w14:paraId="1481CD57">
            <w:pPr>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被测评系统名称</w:t>
            </w:r>
          </w:p>
        </w:tc>
        <w:tc>
          <w:tcPr>
            <w:tcW w:w="1800" w:type="dxa"/>
            <w:vAlign w:val="center"/>
          </w:tcPr>
          <w:p w14:paraId="52AF2CF0">
            <w:pPr>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保护等级</w:t>
            </w:r>
          </w:p>
        </w:tc>
        <w:tc>
          <w:tcPr>
            <w:tcW w:w="1255" w:type="dxa"/>
            <w:vAlign w:val="center"/>
          </w:tcPr>
          <w:p w14:paraId="255BE515">
            <w:pPr>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数量</w:t>
            </w:r>
          </w:p>
        </w:tc>
        <w:tc>
          <w:tcPr>
            <w:tcW w:w="1650" w:type="dxa"/>
            <w:vAlign w:val="center"/>
          </w:tcPr>
          <w:p w14:paraId="51700DB3">
            <w:pPr>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备注</w:t>
            </w:r>
          </w:p>
        </w:tc>
      </w:tr>
      <w:tr w14:paraId="0EAF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vAlign w:val="center"/>
          </w:tcPr>
          <w:p w14:paraId="3C9B45D3">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1</w:t>
            </w:r>
          </w:p>
        </w:tc>
        <w:tc>
          <w:tcPr>
            <w:tcW w:w="3100" w:type="dxa"/>
            <w:vAlign w:val="center"/>
          </w:tcPr>
          <w:p w14:paraId="2BD28FDD">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集成平台系统</w:t>
            </w:r>
          </w:p>
        </w:tc>
        <w:tc>
          <w:tcPr>
            <w:tcW w:w="1800" w:type="dxa"/>
            <w:vAlign w:val="center"/>
          </w:tcPr>
          <w:p w14:paraId="47E5CD74">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第三级</w:t>
            </w:r>
          </w:p>
        </w:tc>
        <w:tc>
          <w:tcPr>
            <w:tcW w:w="1255" w:type="dxa"/>
            <w:vAlign w:val="center"/>
          </w:tcPr>
          <w:p w14:paraId="5607AF82">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1</w:t>
            </w:r>
          </w:p>
        </w:tc>
        <w:tc>
          <w:tcPr>
            <w:tcW w:w="1650" w:type="dxa"/>
            <w:vAlign w:val="center"/>
          </w:tcPr>
          <w:p w14:paraId="7FE4FC4B">
            <w:pPr>
              <w:jc w:val="center"/>
              <w:rPr>
                <w:rFonts w:hint="eastAsia" w:ascii="宋体" w:hAnsi="宋体" w:eastAsia="宋体" w:cs="宋体"/>
                <w:bCs/>
                <w:kern w:val="0"/>
                <w:sz w:val="24"/>
                <w:szCs w:val="24"/>
                <w:lang w:val="zh-CN"/>
              </w:rPr>
            </w:pPr>
          </w:p>
        </w:tc>
      </w:tr>
      <w:tr w14:paraId="675C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vAlign w:val="center"/>
          </w:tcPr>
          <w:p w14:paraId="07D5FDB4">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2</w:t>
            </w:r>
          </w:p>
        </w:tc>
        <w:tc>
          <w:tcPr>
            <w:tcW w:w="3100" w:type="dxa"/>
            <w:vAlign w:val="center"/>
          </w:tcPr>
          <w:p w14:paraId="3772A2AE">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临床信息系统</w:t>
            </w:r>
          </w:p>
        </w:tc>
        <w:tc>
          <w:tcPr>
            <w:tcW w:w="1800" w:type="dxa"/>
            <w:vAlign w:val="center"/>
          </w:tcPr>
          <w:p w14:paraId="43D7C135">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第三级</w:t>
            </w:r>
          </w:p>
        </w:tc>
        <w:tc>
          <w:tcPr>
            <w:tcW w:w="1255" w:type="dxa"/>
            <w:vAlign w:val="center"/>
          </w:tcPr>
          <w:p w14:paraId="471BD97B">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1</w:t>
            </w:r>
          </w:p>
        </w:tc>
        <w:tc>
          <w:tcPr>
            <w:tcW w:w="1650" w:type="dxa"/>
            <w:vAlign w:val="center"/>
          </w:tcPr>
          <w:p w14:paraId="12732B9D">
            <w:pPr>
              <w:jc w:val="center"/>
              <w:rPr>
                <w:rFonts w:hint="eastAsia" w:ascii="宋体" w:hAnsi="宋体" w:eastAsia="宋体" w:cs="宋体"/>
                <w:bCs/>
                <w:kern w:val="0"/>
                <w:sz w:val="24"/>
                <w:szCs w:val="24"/>
                <w:lang w:val="zh-CN"/>
              </w:rPr>
            </w:pPr>
          </w:p>
        </w:tc>
      </w:tr>
      <w:tr w14:paraId="3C00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vAlign w:val="center"/>
          </w:tcPr>
          <w:p w14:paraId="6FB26C87">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3</w:t>
            </w:r>
          </w:p>
        </w:tc>
        <w:tc>
          <w:tcPr>
            <w:tcW w:w="3100" w:type="dxa"/>
            <w:vAlign w:val="center"/>
          </w:tcPr>
          <w:p w14:paraId="2AFA6557">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互联网医院系统</w:t>
            </w:r>
          </w:p>
        </w:tc>
        <w:tc>
          <w:tcPr>
            <w:tcW w:w="1800" w:type="dxa"/>
            <w:vAlign w:val="center"/>
          </w:tcPr>
          <w:p w14:paraId="630E7C77">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第三级</w:t>
            </w:r>
          </w:p>
        </w:tc>
        <w:tc>
          <w:tcPr>
            <w:tcW w:w="1255" w:type="dxa"/>
            <w:vAlign w:val="center"/>
          </w:tcPr>
          <w:p w14:paraId="3DC9D478">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1</w:t>
            </w:r>
          </w:p>
        </w:tc>
        <w:tc>
          <w:tcPr>
            <w:tcW w:w="1650" w:type="dxa"/>
            <w:vAlign w:val="center"/>
          </w:tcPr>
          <w:p w14:paraId="02E8E760">
            <w:pPr>
              <w:jc w:val="center"/>
              <w:rPr>
                <w:rFonts w:hint="eastAsia" w:ascii="宋体" w:hAnsi="宋体" w:eastAsia="宋体" w:cs="宋体"/>
                <w:bCs/>
                <w:kern w:val="0"/>
                <w:sz w:val="24"/>
                <w:szCs w:val="24"/>
                <w:lang w:val="zh-CN"/>
              </w:rPr>
            </w:pPr>
          </w:p>
        </w:tc>
      </w:tr>
      <w:tr w14:paraId="6CE9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vAlign w:val="center"/>
          </w:tcPr>
          <w:p w14:paraId="0B2827B2">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4</w:t>
            </w:r>
          </w:p>
        </w:tc>
        <w:tc>
          <w:tcPr>
            <w:tcW w:w="3100" w:type="dxa"/>
            <w:vAlign w:val="center"/>
          </w:tcPr>
          <w:p w14:paraId="1E878F7D">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门户网站系统</w:t>
            </w:r>
          </w:p>
        </w:tc>
        <w:tc>
          <w:tcPr>
            <w:tcW w:w="1800" w:type="dxa"/>
            <w:vAlign w:val="center"/>
          </w:tcPr>
          <w:p w14:paraId="51986E40">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第二级</w:t>
            </w:r>
          </w:p>
        </w:tc>
        <w:tc>
          <w:tcPr>
            <w:tcW w:w="1255" w:type="dxa"/>
            <w:vAlign w:val="center"/>
          </w:tcPr>
          <w:p w14:paraId="5FCA5DCC">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1</w:t>
            </w:r>
          </w:p>
        </w:tc>
        <w:tc>
          <w:tcPr>
            <w:tcW w:w="1650" w:type="dxa"/>
            <w:vAlign w:val="center"/>
          </w:tcPr>
          <w:p w14:paraId="717D3F10">
            <w:pPr>
              <w:jc w:val="center"/>
              <w:rPr>
                <w:rFonts w:hint="eastAsia" w:ascii="宋体" w:hAnsi="宋体" w:eastAsia="宋体" w:cs="宋体"/>
                <w:bCs/>
                <w:kern w:val="0"/>
                <w:sz w:val="24"/>
                <w:szCs w:val="24"/>
                <w:lang w:val="zh-CN"/>
              </w:rPr>
            </w:pPr>
          </w:p>
        </w:tc>
      </w:tr>
      <w:tr w14:paraId="155A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vAlign w:val="center"/>
          </w:tcPr>
          <w:p w14:paraId="48A95DFB">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5</w:t>
            </w:r>
          </w:p>
        </w:tc>
        <w:tc>
          <w:tcPr>
            <w:tcW w:w="3100" w:type="dxa"/>
            <w:vAlign w:val="center"/>
          </w:tcPr>
          <w:p w14:paraId="248747AB">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LIS检验科管理系统</w:t>
            </w:r>
          </w:p>
        </w:tc>
        <w:tc>
          <w:tcPr>
            <w:tcW w:w="1800" w:type="dxa"/>
            <w:vAlign w:val="center"/>
          </w:tcPr>
          <w:p w14:paraId="74D52AA8">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第二级</w:t>
            </w:r>
          </w:p>
        </w:tc>
        <w:tc>
          <w:tcPr>
            <w:tcW w:w="1255" w:type="dxa"/>
            <w:vAlign w:val="center"/>
          </w:tcPr>
          <w:p w14:paraId="30D2706F">
            <w:pPr>
              <w:jc w:val="center"/>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1</w:t>
            </w:r>
          </w:p>
        </w:tc>
        <w:tc>
          <w:tcPr>
            <w:tcW w:w="1650" w:type="dxa"/>
            <w:vAlign w:val="center"/>
          </w:tcPr>
          <w:p w14:paraId="1430207A">
            <w:pPr>
              <w:jc w:val="center"/>
              <w:rPr>
                <w:rFonts w:hint="eastAsia" w:ascii="宋体" w:hAnsi="宋体" w:eastAsia="宋体" w:cs="宋体"/>
                <w:bCs/>
                <w:kern w:val="0"/>
                <w:sz w:val="24"/>
                <w:szCs w:val="24"/>
                <w:lang w:val="zh-CN"/>
              </w:rPr>
            </w:pPr>
          </w:p>
        </w:tc>
      </w:tr>
    </w:tbl>
    <w:p w14:paraId="1E194578">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（三）服务要求：</w:t>
      </w:r>
    </w:p>
    <w:p w14:paraId="5D0DE9EF">
      <w:pPr>
        <w:wordWrap w:val="0"/>
        <w:spacing w:line="360" w:lineRule="auto"/>
        <w:ind w:firstLine="480" w:firstLineChars="200"/>
        <w:rPr>
          <w:rFonts w:hint="eastAsia" w:hAnsi="宋体" w:cs="宋体"/>
          <w:b/>
          <w:bCs/>
          <w:sz w:val="28"/>
          <w:szCs w:val="28"/>
        </w:rPr>
      </w:pPr>
      <w:r>
        <w:rPr>
          <w:rFonts w:hint="eastAsia" w:ascii="宋体" w:hAnsi="宋体" w:cs="宋体"/>
          <w:sz w:val="24"/>
          <w:lang w:val="zh-CN"/>
        </w:rPr>
        <w:t>信息安全等级保护测评服务根据国家对网络和信息系统安全等级保护工作的相关法律和技术标准要求，结合本项目的系统保护等级开展实施与之相应的检查工作，具体检查内容应包括: 1、协助被测评单位开展定级及备案工作。 2、对网络和信息系统系统进行等级保护测评，测评内容包括技术部分和管理部分，其中技术部分为：安全物理环境、安全通信网络、安全区域边界、安全计算环境、安全管理中心；管理部分为：安全管理制度、安全管理机构、安全管理人员、安全建设管理、安全运维管理。客观的分析网络和信息系统系统保护现状和信息安全等级保护基本要求之间的差距。 3、根据《信息安全等级保护管理办法》和《网络安全等级保护基本要求》协助建立信息安全等级保护管理体系。 4、结合等级保护测评报告提出的安全防护现状与等级保护基本要求之间的差距，明确安全需求，设计符合相应等级要求的网络和信息系统安全技术建设整改方案，协助开展网络和信息系统安全等级保护安全技术措施建设。 5、完成测评备案工作、网络和信息系统安全等级保护的最终测评，提交各网络系统的测评报告至公安厅等保办。</w:t>
      </w:r>
    </w:p>
    <w:p w14:paraId="3DFCCE68">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五、</w:t>
      </w:r>
      <w:r>
        <w:rPr>
          <w:rFonts w:hint="eastAsia" w:ascii="Times New Roman" w:hAnsi="Times New Roman" w:eastAsia="宋体" w:cs="宋体"/>
          <w:b/>
          <w:sz w:val="24"/>
          <w:szCs w:val="24"/>
        </w:rPr>
        <w:t>采购标的需满足的服务标准、期限、效率等要求</w:t>
      </w:r>
    </w:p>
    <w:p w14:paraId="096E74CB">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 xml:space="preserve">（1）合同签订及质保期 </w:t>
      </w:r>
    </w:p>
    <w:p w14:paraId="12A53C4E">
      <w:pPr>
        <w:wordWrap w:val="0"/>
        <w:spacing w:line="360" w:lineRule="auto"/>
        <w:ind w:firstLine="720" w:firstLineChars="300"/>
        <w:rPr>
          <w:rFonts w:hint="eastAsia" w:ascii="宋体" w:hAnsi="宋体" w:cs="宋体"/>
          <w:sz w:val="24"/>
          <w:lang w:val="zh-CN"/>
        </w:rPr>
      </w:pPr>
      <w:r>
        <w:rPr>
          <w:rFonts w:hint="eastAsia" w:ascii="宋体" w:hAnsi="宋体" w:cs="宋体"/>
          <w:sz w:val="24"/>
          <w:lang w:val="zh-CN"/>
        </w:rPr>
        <w:t>签定合同日期：自中标（成交）通知书发出之日起 15日内按时签约。</w:t>
      </w:r>
    </w:p>
    <w:p w14:paraId="60537860">
      <w:pPr>
        <w:wordWrap w:val="0"/>
        <w:spacing w:line="360" w:lineRule="auto"/>
        <w:ind w:firstLine="480" w:firstLineChars="200"/>
        <w:rPr>
          <w:rFonts w:hint="eastAsia" w:ascii="宋体" w:hAnsi="宋体" w:cs="宋体"/>
          <w:color w:val="auto"/>
          <w:sz w:val="24"/>
          <w:lang w:val="zh-CN"/>
        </w:rPr>
      </w:pPr>
      <w:r>
        <w:rPr>
          <w:rFonts w:hint="eastAsia" w:ascii="宋体" w:hAnsi="宋体" w:cs="宋体"/>
          <w:sz w:val="24"/>
          <w:lang w:val="zh-CN"/>
        </w:rPr>
        <w:t>（2）</w:t>
      </w:r>
      <w:r>
        <w:rPr>
          <w:rFonts w:hint="eastAsia" w:ascii="宋体" w:hAnsi="宋体" w:cs="宋体"/>
          <w:color w:val="auto"/>
          <w:sz w:val="24"/>
          <w:lang w:val="zh-CN"/>
        </w:rPr>
        <w:t>项目工期：签订合同后40个工作日内完成网络安全等级保护测评并出具盖章报告。</w:t>
      </w:r>
    </w:p>
    <w:p w14:paraId="6F7720B5">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六、</w:t>
      </w:r>
      <w:r>
        <w:rPr>
          <w:rFonts w:hint="eastAsia" w:ascii="Times New Roman" w:hAnsi="Times New Roman" w:eastAsia="宋体" w:cs="宋体"/>
          <w:b/>
          <w:sz w:val="24"/>
          <w:szCs w:val="24"/>
        </w:rPr>
        <w:t>采购标的验收标准</w:t>
      </w:r>
    </w:p>
    <w:p w14:paraId="49880642">
      <w:pPr>
        <w:wordWrap w:val="0"/>
        <w:spacing w:line="360" w:lineRule="auto"/>
        <w:ind w:firstLine="480" w:firstLineChars="200"/>
        <w:rPr>
          <w:rFonts w:hint="eastAsia"/>
          <w:lang w:val="zh-CN"/>
        </w:rPr>
      </w:pPr>
      <w:r>
        <w:rPr>
          <w:rFonts w:hint="eastAsia" w:ascii="宋体" w:hAnsi="宋体" w:cs="宋体"/>
          <w:sz w:val="24"/>
          <w:lang w:val="zh-CN"/>
        </w:rPr>
        <w:t>采购单位按合同约定积极配合供应商履约，按合同约定及时组织相关专业技术人员进行验收，并出具验收报告，验收合格的作为支付款项的依据。</w:t>
      </w:r>
    </w:p>
    <w:p w14:paraId="44F146E4">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七、</w:t>
      </w:r>
      <w:r>
        <w:rPr>
          <w:rFonts w:hint="eastAsia" w:ascii="Times New Roman" w:hAnsi="Times New Roman" w:eastAsia="宋体" w:cs="宋体"/>
          <w:b/>
          <w:sz w:val="24"/>
          <w:szCs w:val="24"/>
        </w:rPr>
        <w:t>采购标的其他技术、服务等要求</w:t>
      </w:r>
    </w:p>
    <w:p w14:paraId="094894DF">
      <w:pPr>
        <w:wordWrap w:val="0"/>
        <w:spacing w:line="360" w:lineRule="auto"/>
        <w:ind w:firstLine="480" w:firstLineChars="200"/>
        <w:rPr>
          <w:rFonts w:hint="eastAsia"/>
          <w:lang w:val="zh-CN"/>
        </w:rPr>
      </w:pPr>
      <w:r>
        <w:rPr>
          <w:rFonts w:hint="eastAsia" w:ascii="宋体" w:hAnsi="宋体" w:cs="宋体"/>
          <w:sz w:val="24"/>
          <w:lang w:val="zh-CN"/>
        </w:rPr>
        <w:t>质量保证期内提供工程师免费上门安装、调试、更换所供设备的所有零、部件，设备所有软件系统、相关数据库均提供免费升级服务；提供完备的软件、技术资料和用户维护手册。</w:t>
      </w:r>
    </w:p>
    <w:p w14:paraId="7204FAE3">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sz w:val="24"/>
          <w:szCs w:val="24"/>
        </w:rPr>
      </w:pPr>
      <w:r>
        <w:rPr>
          <w:rFonts w:hint="eastAsia" w:ascii="Times New Roman" w:hAnsi="Times New Roman" w:eastAsia="宋体" w:cs="宋体"/>
          <w:b/>
          <w:sz w:val="24"/>
          <w:szCs w:val="24"/>
          <w:lang w:eastAsia="zh-CN"/>
        </w:rPr>
        <w:t>八、</w:t>
      </w:r>
      <w:r>
        <w:rPr>
          <w:rFonts w:hint="eastAsia" w:ascii="Times New Roman" w:hAnsi="Times New Roman" w:eastAsia="宋体" w:cs="宋体"/>
          <w:b/>
          <w:sz w:val="24"/>
          <w:szCs w:val="24"/>
        </w:rPr>
        <w:t>付款条件</w:t>
      </w:r>
    </w:p>
    <w:p w14:paraId="29EC224E">
      <w:pPr>
        <w:wordWrap w:val="0"/>
        <w:spacing w:line="360" w:lineRule="auto"/>
        <w:ind w:firstLine="480" w:firstLineChars="200"/>
        <w:rPr>
          <w:rFonts w:hint="eastAsia" w:ascii="宋体" w:hAnsi="宋体" w:cs="宋体"/>
          <w:sz w:val="24"/>
          <w:lang w:val="zh-CN"/>
        </w:rPr>
      </w:pPr>
      <w:r>
        <w:rPr>
          <w:rFonts w:hint="eastAsia" w:ascii="宋体" w:hAnsi="宋体" w:cs="宋体"/>
          <w:sz w:val="24"/>
          <w:lang w:val="zh-CN"/>
        </w:rPr>
        <w:t>付款方式：提交测评报告30天内一次性支付全额服务款。供应商开具正规税务发票。</w:t>
      </w:r>
    </w:p>
    <w:p w14:paraId="469E48FE">
      <w:pPr>
        <w:rPr>
          <w:rFonts w:hint="eastAsia" w:ascii="Times New Roman" w:hAnsi="Times New Roman" w:eastAsia="宋体" w:cs="宋体"/>
          <w:w w:val="80"/>
          <w:sz w:val="48"/>
          <w:szCs w:val="44"/>
        </w:rPr>
      </w:pPr>
      <w:r>
        <w:rPr>
          <w:rFonts w:hint="eastAsia" w:ascii="Times New Roman" w:hAnsi="Times New Roman" w:eastAsia="宋体" w:cs="宋体"/>
          <w:w w:val="80"/>
          <w:sz w:val="48"/>
          <w:szCs w:val="44"/>
        </w:rPr>
        <w:br w:type="page"/>
      </w:r>
    </w:p>
    <w:p w14:paraId="63A026ED">
      <w:pPr>
        <w:pStyle w:val="3"/>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第四章</w:t>
      </w:r>
      <w:bookmarkStart w:id="10" w:name="_Toc37322565"/>
      <w:bookmarkStart w:id="11" w:name="_Toc43217893"/>
      <w:bookmarkStart w:id="12" w:name="_Toc38121794"/>
      <w:bookmarkStart w:id="13" w:name="_Toc182848996"/>
      <w:bookmarkStart w:id="14" w:name="_Toc85627670"/>
      <w:r>
        <w:rPr>
          <w:rFonts w:hint="eastAsia" w:ascii="Times New Roman" w:hAnsi="Times New Roman" w:eastAsia="宋体" w:cs="宋体"/>
          <w:w w:val="80"/>
          <w:sz w:val="48"/>
          <w:szCs w:val="44"/>
        </w:rPr>
        <w:t xml:space="preserve"> 评审方法和程序</w:t>
      </w:r>
      <w:bookmarkEnd w:id="10"/>
      <w:bookmarkEnd w:id="11"/>
      <w:bookmarkEnd w:id="12"/>
      <w:bookmarkEnd w:id="13"/>
      <w:bookmarkEnd w:id="14"/>
    </w:p>
    <w:p w14:paraId="42F72455">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bookmarkStart w:id="15" w:name="_Toc363573857"/>
      <w:bookmarkEnd w:id="15"/>
      <w:r>
        <w:rPr>
          <w:rFonts w:hint="eastAsia" w:ascii="Times New Roman" w:hAnsi="Times New Roman" w:eastAsia="宋体" w:cs="宋体"/>
          <w:b/>
          <w:bCs/>
          <w:szCs w:val="24"/>
          <w:shd w:val="clear" w:color="auto" w:fill="FFFFFF"/>
        </w:rPr>
        <w:t>一、代理机构组织磋商</w:t>
      </w:r>
    </w:p>
    <w:p w14:paraId="13DD63E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1、本次竞争性磋商依据《中华人民共和国政府采购法》、《政府采购竞争性磋商采购人式管理暂行办法》及有关法规成立磋商小组。磋商小组由3人以上单数组成。</w:t>
      </w:r>
    </w:p>
    <w:p w14:paraId="15F63C2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2、磋商小组的职责：</w:t>
      </w:r>
    </w:p>
    <w:p w14:paraId="4F1397F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（1）磋商小组成员应当按照客观、公正、审慎的原则，根据磋商文件规定的评审程序、评审方法和评审标准进行独立评审。</w:t>
      </w:r>
    </w:p>
    <w:p w14:paraId="73A6820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（2）磋商小组成员应当遵守评审工作纪律，不得泄露评审情况和评审中获悉的商业秘密，对个人的评审意见承担法律责任；</w:t>
      </w:r>
    </w:p>
    <w:p w14:paraId="6EAA2CE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（3）磋商小组成员在评审过程中发现供应商有行贿、提供虚假材料或者串通等违法行为的，应当及时向财政部门报告。</w:t>
      </w:r>
    </w:p>
    <w:p w14:paraId="66B679F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（4）磋商小组成员在评审过程中受到非法干涉的，应当及时向财政、监察等部门举报。</w:t>
      </w:r>
    </w:p>
    <w:p w14:paraId="0BB9E27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（5）配合采购单位答复供应商提出的质疑。</w:t>
      </w:r>
    </w:p>
    <w:p w14:paraId="587F1F1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3、评审有关记录由磋商小组成员签名，存档备查。</w:t>
      </w:r>
    </w:p>
    <w:p w14:paraId="015F395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4、供应商的法定代表人或被授权人须持身份证准时参加磋商开标会。</w:t>
      </w:r>
    </w:p>
    <w:p w14:paraId="27EFC6A3">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二、磋商的原则及方法</w:t>
      </w:r>
    </w:p>
    <w:p w14:paraId="51ED04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1、磋商小组依据《中华人民共和国政府采购法》、《政府采购竞争性磋商采购人式管理暂行办法》以及有关政府采购的相关法规，遵循</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公开、公平、公正、择优、信用</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的原则进行磋商评审。</w:t>
      </w:r>
    </w:p>
    <w:p w14:paraId="0DB3DEC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2、磋商小组将按照竞争性磋商文件的规定，独立对每个进入打分程序的有效投标供应商的响应文件的技术部分以打分的形式进行评审和评价。技术分取算术平均值（计算结果均四舍五入保留两位小数）。</w:t>
      </w:r>
    </w:p>
    <w:p w14:paraId="2C17DB5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67FEC03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4、除非在磋商中磋商小组对采购单位需求内容作了调整增加，或对采购内容作了实质性变更，否则</w:t>
      </w:r>
      <w:r>
        <w:rPr>
          <w:rFonts w:hint="eastAsia" w:ascii="Times New Roman" w:hAnsi="Times New Roman" w:eastAsia="宋体" w:cs="宋体"/>
          <w:b/>
          <w:sz w:val="24"/>
          <w:szCs w:val="24"/>
        </w:rPr>
        <w:t>采购单位不接受供应商高于自己前一轮的磋商报价</w:t>
      </w:r>
      <w:r>
        <w:rPr>
          <w:rFonts w:hint="eastAsia" w:ascii="Times New Roman" w:hAnsi="Times New Roman" w:eastAsia="宋体" w:cs="宋体"/>
          <w:sz w:val="24"/>
          <w:szCs w:val="24"/>
        </w:rPr>
        <w:t>。</w:t>
      </w:r>
    </w:p>
    <w:p w14:paraId="25F9B61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5、对于在磋商顺利开始后至最终报价前，根据磋商情况退出磋商的供应商，须以书面形式说明退出磋商的原因，经磋商小组同意可以退出磋商。</w:t>
      </w:r>
    </w:p>
    <w:p w14:paraId="5C671DC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6、</w:t>
      </w:r>
      <w:r>
        <w:rPr>
          <w:rFonts w:hint="eastAsia" w:ascii="Times New Roman" w:hAnsi="Times New Roman" w:eastAsia="宋体"/>
          <w:sz w:val="24"/>
          <w:szCs w:val="24"/>
        </w:rPr>
        <w:t>单位负责人为同一人或者存在直接控股、管理关系的不同供应商，都不得在同一采购项目相同标段中同时参加磋商，一经发现，将视同围标处理。</w:t>
      </w:r>
    </w:p>
    <w:p w14:paraId="2207128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5F671AD9">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FF0000"/>
          <w:sz w:val="24"/>
          <w:szCs w:val="24"/>
        </w:rPr>
      </w:pPr>
      <w:r>
        <w:rPr>
          <w:rFonts w:hint="eastAsia" w:ascii="Times New Roman" w:hAnsi="Times New Roman" w:eastAsia="宋体" w:cs="宋体"/>
          <w:b/>
          <w:bCs/>
          <w:sz w:val="24"/>
          <w:szCs w:val="24"/>
        </w:rPr>
        <w:t>8、若采购过程中符合要求的供应商只有两家，则由磋商小组集体讨论决定是否继续进行竞争性磋商采购活动；若采购过程中符合要求的供应商只有一家，则终止本次竞争性磋商采购活动，重新开展采购活动。</w:t>
      </w:r>
    </w:p>
    <w:p w14:paraId="642EBA46">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三、磋商评定结果的方法</w:t>
      </w:r>
    </w:p>
    <w:p w14:paraId="1FA7A4F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r>
        <w:rPr>
          <w:rFonts w:hint="eastAsia" w:ascii="Times New Roman" w:hAnsi="Times New Roman" w:eastAsia="宋体" w:cs="宋体"/>
          <w:b/>
          <w:sz w:val="24"/>
          <w:szCs w:val="24"/>
          <w:u w:val="single"/>
        </w:rPr>
        <w:t>经磋商确定最终采购需求和提交最后报价的供应商后，</w:t>
      </w:r>
      <w:r>
        <w:rPr>
          <w:rFonts w:hint="eastAsia" w:ascii="Times New Roman" w:hAnsi="Times New Roman" w:eastAsia="宋体" w:cs="宋体"/>
          <w:sz w:val="24"/>
          <w:szCs w:val="24"/>
        </w:rPr>
        <w:t>由磋商小组采用综合评分法</w:t>
      </w:r>
      <w:r>
        <w:rPr>
          <w:rFonts w:hint="eastAsia" w:ascii="Times New Roman" w:hAnsi="Times New Roman" w:eastAsia="宋体" w:cs="宋体"/>
          <w:b/>
          <w:sz w:val="24"/>
          <w:szCs w:val="24"/>
          <w:u w:val="single"/>
        </w:rPr>
        <w:t>对提交最后报价的供应商的响应文件和最后报价</w:t>
      </w:r>
      <w:r>
        <w:rPr>
          <w:rFonts w:hint="eastAsia" w:ascii="Times New Roman" w:hAnsi="Times New Roman" w:eastAsia="宋体" w:cs="宋体"/>
          <w:sz w:val="24"/>
          <w:szCs w:val="24"/>
        </w:rPr>
        <w:t>进行综合评分。</w:t>
      </w:r>
    </w:p>
    <w:p w14:paraId="68BA05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2、评审时，磋商小组各成员应当独立对每个有效响应的文件进行评价、打分，然后汇总每个供应商每项评分因素的得分（计算结果均四舍五入保留两位小数）。</w:t>
      </w:r>
    </w:p>
    <w:p w14:paraId="0452C9E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3、本次项目磋商的技术和报价评审总分值为100分。两部分评审因素比重如下：</w:t>
      </w:r>
    </w:p>
    <w:p w14:paraId="3031F85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技术分值占总分值的比重为</w:t>
      </w:r>
      <w:r>
        <w:rPr>
          <w:rFonts w:hint="eastAsia" w:ascii="Times New Roman" w:hAnsi="Times New Roman" w:eastAsia="宋体" w:cs="宋体"/>
          <w:b/>
          <w:sz w:val="24"/>
          <w:szCs w:val="24"/>
          <w:u w:val="single"/>
          <w:lang w:val="en-US" w:eastAsia="zh-CN"/>
        </w:rPr>
        <w:t>80</w:t>
      </w:r>
      <w:r>
        <w:rPr>
          <w:rFonts w:hint="eastAsia" w:ascii="Times New Roman" w:hAnsi="Times New Roman" w:eastAsia="宋体" w:cs="宋体"/>
          <w:b/>
          <w:sz w:val="24"/>
          <w:szCs w:val="24"/>
          <w:u w:val="single"/>
        </w:rPr>
        <w:t>%（权重）</w:t>
      </w:r>
      <w:r>
        <w:rPr>
          <w:rFonts w:hint="eastAsia" w:ascii="Times New Roman" w:hAnsi="Times New Roman" w:eastAsia="宋体" w:cs="宋体"/>
          <w:sz w:val="24"/>
          <w:szCs w:val="24"/>
        </w:rPr>
        <w:t>（四舍五入保留两位小数）；</w:t>
      </w:r>
    </w:p>
    <w:p w14:paraId="1D2B315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报价分值占总分值的比重为</w:t>
      </w:r>
      <w:r>
        <w:rPr>
          <w:rFonts w:hint="eastAsia" w:ascii="Times New Roman" w:hAnsi="Times New Roman" w:eastAsia="宋体" w:cs="宋体"/>
          <w:b/>
          <w:sz w:val="24"/>
          <w:szCs w:val="24"/>
          <w:u w:val="single"/>
          <w:lang w:val="en-US" w:eastAsia="zh-CN"/>
        </w:rPr>
        <w:t>20</w:t>
      </w:r>
      <w:r>
        <w:rPr>
          <w:rFonts w:hint="eastAsia" w:ascii="Times New Roman" w:hAnsi="Times New Roman" w:eastAsia="宋体" w:cs="宋体"/>
          <w:b/>
          <w:sz w:val="24"/>
          <w:szCs w:val="24"/>
          <w:u w:val="single"/>
        </w:rPr>
        <w:t>%（权重）</w:t>
      </w:r>
      <w:r>
        <w:rPr>
          <w:rFonts w:hint="eastAsia" w:ascii="Times New Roman" w:hAnsi="Times New Roman" w:eastAsia="宋体" w:cs="宋体"/>
          <w:sz w:val="24"/>
          <w:szCs w:val="24"/>
        </w:rPr>
        <w:t>（四舍五入保留两位小数）。</w:t>
      </w:r>
    </w:p>
    <w:p w14:paraId="2785C00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4、技术分按算术平均值计算，分值四舍五入保留两位小数。</w:t>
      </w:r>
    </w:p>
    <w:p w14:paraId="1CC32C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5、报价分统一采用低价优先法计算直接取得，与技术分相加为供应商的综合得分（四舍五入保留两位小数）。</w:t>
      </w:r>
    </w:p>
    <w:p w14:paraId="756F3D1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6、综合得分最高的供应商推荐为项目预成交人并出具评审磋商报告。</w:t>
      </w:r>
    </w:p>
    <w:p w14:paraId="2D67C28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7、确定成交候选人的特殊情况处理：</w:t>
      </w:r>
    </w:p>
    <w:p w14:paraId="47C4BA7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（1）若总分相同，则按最终报价响应得分高者优先中标。</w:t>
      </w:r>
    </w:p>
    <w:p w14:paraId="0DEF2D3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（2）若总分且最终报价响应得分相同，则采取现场抽签的方式确定（投标供应商的抽签顺序分别为各投标供应商递交响应文件签到顺序号）。</w:t>
      </w:r>
    </w:p>
    <w:p w14:paraId="3C3A1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8、磋商评审时，评委对评审的细则若有争议，由磋商小组集体讨论确定，并对未尽情况有最终解释权。</w:t>
      </w:r>
    </w:p>
    <w:p w14:paraId="1E0FF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9、对落标的供应商不做落标原因的解释。</w:t>
      </w:r>
    </w:p>
    <w:p w14:paraId="75D37F34">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四、综合评分评审标准</w:t>
      </w:r>
    </w:p>
    <w:p w14:paraId="392D728A">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（一）商务技术分：</w:t>
      </w:r>
      <w:r>
        <w:rPr>
          <w:rFonts w:hint="eastAsia" w:ascii="Times New Roman" w:hAnsi="Times New Roman" w:cs="宋体"/>
          <w:b/>
          <w:bCs/>
          <w:szCs w:val="24"/>
          <w:shd w:val="clear" w:color="auto" w:fill="FFFFFF"/>
          <w:lang w:val="en-US" w:eastAsia="zh-CN"/>
        </w:rPr>
        <w:t>80</w:t>
      </w:r>
      <w:r>
        <w:rPr>
          <w:rFonts w:hint="eastAsia" w:ascii="Times New Roman" w:hAnsi="Times New Roman" w:eastAsia="宋体" w:cs="宋体"/>
          <w:b/>
          <w:bCs/>
          <w:szCs w:val="24"/>
          <w:shd w:val="clear" w:color="auto" w:fill="FFFFFF"/>
        </w:rPr>
        <w:t>分</w:t>
      </w:r>
    </w:p>
    <w:tbl>
      <w:tblPr>
        <w:tblStyle w:val="24"/>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36"/>
        <w:gridCol w:w="765"/>
        <w:gridCol w:w="6254"/>
      </w:tblGrid>
      <w:tr w14:paraId="4512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28EE2A60">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336" w:type="dxa"/>
            <w:noWrap w:val="0"/>
            <w:vAlign w:val="center"/>
          </w:tcPr>
          <w:p w14:paraId="77312134">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评审项目</w:t>
            </w:r>
          </w:p>
        </w:tc>
        <w:tc>
          <w:tcPr>
            <w:tcW w:w="765" w:type="dxa"/>
            <w:noWrap w:val="0"/>
            <w:vAlign w:val="center"/>
          </w:tcPr>
          <w:p w14:paraId="1512E12F">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eastAsia="zh-CN"/>
              </w:rPr>
              <w:t>满</w:t>
            </w:r>
            <w:r>
              <w:rPr>
                <w:rFonts w:hint="eastAsia" w:ascii="宋体" w:hAnsi="宋体" w:eastAsia="宋体" w:cs="宋体"/>
                <w:b/>
                <w:bCs/>
                <w:sz w:val="24"/>
                <w:szCs w:val="24"/>
              </w:rPr>
              <w:t>分</w:t>
            </w:r>
          </w:p>
        </w:tc>
        <w:tc>
          <w:tcPr>
            <w:tcW w:w="6254" w:type="dxa"/>
            <w:noWrap w:val="0"/>
            <w:vAlign w:val="center"/>
          </w:tcPr>
          <w:p w14:paraId="795C8665">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lang w:eastAsia="zh-CN"/>
              </w:rPr>
            </w:pPr>
            <w:r>
              <w:rPr>
                <w:rFonts w:hint="eastAsia" w:hAnsi="宋体" w:cs="宋体"/>
                <w:b/>
                <w:bCs/>
                <w:sz w:val="24"/>
                <w:szCs w:val="24"/>
                <w:lang w:eastAsia="zh-CN"/>
              </w:rPr>
              <w:t>评分细则</w:t>
            </w:r>
          </w:p>
        </w:tc>
      </w:tr>
      <w:tr w14:paraId="1D90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restart"/>
            <w:noWrap w:val="0"/>
            <w:vAlign w:val="center"/>
          </w:tcPr>
          <w:p w14:paraId="43F94FE6">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6" w:type="dxa"/>
            <w:vMerge w:val="restart"/>
            <w:noWrap w:val="0"/>
            <w:vAlign w:val="center"/>
          </w:tcPr>
          <w:p w14:paraId="29DE6363">
            <w:pPr>
              <w:widowControl/>
              <w:adjustRightInd w:val="0"/>
              <w:snapToGrid w:val="0"/>
              <w:spacing w:after="200"/>
              <w:jc w:val="center"/>
              <w:textAlignment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综合能力</w:t>
            </w:r>
          </w:p>
          <w:p w14:paraId="51E88B7A">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r>
              <w:rPr>
                <w:rFonts w:hint="eastAsia" w:ascii="宋体" w:hAnsi="宋体" w:eastAsia="宋体" w:cs="宋体"/>
                <w:kern w:val="2"/>
                <w:sz w:val="24"/>
                <w:szCs w:val="24"/>
                <w:lang w:val="zh-CN" w:eastAsia="zh-CN" w:bidi="ar-SA"/>
              </w:rPr>
              <w:t>（21分）</w:t>
            </w:r>
          </w:p>
        </w:tc>
        <w:tc>
          <w:tcPr>
            <w:tcW w:w="765" w:type="dxa"/>
            <w:noWrap w:val="0"/>
            <w:vAlign w:val="center"/>
          </w:tcPr>
          <w:p w14:paraId="6BA1502D">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default" w:hAnsi="宋体" w:cs="宋体"/>
                <w:sz w:val="24"/>
                <w:szCs w:val="24"/>
                <w:lang w:val="en-US" w:eastAsia="zh-CN"/>
              </w:rPr>
            </w:pPr>
            <w:r>
              <w:rPr>
                <w:rFonts w:hint="eastAsia" w:hAnsi="宋体" w:cs="宋体"/>
                <w:sz w:val="24"/>
                <w:szCs w:val="24"/>
                <w:lang w:val="en-US" w:eastAsia="zh-CN"/>
              </w:rPr>
              <w:t>6</w:t>
            </w:r>
          </w:p>
        </w:tc>
        <w:tc>
          <w:tcPr>
            <w:tcW w:w="6254" w:type="dxa"/>
            <w:noWrap w:val="0"/>
            <w:vAlign w:val="top"/>
          </w:tcPr>
          <w:p w14:paraId="7B38EE53">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供应商近五年在国家网络安全等级保护工作协调小组办公室网站（www.djbh.net）上无任何违规处罚、通报、责令整改等信息得6分，其余不得分。（供应商需提供在上述网站无违规处罚信息承诺函）。</w:t>
            </w:r>
          </w:p>
        </w:tc>
      </w:tr>
      <w:tr w14:paraId="1602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continue"/>
            <w:noWrap w:val="0"/>
            <w:vAlign w:val="center"/>
          </w:tcPr>
          <w:p w14:paraId="577AF52A">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p>
        </w:tc>
        <w:tc>
          <w:tcPr>
            <w:tcW w:w="1336" w:type="dxa"/>
            <w:vMerge w:val="continue"/>
            <w:noWrap w:val="0"/>
            <w:vAlign w:val="center"/>
          </w:tcPr>
          <w:p w14:paraId="0B59D545">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p>
        </w:tc>
        <w:tc>
          <w:tcPr>
            <w:tcW w:w="765" w:type="dxa"/>
            <w:noWrap w:val="0"/>
            <w:vAlign w:val="center"/>
          </w:tcPr>
          <w:p w14:paraId="7BB37067">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default" w:hAnsi="宋体" w:cs="宋体"/>
                <w:sz w:val="24"/>
                <w:szCs w:val="24"/>
                <w:lang w:val="en-US" w:eastAsia="zh-CN"/>
              </w:rPr>
            </w:pPr>
            <w:r>
              <w:rPr>
                <w:rFonts w:hint="eastAsia" w:hAnsi="宋体" w:cs="宋体"/>
                <w:sz w:val="24"/>
                <w:szCs w:val="24"/>
                <w:lang w:val="en-US" w:eastAsia="zh-CN"/>
              </w:rPr>
              <w:t>10</w:t>
            </w:r>
          </w:p>
        </w:tc>
        <w:tc>
          <w:tcPr>
            <w:tcW w:w="6254" w:type="dxa"/>
            <w:noWrap w:val="0"/>
            <w:vAlign w:val="top"/>
          </w:tcPr>
          <w:p w14:paraId="456B464A">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left"/>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具有信息安全管理体系认证证书(ISO27001)、质量管理体系认证证书（ISO9001）、信息安全应急处理服务资质证书、信息安全风险评估服务资质证书、信息技术服务运行维护标准（ITSS）符合性证书。每提供1份证书得2分，本项最高10分。</w:t>
            </w:r>
          </w:p>
          <w:p w14:paraId="53D54004">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w:t>
            </w:r>
            <w:r>
              <w:rPr>
                <w:rFonts w:hint="eastAsia" w:hAnsi="宋体" w:cs="宋体"/>
                <w:kern w:val="2"/>
                <w:sz w:val="24"/>
                <w:szCs w:val="24"/>
                <w:lang w:val="zh-CN" w:eastAsia="zh-CN" w:bidi="ar-SA"/>
              </w:rPr>
              <w:t>上述证书</w:t>
            </w:r>
            <w:r>
              <w:rPr>
                <w:rFonts w:hint="eastAsia" w:ascii="宋体" w:hAnsi="宋体" w:eastAsia="宋体" w:cs="宋体"/>
                <w:kern w:val="2"/>
                <w:sz w:val="24"/>
                <w:szCs w:val="24"/>
                <w:lang w:val="zh-CN" w:eastAsia="zh-CN" w:bidi="ar-SA"/>
              </w:rPr>
              <w:t>需提供复印件并加盖公章）</w:t>
            </w:r>
          </w:p>
        </w:tc>
      </w:tr>
      <w:tr w14:paraId="6E83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continue"/>
            <w:noWrap w:val="0"/>
            <w:vAlign w:val="center"/>
          </w:tcPr>
          <w:p w14:paraId="77C0ADA2">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val="en-US" w:eastAsia="zh-CN"/>
              </w:rPr>
            </w:pPr>
          </w:p>
        </w:tc>
        <w:tc>
          <w:tcPr>
            <w:tcW w:w="1336" w:type="dxa"/>
            <w:vMerge w:val="continue"/>
            <w:noWrap w:val="0"/>
            <w:vAlign w:val="center"/>
          </w:tcPr>
          <w:p w14:paraId="4279B782">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p>
        </w:tc>
        <w:tc>
          <w:tcPr>
            <w:tcW w:w="765" w:type="dxa"/>
            <w:noWrap w:val="0"/>
            <w:vAlign w:val="center"/>
          </w:tcPr>
          <w:p w14:paraId="173B8D4B">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default" w:hAnsi="宋体" w:cs="宋体"/>
                <w:sz w:val="24"/>
                <w:szCs w:val="24"/>
                <w:lang w:val="en-US" w:eastAsia="zh-CN"/>
              </w:rPr>
            </w:pPr>
            <w:r>
              <w:rPr>
                <w:rFonts w:hint="eastAsia" w:hAnsi="宋体" w:cs="宋体"/>
                <w:sz w:val="24"/>
                <w:szCs w:val="24"/>
                <w:lang w:val="en-US" w:eastAsia="zh-CN"/>
              </w:rPr>
              <w:t>2</w:t>
            </w:r>
          </w:p>
        </w:tc>
        <w:tc>
          <w:tcPr>
            <w:tcW w:w="6254" w:type="dxa"/>
            <w:noWrap w:val="0"/>
            <w:vAlign w:val="top"/>
          </w:tcPr>
          <w:p w14:paraId="47345F43">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响应供应商在CNAS测评能力验证结果为“满意”的得2分（提供中国合格评定国家认可委员会出具的能力验证计划结果证书复印件并加盖响应供应商公章），否则不得分。</w:t>
            </w:r>
          </w:p>
        </w:tc>
      </w:tr>
      <w:tr w14:paraId="115C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Merge w:val="continue"/>
            <w:noWrap w:val="0"/>
            <w:vAlign w:val="center"/>
          </w:tcPr>
          <w:p w14:paraId="66023264">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default" w:ascii="宋体" w:hAnsi="宋体" w:eastAsia="宋体" w:cs="宋体"/>
                <w:sz w:val="24"/>
                <w:szCs w:val="24"/>
                <w:lang w:val="en-US" w:eastAsia="zh-CN"/>
              </w:rPr>
            </w:pPr>
          </w:p>
        </w:tc>
        <w:tc>
          <w:tcPr>
            <w:tcW w:w="1336" w:type="dxa"/>
            <w:vMerge w:val="continue"/>
            <w:noWrap w:val="0"/>
            <w:vAlign w:val="center"/>
          </w:tcPr>
          <w:p w14:paraId="7B3BFFB0">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宋体" w:hAnsi="宋体" w:eastAsia="宋体" w:cs="宋体"/>
                <w:sz w:val="24"/>
                <w:szCs w:val="24"/>
                <w:lang w:eastAsia="zh-CN"/>
              </w:rPr>
            </w:pPr>
          </w:p>
        </w:tc>
        <w:tc>
          <w:tcPr>
            <w:tcW w:w="765" w:type="dxa"/>
            <w:noWrap w:val="0"/>
            <w:vAlign w:val="center"/>
          </w:tcPr>
          <w:p w14:paraId="4A1DF882">
            <w:pPr>
              <w:widowControl/>
              <w:snapToGrid w:val="0"/>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6254" w:type="dxa"/>
            <w:noWrap w:val="0"/>
            <w:vAlign w:val="center"/>
          </w:tcPr>
          <w:p w14:paraId="186C4643">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供应商具备国家信息安全漏洞库（CNNVD）技术支撑单位等级证书得3分（需提供证书复印件、网页查询截图并加盖公章）。</w:t>
            </w:r>
          </w:p>
        </w:tc>
      </w:tr>
      <w:tr w14:paraId="7BC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0" w:type="dxa"/>
            <w:vMerge w:val="restart"/>
            <w:noWrap w:val="0"/>
            <w:vAlign w:val="center"/>
          </w:tcPr>
          <w:p w14:paraId="51009F90">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default" w:ascii="宋体" w:hAnsi="宋体" w:eastAsia="宋体" w:cs="宋体"/>
                <w:sz w:val="24"/>
                <w:szCs w:val="24"/>
                <w:lang w:val="en-US" w:eastAsia="zh-CN"/>
              </w:rPr>
            </w:pPr>
            <w:r>
              <w:rPr>
                <w:rFonts w:hint="eastAsia" w:hAnsi="宋体" w:cs="宋体"/>
                <w:sz w:val="24"/>
                <w:szCs w:val="24"/>
                <w:lang w:val="en-US" w:eastAsia="zh-CN"/>
              </w:rPr>
              <w:t>2</w:t>
            </w:r>
          </w:p>
        </w:tc>
        <w:tc>
          <w:tcPr>
            <w:tcW w:w="1336" w:type="dxa"/>
            <w:vMerge w:val="restart"/>
            <w:noWrap w:val="0"/>
            <w:vAlign w:val="center"/>
          </w:tcPr>
          <w:p w14:paraId="48F4C723">
            <w:pPr>
              <w:widowControl/>
              <w:adjustRightInd w:val="0"/>
              <w:snapToGrid w:val="0"/>
              <w:spacing w:after="200"/>
              <w:jc w:val="center"/>
              <w:textAlignment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项目小组实力</w:t>
            </w:r>
          </w:p>
          <w:p w14:paraId="25E55655">
            <w:pPr>
              <w:widowControl/>
              <w:adjustRightInd w:val="0"/>
              <w:snapToGrid w:val="0"/>
              <w:spacing w:after="200"/>
              <w:jc w:val="center"/>
              <w:textAlignment w:val="center"/>
              <w:rPr>
                <w:rFonts w:hint="eastAsia" w:ascii="宋体" w:hAnsi="宋体" w:eastAsia="宋体" w:cs="宋体"/>
                <w:sz w:val="24"/>
                <w:szCs w:val="24"/>
                <w:lang w:eastAsia="zh-CN"/>
              </w:rPr>
            </w:pPr>
            <w:r>
              <w:rPr>
                <w:rFonts w:hint="eastAsia" w:ascii="宋体" w:hAnsi="宋体" w:eastAsia="宋体" w:cs="宋体"/>
                <w:kern w:val="2"/>
                <w:sz w:val="24"/>
                <w:szCs w:val="24"/>
                <w:lang w:val="zh-CN" w:eastAsia="zh-CN" w:bidi="ar-SA"/>
              </w:rPr>
              <w:t>（24分）</w:t>
            </w:r>
          </w:p>
        </w:tc>
        <w:tc>
          <w:tcPr>
            <w:tcW w:w="765" w:type="dxa"/>
            <w:noWrap w:val="0"/>
            <w:vAlign w:val="center"/>
          </w:tcPr>
          <w:p w14:paraId="26D4D64A">
            <w:pPr>
              <w:widowControl/>
              <w:snapToGrid w:val="0"/>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6254" w:type="dxa"/>
            <w:noWrap w:val="0"/>
            <w:vAlign w:val="center"/>
          </w:tcPr>
          <w:p w14:paraId="714DFF85">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供应商需提供项目团队拟派人员清单，团队需至少4人具有公安部信息安全等级保护评估中心颁发的《信息安全等级测评师》证书得6分，团拟派队人员不足4人或不符合条件的不得分。</w:t>
            </w:r>
          </w:p>
          <w:p w14:paraId="038A1ABF">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提供证书复印件（电子档证书提供查询渠道）及供应商为其缴纳2024年任意一个月的社保证明材料，否则不得分。</w:t>
            </w:r>
          </w:p>
        </w:tc>
      </w:tr>
      <w:tr w14:paraId="4DB3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0" w:type="dxa"/>
            <w:vMerge w:val="continue"/>
            <w:noWrap w:val="0"/>
            <w:vAlign w:val="center"/>
          </w:tcPr>
          <w:p w14:paraId="136ECD29">
            <w:pPr>
              <w:widowControl/>
              <w:snapToGrid w:val="0"/>
              <w:spacing w:line="360" w:lineRule="auto"/>
              <w:jc w:val="left"/>
              <w:textAlignment w:val="center"/>
            </w:pPr>
          </w:p>
        </w:tc>
        <w:tc>
          <w:tcPr>
            <w:tcW w:w="1336" w:type="dxa"/>
            <w:vMerge w:val="continue"/>
            <w:noWrap w:val="0"/>
            <w:vAlign w:val="center"/>
          </w:tcPr>
          <w:p w14:paraId="619A9B01">
            <w:pPr>
              <w:widowControl/>
              <w:snapToGrid w:val="0"/>
              <w:spacing w:line="360" w:lineRule="auto"/>
              <w:jc w:val="left"/>
              <w:textAlignment w:val="center"/>
            </w:pPr>
          </w:p>
        </w:tc>
        <w:tc>
          <w:tcPr>
            <w:tcW w:w="765" w:type="dxa"/>
            <w:noWrap w:val="0"/>
            <w:vAlign w:val="center"/>
          </w:tcPr>
          <w:p w14:paraId="75D72D43">
            <w:pPr>
              <w:widowControl/>
              <w:snapToGrid w:val="0"/>
              <w:spacing w:line="360" w:lineRule="auto"/>
              <w:jc w:val="center"/>
              <w:textAlignment w:val="center"/>
              <w:rPr>
                <w:rFonts w:hint="eastAsia" w:eastAsiaTheme="minorEastAsia"/>
                <w:lang w:val="en-US" w:eastAsia="zh-CN"/>
              </w:rPr>
            </w:pPr>
            <w:r>
              <w:rPr>
                <w:rFonts w:hint="eastAsia" w:ascii="宋体" w:hAnsi="宋体" w:eastAsia="宋体" w:cs="宋体"/>
                <w:kern w:val="2"/>
                <w:sz w:val="24"/>
                <w:szCs w:val="24"/>
                <w:lang w:val="en-US" w:eastAsia="zh-CN" w:bidi="ar-SA"/>
              </w:rPr>
              <w:t>6</w:t>
            </w:r>
          </w:p>
        </w:tc>
        <w:tc>
          <w:tcPr>
            <w:tcW w:w="6254" w:type="dxa"/>
            <w:noWrap w:val="0"/>
            <w:vAlign w:val="center"/>
          </w:tcPr>
          <w:p w14:paraId="2C7E71DA">
            <w:pPr>
              <w:widowControl/>
              <w:snapToGrid w:val="0"/>
              <w:spacing w:line="360" w:lineRule="auto"/>
              <w:jc w:val="left"/>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项目拟派团队人员中具有2名或2名以上《信息安全等级测评师》高级等级测评师资质，</w:t>
            </w:r>
            <w:r>
              <w:rPr>
                <w:rFonts w:hint="eastAsia" w:ascii="宋体" w:hAnsi="宋体" w:eastAsia="宋体" w:cs="宋体"/>
                <w:color w:val="auto"/>
                <w:kern w:val="2"/>
                <w:sz w:val="24"/>
                <w:szCs w:val="24"/>
                <w:lang w:val="en-US" w:eastAsia="zh-CN" w:bidi="ar-SA"/>
              </w:rPr>
              <w:t>有1名得3分，最高得6分，没有的不得分。</w:t>
            </w:r>
          </w:p>
          <w:p w14:paraId="734A8132">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提供证书复印件（电子档证书提供查询渠道）及供应商为其缴纳2024年任意一个月的社保证明材料，否则不得分。</w:t>
            </w:r>
          </w:p>
        </w:tc>
      </w:tr>
      <w:tr w14:paraId="02ED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0" w:type="dxa"/>
            <w:vMerge w:val="continue"/>
            <w:noWrap w:val="0"/>
            <w:vAlign w:val="center"/>
          </w:tcPr>
          <w:p w14:paraId="04A02935">
            <w:pPr>
              <w:widowControl/>
              <w:snapToGrid w:val="0"/>
              <w:spacing w:line="360" w:lineRule="auto"/>
              <w:jc w:val="left"/>
              <w:textAlignment w:val="center"/>
              <w:rPr>
                <w:rFonts w:hint="eastAsia" w:ascii="宋体" w:hAnsi="宋体" w:eastAsia="宋体" w:cs="宋体"/>
                <w:kern w:val="2"/>
                <w:sz w:val="24"/>
                <w:szCs w:val="24"/>
                <w:lang w:val="en-US" w:eastAsia="zh-CN" w:bidi="ar-SA"/>
              </w:rPr>
            </w:pPr>
          </w:p>
        </w:tc>
        <w:tc>
          <w:tcPr>
            <w:tcW w:w="1336" w:type="dxa"/>
            <w:vMerge w:val="continue"/>
            <w:noWrap w:val="0"/>
            <w:vAlign w:val="center"/>
          </w:tcPr>
          <w:p w14:paraId="3486A1E8">
            <w:pPr>
              <w:widowControl/>
              <w:snapToGrid w:val="0"/>
              <w:spacing w:line="360" w:lineRule="auto"/>
              <w:jc w:val="left"/>
              <w:textAlignment w:val="center"/>
              <w:rPr>
                <w:rFonts w:hint="eastAsia" w:ascii="宋体" w:hAnsi="宋体" w:eastAsia="宋体" w:cs="宋体"/>
                <w:kern w:val="2"/>
                <w:sz w:val="24"/>
                <w:szCs w:val="24"/>
                <w:lang w:val="en-US" w:eastAsia="zh-CN" w:bidi="ar-SA"/>
              </w:rPr>
            </w:pPr>
          </w:p>
        </w:tc>
        <w:tc>
          <w:tcPr>
            <w:tcW w:w="765" w:type="dxa"/>
            <w:noWrap w:val="0"/>
            <w:vAlign w:val="center"/>
          </w:tcPr>
          <w:p w14:paraId="6F6DC0E3">
            <w:pPr>
              <w:widowControl/>
              <w:snapToGrid w:val="0"/>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6254" w:type="dxa"/>
            <w:noWrap w:val="0"/>
            <w:vAlign w:val="center"/>
          </w:tcPr>
          <w:p w14:paraId="23AF8288">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项目拟派团队人员中有信息安全保障人员认证证书（CISAW）的有一个得2分，最多得6分。</w:t>
            </w:r>
          </w:p>
          <w:p w14:paraId="2681D771">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提供证书复印件（电子档证书提供查询渠道）及供应商为其缴纳2024年任意一个月的社保证明材料，否则不得分。</w:t>
            </w:r>
          </w:p>
        </w:tc>
      </w:tr>
      <w:tr w14:paraId="50A6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750" w:type="dxa"/>
            <w:vMerge w:val="continue"/>
            <w:noWrap w:val="0"/>
            <w:vAlign w:val="center"/>
          </w:tcPr>
          <w:p w14:paraId="63F13803">
            <w:pPr>
              <w:widowControl/>
              <w:snapToGrid w:val="0"/>
              <w:spacing w:line="360" w:lineRule="auto"/>
              <w:jc w:val="left"/>
              <w:textAlignment w:val="center"/>
              <w:rPr>
                <w:rFonts w:hint="eastAsia" w:ascii="宋体" w:hAnsi="宋体" w:eastAsia="宋体" w:cs="宋体"/>
                <w:kern w:val="2"/>
                <w:sz w:val="24"/>
                <w:szCs w:val="24"/>
                <w:lang w:val="en-US" w:eastAsia="zh-CN" w:bidi="ar-SA"/>
              </w:rPr>
            </w:pPr>
          </w:p>
        </w:tc>
        <w:tc>
          <w:tcPr>
            <w:tcW w:w="1336" w:type="dxa"/>
            <w:vMerge w:val="continue"/>
            <w:noWrap w:val="0"/>
            <w:vAlign w:val="center"/>
          </w:tcPr>
          <w:p w14:paraId="76EC092A">
            <w:pPr>
              <w:widowControl/>
              <w:snapToGrid w:val="0"/>
              <w:spacing w:line="360" w:lineRule="auto"/>
              <w:jc w:val="left"/>
              <w:textAlignment w:val="center"/>
              <w:rPr>
                <w:rFonts w:hint="eastAsia" w:ascii="宋体" w:hAnsi="宋体" w:eastAsia="宋体" w:cs="宋体"/>
                <w:kern w:val="2"/>
                <w:sz w:val="24"/>
                <w:szCs w:val="24"/>
                <w:lang w:val="en-US" w:eastAsia="zh-CN" w:bidi="ar-SA"/>
              </w:rPr>
            </w:pPr>
          </w:p>
        </w:tc>
        <w:tc>
          <w:tcPr>
            <w:tcW w:w="765" w:type="dxa"/>
            <w:noWrap w:val="0"/>
            <w:vAlign w:val="center"/>
          </w:tcPr>
          <w:p w14:paraId="061E9A94">
            <w:pPr>
              <w:widowControl/>
              <w:snapToGrid w:val="0"/>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6254" w:type="dxa"/>
            <w:noWrap w:val="0"/>
            <w:vAlign w:val="center"/>
          </w:tcPr>
          <w:p w14:paraId="62CDA8E6">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本项目拟派团队人员中有CISP认证的有一个得2分，此项最多得6分。</w:t>
            </w:r>
          </w:p>
          <w:p w14:paraId="3123D11D">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提供证书复印件（电子档证书提供查询渠道）及供应商为其缴纳2024年任意一个月的社保证明材料，否则不得分。</w:t>
            </w:r>
          </w:p>
        </w:tc>
      </w:tr>
      <w:tr w14:paraId="13BC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554BD6DF">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default" w:ascii="宋体" w:hAnsi="宋体" w:eastAsia="宋体" w:cs="宋体"/>
                <w:sz w:val="24"/>
                <w:szCs w:val="24"/>
                <w:lang w:val="en-US" w:eastAsia="zh-CN"/>
              </w:rPr>
            </w:pPr>
            <w:r>
              <w:rPr>
                <w:rFonts w:hint="eastAsia" w:hAnsi="宋体" w:cs="宋体"/>
                <w:sz w:val="24"/>
                <w:szCs w:val="24"/>
                <w:lang w:val="en-US" w:eastAsia="zh-CN"/>
              </w:rPr>
              <w:t>3</w:t>
            </w:r>
          </w:p>
        </w:tc>
        <w:tc>
          <w:tcPr>
            <w:tcW w:w="1336" w:type="dxa"/>
            <w:noWrap w:val="0"/>
            <w:vAlign w:val="center"/>
          </w:tcPr>
          <w:p w14:paraId="073A7CAA">
            <w:pPr>
              <w:widowControl/>
              <w:snapToGrid w:val="0"/>
              <w:spacing w:line="360" w:lineRule="auto"/>
              <w:jc w:val="center"/>
              <w:textAlignment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等保测评服务方案</w:t>
            </w:r>
          </w:p>
          <w:p w14:paraId="07C7664E">
            <w:pPr>
              <w:widowControl/>
              <w:snapToGrid w:val="0"/>
              <w:spacing w:line="36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val="zh-CN" w:eastAsia="zh-CN"/>
              </w:rPr>
              <w:t>（25分）</w:t>
            </w:r>
          </w:p>
        </w:tc>
        <w:tc>
          <w:tcPr>
            <w:tcW w:w="765" w:type="dxa"/>
            <w:noWrap w:val="0"/>
            <w:vAlign w:val="center"/>
          </w:tcPr>
          <w:p w14:paraId="3DA76DA9">
            <w:pPr>
              <w:widowControl/>
              <w:snapToGrid w:val="0"/>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w:t>
            </w:r>
          </w:p>
        </w:tc>
        <w:tc>
          <w:tcPr>
            <w:tcW w:w="6254" w:type="dxa"/>
            <w:noWrap w:val="0"/>
            <w:vAlign w:val="center"/>
          </w:tcPr>
          <w:p w14:paraId="0B5AFA6E">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供应商根据需求进行等保测评的方案设计。</w:t>
            </w:r>
          </w:p>
          <w:p w14:paraId="0BE9CC3B">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方案内容优于或完全响应，能结合项目实际情况，提出较完善的业务连续性方案，最贴近系统现状、最科学合理的方案得[18-25]分；</w:t>
            </w:r>
          </w:p>
          <w:p w14:paraId="5425E4CE">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方案内容完全响应，基本符合规范要求，基本贴近系统现状、基本科学合理的方案得[10-17]分；</w:t>
            </w:r>
          </w:p>
          <w:p w14:paraId="035A3B5A">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方案较简单，内容响应不完整，重复罗列磋商文件的要求得[1-9]分；</w:t>
            </w:r>
          </w:p>
          <w:p w14:paraId="2AE63E97">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未提供测评方案的不得分。</w:t>
            </w:r>
          </w:p>
        </w:tc>
      </w:tr>
      <w:tr w14:paraId="01F6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013878D4">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default" w:hAnsi="宋体" w:cs="宋体"/>
                <w:sz w:val="24"/>
                <w:szCs w:val="24"/>
                <w:lang w:val="en-US" w:eastAsia="zh-CN"/>
              </w:rPr>
            </w:pPr>
            <w:r>
              <w:rPr>
                <w:rFonts w:hint="eastAsia" w:hAnsi="宋体" w:cs="宋体"/>
                <w:sz w:val="24"/>
                <w:szCs w:val="24"/>
                <w:lang w:val="en-US" w:eastAsia="zh-CN"/>
              </w:rPr>
              <w:t>4</w:t>
            </w:r>
          </w:p>
        </w:tc>
        <w:tc>
          <w:tcPr>
            <w:tcW w:w="1336" w:type="dxa"/>
            <w:noWrap w:val="0"/>
            <w:vAlign w:val="center"/>
          </w:tcPr>
          <w:p w14:paraId="0782AC25">
            <w:pPr>
              <w:widowControl/>
              <w:snapToGrid w:val="0"/>
              <w:spacing w:line="360" w:lineRule="auto"/>
              <w:jc w:val="center"/>
              <w:textAlignment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业绩</w:t>
            </w:r>
          </w:p>
          <w:p w14:paraId="73AD8057">
            <w:pPr>
              <w:widowControl/>
              <w:snapToGrid w:val="0"/>
              <w:spacing w:line="360" w:lineRule="auto"/>
              <w:jc w:val="center"/>
              <w:textAlignment w:val="center"/>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（10分）</w:t>
            </w:r>
          </w:p>
        </w:tc>
        <w:tc>
          <w:tcPr>
            <w:tcW w:w="765" w:type="dxa"/>
            <w:noWrap w:val="0"/>
            <w:vAlign w:val="center"/>
          </w:tcPr>
          <w:p w14:paraId="20D79ECE">
            <w:pPr>
              <w:widowControl/>
              <w:snapToGrid w:val="0"/>
              <w:spacing w:line="360" w:lineRule="auto"/>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w:t>
            </w:r>
          </w:p>
        </w:tc>
        <w:tc>
          <w:tcPr>
            <w:tcW w:w="6254" w:type="dxa"/>
            <w:noWrap w:val="0"/>
            <w:vAlign w:val="center"/>
          </w:tcPr>
          <w:p w14:paraId="16564341">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供应商提供自</w:t>
            </w:r>
            <w:r>
              <w:rPr>
                <w:rFonts w:hint="eastAsia" w:ascii="宋体" w:hAnsi="宋体" w:eastAsia="宋体" w:cs="宋体"/>
                <w:color w:val="auto"/>
                <w:kern w:val="2"/>
                <w:sz w:val="24"/>
                <w:szCs w:val="24"/>
                <w:lang w:val="en-US" w:eastAsia="zh-CN" w:bidi="ar-SA"/>
              </w:rPr>
              <w:t>2021年1月1日</w:t>
            </w:r>
            <w:r>
              <w:rPr>
                <w:rFonts w:hint="eastAsia" w:ascii="宋体" w:hAnsi="宋体" w:eastAsia="宋体" w:cs="宋体"/>
                <w:kern w:val="2"/>
                <w:sz w:val="24"/>
                <w:szCs w:val="24"/>
                <w:lang w:val="en-US" w:eastAsia="zh-CN" w:bidi="ar-SA"/>
              </w:rPr>
              <w:t>以来（以合同签订时间为准）等保测评相关项目的业绩，有一个得2分，最高10分。</w:t>
            </w:r>
          </w:p>
          <w:p w14:paraId="49964A9E">
            <w:pPr>
              <w:widowControl/>
              <w:snapToGrid w:val="0"/>
              <w:spacing w:line="360" w:lineRule="auto"/>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提供合同复印件并加盖公章，否则不得分。</w:t>
            </w:r>
          </w:p>
        </w:tc>
      </w:tr>
      <w:tr w14:paraId="1C6B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6" w:type="dxa"/>
            <w:gridSpan w:val="2"/>
            <w:noWrap w:val="0"/>
            <w:vAlign w:val="center"/>
          </w:tcPr>
          <w:p w14:paraId="1FE33791">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合计</w:t>
            </w:r>
          </w:p>
        </w:tc>
        <w:tc>
          <w:tcPr>
            <w:tcW w:w="765" w:type="dxa"/>
            <w:noWrap w:val="0"/>
            <w:vAlign w:val="center"/>
          </w:tcPr>
          <w:p w14:paraId="214E696C">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default" w:ascii="宋体" w:hAnsi="宋体" w:eastAsia="宋体" w:cs="宋体"/>
                <w:b/>
                <w:bCs/>
                <w:sz w:val="24"/>
                <w:szCs w:val="24"/>
                <w:lang w:val="en-US" w:eastAsia="zh-CN"/>
              </w:rPr>
            </w:pPr>
            <w:r>
              <w:rPr>
                <w:rFonts w:hint="eastAsia" w:hAnsi="宋体" w:cs="宋体"/>
                <w:b/>
                <w:bCs/>
                <w:sz w:val="24"/>
                <w:szCs w:val="24"/>
                <w:lang w:val="en-US" w:eastAsia="zh-CN"/>
              </w:rPr>
              <w:t>80</w:t>
            </w:r>
          </w:p>
        </w:tc>
        <w:tc>
          <w:tcPr>
            <w:tcW w:w="6254" w:type="dxa"/>
            <w:noWrap w:val="0"/>
            <w:vAlign w:val="center"/>
          </w:tcPr>
          <w:p w14:paraId="7F0DD2B4">
            <w:pPr>
              <w:pStyle w:val="14"/>
              <w:keepNext w:val="0"/>
              <w:keepLines w:val="0"/>
              <w:pageBreakBefore w:val="0"/>
              <w:widowControl w:val="0"/>
              <w:tabs>
                <w:tab w:val="left" w:pos="2610"/>
              </w:tabs>
              <w:kinsoku/>
              <w:wordWrap/>
              <w:overflowPunct/>
              <w:topLinePunct w:val="0"/>
              <w:autoSpaceDE/>
              <w:autoSpaceDN/>
              <w:bidi w:val="0"/>
              <w:adjustRightInd/>
              <w:snapToGrid/>
              <w:spacing w:line="360" w:lineRule="auto"/>
              <w:jc w:val="center"/>
              <w:rPr>
                <w:rFonts w:hint="eastAsia" w:ascii="宋体" w:hAnsi="宋体" w:eastAsia="宋体" w:cs="宋体"/>
                <w:sz w:val="24"/>
                <w:szCs w:val="24"/>
              </w:rPr>
            </w:pPr>
          </w:p>
        </w:tc>
      </w:tr>
    </w:tbl>
    <w:p w14:paraId="3320B4D1">
      <w:pPr>
        <w:keepNext w:val="0"/>
        <w:keepLines w:val="0"/>
        <w:pageBreakBefore w:val="0"/>
        <w:widowControl w:val="0"/>
        <w:kinsoku/>
        <w:wordWrap/>
        <w:overflowPunct/>
        <w:topLinePunct w:val="0"/>
        <w:autoSpaceDE/>
        <w:autoSpaceDN/>
        <w:bidi w:val="0"/>
        <w:adjustRightInd/>
        <w:snapToGrid/>
        <w:spacing w:line="360" w:lineRule="auto"/>
        <w:ind w:right="105" w:rightChars="50"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rPr>
        <w:t>评委依据磋商文件载明的方法评分，评分四舍五入精确到小数点后两位。</w:t>
      </w:r>
    </w:p>
    <w:p w14:paraId="37C42353">
      <w:pPr>
        <w:keepNext w:val="0"/>
        <w:keepLines w:val="0"/>
        <w:pageBreakBefore w:val="0"/>
        <w:widowControl w:val="0"/>
        <w:kinsoku/>
        <w:wordWrap/>
        <w:overflowPunct/>
        <w:topLinePunct w:val="0"/>
        <w:autoSpaceDE/>
        <w:autoSpaceDN/>
        <w:bidi w:val="0"/>
        <w:adjustRightInd/>
        <w:snapToGrid/>
        <w:spacing w:line="360" w:lineRule="auto"/>
        <w:ind w:right="105" w:rightChars="50" w:firstLine="480" w:firstLineChars="200"/>
        <w:rPr>
          <w:rFonts w:hint="eastAsia" w:ascii="Times New Roman" w:hAnsi="Times New Roman" w:eastAsia="宋体" w:cs="宋体"/>
          <w:sz w:val="24"/>
          <w:szCs w:val="24"/>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rPr>
        <w:t>响应供应商按照</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评分标准表</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中的打分要求及顺序提供相关材料，</w:t>
      </w:r>
      <w:r>
        <w:rPr>
          <w:rFonts w:hint="eastAsia" w:ascii="Times New Roman" w:hAnsi="Times New Roman" w:eastAsia="宋体" w:cs="宋体"/>
          <w:bCs/>
          <w:color w:val="000000"/>
          <w:kern w:val="0"/>
          <w:sz w:val="24"/>
          <w:szCs w:val="24"/>
        </w:rPr>
        <w:t>并请编制目录及页码，以最大限度的避免造成评委误判或漏判。</w:t>
      </w:r>
    </w:p>
    <w:p w14:paraId="1D0B7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bCs/>
          <w:color w:val="000000"/>
          <w:kern w:val="0"/>
          <w:sz w:val="24"/>
          <w:szCs w:val="24"/>
          <w:lang w:val="en-US" w:eastAsia="zh-CN"/>
        </w:rPr>
        <w:t>3</w:t>
      </w:r>
      <w:r>
        <w:rPr>
          <w:rFonts w:hint="eastAsia" w:ascii="Times New Roman" w:hAnsi="Times New Roman" w:eastAsia="宋体" w:cs="宋体"/>
          <w:bCs/>
          <w:color w:val="000000"/>
          <w:kern w:val="0"/>
          <w:sz w:val="24"/>
          <w:szCs w:val="24"/>
          <w:lang w:eastAsia="zh-CN"/>
        </w:rPr>
        <w:t>、</w:t>
      </w:r>
      <w:r>
        <w:rPr>
          <w:rFonts w:hint="eastAsia" w:ascii="Times New Roman" w:hAnsi="Times New Roman" w:eastAsia="宋体" w:cs="宋体"/>
          <w:b/>
          <w:sz w:val="24"/>
          <w:szCs w:val="24"/>
        </w:rPr>
        <w:t>以上证明材料提供原件复印件，复印件不清晰或关键内容无法辨识所引起的后果由响应供应商自行承担。</w:t>
      </w:r>
    </w:p>
    <w:p w14:paraId="5A1E0713">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（二）</w:t>
      </w:r>
      <w:r>
        <w:rPr>
          <w:rFonts w:hint="eastAsia" w:ascii="Times New Roman" w:hAnsi="Times New Roman" w:eastAsia="宋体" w:cs="宋体"/>
          <w:b/>
          <w:bCs/>
          <w:szCs w:val="24"/>
          <w:shd w:val="clear" w:color="auto" w:fill="FFFFFF"/>
          <w:lang w:val="zh-CN"/>
        </w:rPr>
        <w:t>价格分</w:t>
      </w:r>
      <w:r>
        <w:rPr>
          <w:rFonts w:hint="eastAsia" w:ascii="Times New Roman" w:hAnsi="Times New Roman" w:eastAsia="宋体" w:cs="宋体"/>
          <w:b/>
          <w:bCs/>
          <w:szCs w:val="24"/>
          <w:shd w:val="clear" w:color="auto" w:fill="FFFFFF"/>
        </w:rPr>
        <w:t>：</w:t>
      </w:r>
      <w:r>
        <w:rPr>
          <w:rFonts w:hint="eastAsia" w:ascii="Times New Roman" w:hAnsi="Times New Roman" w:cs="宋体"/>
          <w:b/>
          <w:bCs/>
          <w:szCs w:val="24"/>
          <w:shd w:val="clear" w:color="auto" w:fill="FFFFFF"/>
          <w:lang w:val="en-US" w:eastAsia="zh-CN"/>
        </w:rPr>
        <w:t>20</w:t>
      </w:r>
      <w:r>
        <w:rPr>
          <w:rFonts w:hint="eastAsia" w:ascii="Times New Roman" w:hAnsi="Times New Roman" w:eastAsia="宋体" w:cs="宋体"/>
          <w:b/>
          <w:bCs/>
          <w:szCs w:val="24"/>
          <w:shd w:val="clear" w:color="auto" w:fill="FFFFFF"/>
        </w:rPr>
        <w:t>分</w:t>
      </w:r>
    </w:p>
    <w:p w14:paraId="245A5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价格分统一采用低价优先法计算，即满足磋商文件要求且最后报价最低的供应商的价格为磋商基准价，其价格分为满分。其他供应商的价格分统一按照下列公式计算：</w:t>
      </w:r>
    </w:p>
    <w:p w14:paraId="76BF077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磋商报价得分=（磋商基准价/最后磋商报价）×</w:t>
      </w:r>
      <w:r>
        <w:rPr>
          <w:rFonts w:hint="eastAsia" w:ascii="Times New Roman" w:hAnsi="Times New Roman" w:eastAsia="宋体" w:cs="宋体"/>
          <w:sz w:val="24"/>
          <w:szCs w:val="24"/>
          <w:lang w:val="en-US" w:eastAsia="zh-CN"/>
        </w:rPr>
        <w:t>20</w:t>
      </w:r>
      <w:r>
        <w:rPr>
          <w:rFonts w:hint="eastAsia" w:ascii="Times New Roman" w:hAnsi="Times New Roman" w:eastAsia="宋体" w:cs="宋体"/>
          <w:sz w:val="24"/>
          <w:szCs w:val="24"/>
        </w:rPr>
        <w:t>%×100。</w:t>
      </w:r>
    </w:p>
    <w:p w14:paraId="24683563">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sz w:val="24"/>
          <w:szCs w:val="24"/>
        </w:rPr>
      </w:pPr>
      <w:r>
        <w:rPr>
          <w:rFonts w:hint="eastAsia" w:ascii="Times New Roman" w:hAnsi="Times New Roman" w:eastAsia="宋体" w:cs="宋体"/>
          <w:sz w:val="24"/>
          <w:szCs w:val="24"/>
        </w:rPr>
        <w:t>如评标委员会认为</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人</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价格严重偏离市场价，将取消</w:t>
      </w: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人价格分得分。</w:t>
      </w:r>
    </w:p>
    <w:p w14:paraId="73B8BDCD">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五、出现下列情形之一的，作无效标处理</w:t>
      </w:r>
    </w:p>
    <w:p w14:paraId="7D9A84F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1、响应文件未按规定要求密封、签署、盖章及主要资料不齐全的；</w:t>
      </w:r>
    </w:p>
    <w:p w14:paraId="16FF7D5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2、响应文件的资料有虚报或者谎报的；</w:t>
      </w:r>
    </w:p>
    <w:p w14:paraId="491C1A2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3、响应文件中资格审查文件及技术响应文件出现磋商报价的内容；</w:t>
      </w:r>
    </w:p>
    <w:p w14:paraId="6BBBF42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4、不具备磋商文件规定的资格要求的；</w:t>
      </w:r>
    </w:p>
    <w:p w14:paraId="4A3157F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5、响应文件有重大漏项或重大不合理的；</w:t>
      </w:r>
    </w:p>
    <w:p w14:paraId="7F36F42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6、项目技术、方案不满足项目需求中的要求，有重大偏离或保留的；</w:t>
      </w:r>
    </w:p>
    <w:p w14:paraId="1C44816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7、磋商响应报价超出项目预算的；</w:t>
      </w:r>
    </w:p>
    <w:p w14:paraId="7A045F8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8、被认定为低于成本报价磋商竞标的；</w:t>
      </w:r>
    </w:p>
    <w:p w14:paraId="0AF129C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lang w:val="en-US" w:eastAsia="zh-CN"/>
        </w:rPr>
        <w:t>9</w:t>
      </w:r>
      <w:r>
        <w:rPr>
          <w:rFonts w:hint="eastAsia" w:ascii="Times New Roman" w:hAnsi="Times New Roman" w:eastAsia="宋体" w:cs="宋体"/>
          <w:sz w:val="24"/>
          <w:szCs w:val="24"/>
        </w:rPr>
        <w:t>、不符合法律、法规和磋商文件中规定的其他实质性响应要求的；</w:t>
      </w:r>
    </w:p>
    <w:p w14:paraId="6E7BCF8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lang w:val="en-US" w:eastAsia="zh-CN"/>
        </w:rPr>
        <w:t>10</w:t>
      </w:r>
      <w:r>
        <w:rPr>
          <w:rFonts w:hint="eastAsia" w:ascii="Times New Roman" w:hAnsi="Times New Roman" w:eastAsia="宋体" w:cs="宋体"/>
          <w:sz w:val="24"/>
          <w:szCs w:val="24"/>
        </w:rPr>
        <w:t>、磋商小组依据法律法规可以认定为无效投标的其他情况；</w:t>
      </w:r>
    </w:p>
    <w:p w14:paraId="3A4ADD1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lang w:val="en-US" w:eastAsia="zh-CN"/>
        </w:rPr>
        <w:t>11</w:t>
      </w:r>
      <w:r>
        <w:rPr>
          <w:rFonts w:hint="eastAsia" w:ascii="Times New Roman" w:hAnsi="Times New Roman" w:eastAsia="宋体" w:cs="宋体"/>
          <w:sz w:val="24"/>
          <w:szCs w:val="24"/>
        </w:rPr>
        <w:t>、未按要求提供样品的</w:t>
      </w:r>
      <w:r>
        <w:rPr>
          <w:rFonts w:hint="eastAsia" w:ascii="Times New Roman" w:hAnsi="Times New Roman" w:eastAsia="宋体" w:cs="宋体"/>
          <w:color w:val="000000" w:themeColor="text1"/>
          <w:sz w:val="24"/>
          <w:szCs w:val="24"/>
          <w14:textFill>
            <w14:solidFill>
              <w14:schemeClr w14:val="tx1"/>
            </w14:solidFill>
          </w14:textFill>
        </w:rPr>
        <w:t>（如有）</w:t>
      </w:r>
      <w:r>
        <w:rPr>
          <w:rFonts w:hint="eastAsia" w:ascii="Times New Roman" w:hAnsi="Times New Roman" w:eastAsia="宋体" w:cs="宋体"/>
          <w:sz w:val="24"/>
          <w:szCs w:val="24"/>
        </w:rPr>
        <w:t>。</w:t>
      </w:r>
    </w:p>
    <w:p w14:paraId="36318B7E">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六、出现下列情形之一的，作废标处理</w:t>
      </w:r>
    </w:p>
    <w:p w14:paraId="3ECB86C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1、供应商的报价均超出了采购预算，采购单位不能支付的；</w:t>
      </w:r>
    </w:p>
    <w:p w14:paraId="53B9483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2、因情况变化，不再符合规定的竞争性磋商采购人式所适用情形的；</w:t>
      </w:r>
    </w:p>
    <w:p w14:paraId="1314218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3、出现影响采购公正的违法、违规行为的；</w:t>
      </w:r>
    </w:p>
    <w:p w14:paraId="55BAF17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4、因重大变故，采购任务取消的；</w:t>
      </w:r>
    </w:p>
    <w:p w14:paraId="120E179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5、供应商未按采购文件要求提供样品或样品提供不全的或未提供样品的（如有）；</w:t>
      </w:r>
    </w:p>
    <w:p w14:paraId="6EF56F7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6、磋商小组依据法律法规可以认定为废标的其他情况。</w:t>
      </w:r>
    </w:p>
    <w:p w14:paraId="40BC6075">
      <w:pPr>
        <w:pStyle w:val="19"/>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szCs w:val="24"/>
          <w:shd w:val="clear" w:color="auto" w:fill="FFFFFF"/>
        </w:rPr>
      </w:pPr>
      <w:r>
        <w:rPr>
          <w:rFonts w:hint="eastAsia" w:ascii="Times New Roman" w:hAnsi="Times New Roman" w:eastAsia="宋体" w:cs="宋体"/>
          <w:b/>
          <w:bCs/>
          <w:szCs w:val="24"/>
          <w:shd w:val="clear" w:color="auto" w:fill="FFFFFF"/>
        </w:rPr>
        <w:t>七、成交通知</w:t>
      </w:r>
    </w:p>
    <w:p w14:paraId="445B326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
          <w:w w:val="80"/>
          <w:kern w:val="44"/>
          <w:sz w:val="48"/>
          <w:szCs w:val="44"/>
        </w:rPr>
      </w:pPr>
      <w:r>
        <w:rPr>
          <w:rFonts w:hint="eastAsia" w:ascii="Times New Roman" w:hAnsi="Times New Roman" w:eastAsia="宋体" w:cs="宋体"/>
          <w:kern w:val="0"/>
          <w:sz w:val="24"/>
          <w:szCs w:val="24"/>
        </w:rPr>
        <w:t>成交结果在南通市第三人民医院官网公示</w:t>
      </w:r>
      <w:r>
        <w:rPr>
          <w:rFonts w:hint="eastAsia" w:ascii="Times New Roman" w:hAnsi="Times New Roman" w:eastAsia="宋体" w:cs="宋体"/>
          <w:b/>
          <w:kern w:val="0"/>
          <w:sz w:val="24"/>
          <w:szCs w:val="24"/>
          <w:u w:val="single"/>
        </w:rPr>
        <w:t>1</w:t>
      </w:r>
      <w:r>
        <w:rPr>
          <w:rFonts w:hint="eastAsia" w:ascii="Times New Roman" w:hAnsi="Times New Roman" w:eastAsia="宋体" w:cs="宋体"/>
          <w:kern w:val="0"/>
          <w:sz w:val="24"/>
          <w:szCs w:val="24"/>
        </w:rPr>
        <w:t>个工作日。《成交通知书》一经发出，采购单位改变成交结果，或者成交人放弃成交的，各自承担相应的法律责任。《成交通知书》是采购合同的组成部分。</w:t>
      </w:r>
    </w:p>
    <w:p w14:paraId="2E7DC26F">
      <w:pPr>
        <w:rPr>
          <w:rFonts w:hint="eastAsia" w:ascii="Times New Roman" w:hAnsi="Times New Roman" w:eastAsia="宋体" w:cs="宋体"/>
          <w:w w:val="80"/>
          <w:sz w:val="48"/>
          <w:szCs w:val="44"/>
        </w:rPr>
      </w:pPr>
      <w:r>
        <w:rPr>
          <w:rFonts w:hint="eastAsia" w:ascii="Times New Roman" w:hAnsi="Times New Roman" w:eastAsia="宋体" w:cs="宋体"/>
          <w:w w:val="80"/>
          <w:sz w:val="48"/>
          <w:szCs w:val="44"/>
        </w:rPr>
        <w:br w:type="page"/>
      </w:r>
    </w:p>
    <w:p w14:paraId="2F8BD58D">
      <w:pPr>
        <w:pStyle w:val="3"/>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第五章 合同授予</w:t>
      </w:r>
    </w:p>
    <w:p w14:paraId="1BDD6E4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kern w:val="0"/>
          <w:sz w:val="28"/>
          <w:szCs w:val="28"/>
        </w:rPr>
      </w:pPr>
      <w:r>
        <w:rPr>
          <w:rFonts w:hint="eastAsia" w:ascii="Times New Roman" w:hAnsi="Times New Roman" w:eastAsia="宋体" w:cs="宋体"/>
          <w:sz w:val="24"/>
        </w:rPr>
        <w:t>一、</w:t>
      </w:r>
      <w:r>
        <w:rPr>
          <w:rFonts w:hint="eastAsia" w:ascii="Times New Roman" w:hAnsi="Times New Roman" w:eastAsia="宋体" w:cs="宋体"/>
          <w:kern w:val="0"/>
          <w:sz w:val="24"/>
        </w:rPr>
        <w:t>成交供应商在《成交通知书》发出</w:t>
      </w:r>
      <w:r>
        <w:rPr>
          <w:rFonts w:hint="eastAsia" w:ascii="Times New Roman" w:hAnsi="Times New Roman" w:eastAsia="宋体" w:cs="宋体"/>
          <w:kern w:val="0"/>
          <w:sz w:val="24"/>
          <w:lang w:eastAsia="zh-CN"/>
        </w:rPr>
        <w:t>后</w:t>
      </w:r>
      <w:r>
        <w:rPr>
          <w:rFonts w:hint="eastAsia" w:ascii="Times New Roman" w:hAnsi="Times New Roman" w:eastAsia="宋体" w:cs="宋体"/>
          <w:b w:val="0"/>
          <w:bCs w:val="0"/>
          <w:color w:val="auto"/>
          <w:kern w:val="0"/>
          <w:sz w:val="24"/>
          <w:lang w:val="en-US" w:eastAsia="zh-CN"/>
        </w:rPr>
        <w:t>15日</w:t>
      </w:r>
      <w:r>
        <w:rPr>
          <w:rFonts w:hint="eastAsia" w:ascii="Times New Roman" w:hAnsi="Times New Roman" w:eastAsia="宋体" w:cs="宋体"/>
          <w:b w:val="0"/>
          <w:bCs w:val="0"/>
          <w:color w:val="auto"/>
          <w:kern w:val="0"/>
          <w:sz w:val="24"/>
        </w:rPr>
        <w:t>内</w:t>
      </w:r>
      <w:r>
        <w:rPr>
          <w:rFonts w:hint="eastAsia" w:ascii="Times New Roman" w:hAnsi="Times New Roman" w:eastAsia="宋体" w:cs="宋体"/>
          <w:b w:val="0"/>
          <w:bCs w:val="0"/>
          <w:kern w:val="0"/>
          <w:sz w:val="24"/>
        </w:rPr>
        <w:t>须按</w:t>
      </w:r>
      <w:r>
        <w:rPr>
          <w:rFonts w:hint="eastAsia" w:ascii="Times New Roman" w:hAnsi="Times New Roman" w:eastAsia="宋体" w:cs="宋体"/>
          <w:kern w:val="0"/>
          <w:sz w:val="24"/>
        </w:rPr>
        <w:t>照磋商文件确定的事项签订采购合同。合同一式四份，采购</w:t>
      </w:r>
      <w:r>
        <w:rPr>
          <w:rFonts w:hint="eastAsia" w:ascii="Times New Roman" w:hAnsi="Times New Roman" w:eastAsia="宋体" w:cs="宋体"/>
          <w:kern w:val="0"/>
          <w:sz w:val="24"/>
          <w:szCs w:val="24"/>
        </w:rPr>
        <w:t>单位</w:t>
      </w:r>
      <w:r>
        <w:rPr>
          <w:rFonts w:hint="eastAsia" w:ascii="Times New Roman" w:hAnsi="Times New Roman" w:eastAsia="宋体" w:cs="宋体"/>
          <w:kern w:val="0"/>
          <w:sz w:val="24"/>
        </w:rPr>
        <w:t xml:space="preserve">三份、供应商一份。所签合同不得对磋商文件作实质性修改。采购单位不得向成交供应商提出不合理的要求作为签订合同的条件，不得与成交供应商私下订立背离磋商文件实质性内容的协议。 </w:t>
      </w:r>
    </w:p>
    <w:p w14:paraId="5199913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kern w:val="0"/>
          <w:sz w:val="24"/>
        </w:rPr>
      </w:pPr>
      <w:r>
        <w:rPr>
          <w:rFonts w:hint="eastAsia" w:ascii="Times New Roman" w:hAnsi="Times New Roman" w:eastAsia="宋体" w:cs="宋体"/>
          <w:kern w:val="0"/>
          <w:sz w:val="24"/>
        </w:rPr>
        <w:t>二、</w:t>
      </w:r>
      <w:r>
        <w:rPr>
          <w:rFonts w:hint="eastAsia" w:ascii="Times New Roman" w:hAnsi="Times New Roman" w:eastAsia="宋体" w:cs="宋体"/>
          <w:sz w:val="24"/>
        </w:rPr>
        <w:t>采购单位按合同约定积极配合成交供应商履约，成交供应商履约到位后，请以书面形式向采购单位提出验收申请。</w:t>
      </w:r>
    </w:p>
    <w:p w14:paraId="0E6273A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三、采购单位故意推迟</w:t>
      </w:r>
      <w:r>
        <w:rPr>
          <w:rFonts w:hint="eastAsia" w:ascii="Times New Roman" w:hAnsi="Times New Roman" w:eastAsia="宋体" w:cs="宋体"/>
          <w:kern w:val="0"/>
          <w:sz w:val="24"/>
          <w:szCs w:val="24"/>
        </w:rPr>
        <w:t>项目</w:t>
      </w:r>
      <w:r>
        <w:rPr>
          <w:rFonts w:hint="eastAsia" w:ascii="Times New Roman" w:hAnsi="Times New Roman" w:eastAsia="宋体" w:cs="宋体"/>
          <w:sz w:val="24"/>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3E11C221">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四、供应商出现违约情形，应当及时纠正或补偿；造成损失的，按合同约定追究违约责任；发现有假冒、伪劣、走私产品、商业贿赂等违法情形的，应由采购单位移交工商、质监、公安等行政执法部门依法查处。</w:t>
      </w:r>
    </w:p>
    <w:p w14:paraId="3BE08384">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五、不响应付款方式的，视同响应文件无效，按无效响应文件处理。</w:t>
      </w:r>
    </w:p>
    <w:p w14:paraId="49FAB9DA">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六、付款方式详见</w:t>
      </w:r>
      <w:r>
        <w:rPr>
          <w:rFonts w:hint="eastAsia" w:ascii="Times New Roman" w:hAnsi="Times New Roman" w:eastAsia="宋体" w:cs="宋体"/>
          <w:kern w:val="0"/>
          <w:sz w:val="24"/>
        </w:rPr>
        <w:t>磋商</w:t>
      </w:r>
      <w:r>
        <w:rPr>
          <w:rFonts w:hint="eastAsia" w:ascii="Times New Roman" w:hAnsi="Times New Roman" w:eastAsia="宋体" w:cs="宋体"/>
          <w:sz w:val="24"/>
        </w:rPr>
        <w:t>文件第三章。</w:t>
      </w:r>
    </w:p>
    <w:p w14:paraId="0A34851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
          <w:iCs/>
          <w:color w:val="000000" w:themeColor="text1"/>
          <w:w w:val="80"/>
          <w:sz w:val="44"/>
          <w:szCs w:val="44"/>
          <w14:textFill>
            <w14:solidFill>
              <w14:schemeClr w14:val="tx1"/>
            </w14:solidFill>
          </w14:textFill>
        </w:rPr>
      </w:pPr>
      <w:r>
        <w:rPr>
          <w:rFonts w:hint="eastAsia" w:ascii="Times New Roman" w:hAnsi="Times New Roman" w:eastAsia="宋体" w:cs="宋体"/>
          <w:sz w:val="24"/>
        </w:rPr>
        <w:t>七、以上项目款的支付不计息。</w:t>
      </w:r>
    </w:p>
    <w:p w14:paraId="041D2EF8">
      <w:pPr>
        <w:keepNext w:val="0"/>
        <w:keepLines w:val="0"/>
        <w:pageBreakBefore w:val="0"/>
        <w:widowControl w:val="0"/>
        <w:kinsoku/>
        <w:wordWrap/>
        <w:topLinePunct w:val="0"/>
        <w:autoSpaceDE/>
        <w:autoSpaceDN/>
        <w:bidi w:val="0"/>
        <w:spacing w:line="360" w:lineRule="auto"/>
        <w:rPr>
          <w:rFonts w:ascii="Times New Roman" w:hAnsi="Times New Roman" w:eastAsia="宋体"/>
          <w:w w:val="80"/>
          <w:kern w:val="44"/>
        </w:rPr>
      </w:pPr>
    </w:p>
    <w:p w14:paraId="02B06A59">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w w:val="80"/>
          <w:kern w:val="44"/>
          <w:sz w:val="48"/>
          <w:szCs w:val="44"/>
        </w:rPr>
      </w:pPr>
      <w:r>
        <w:rPr>
          <w:rFonts w:ascii="Times New Roman" w:hAnsi="Times New Roman" w:eastAsia="宋体" w:cs="宋体"/>
          <w:w w:val="80"/>
          <w:sz w:val="48"/>
          <w:szCs w:val="44"/>
        </w:rPr>
        <w:br w:type="page"/>
      </w:r>
    </w:p>
    <w:p w14:paraId="1F2F9180">
      <w:pPr>
        <w:pStyle w:val="3"/>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第六章 质疑提出和处理</w:t>
      </w:r>
    </w:p>
    <w:p w14:paraId="3A85BE21">
      <w:pPr>
        <w:keepNext w:val="0"/>
        <w:keepLines w:val="0"/>
        <w:pageBreakBefore w:val="0"/>
        <w:wordWrap/>
        <w:bidi w:val="0"/>
        <w:adjustRightInd w:val="0"/>
        <w:snapToGrid w:val="0"/>
        <w:spacing w:line="360" w:lineRule="auto"/>
        <w:ind w:firstLine="487" w:firstLineChars="202"/>
        <w:rPr>
          <w:rFonts w:ascii="Times New Roman" w:hAnsi="Times New Roman"/>
          <w:b/>
          <w:sz w:val="24"/>
          <w:szCs w:val="24"/>
          <w:highlight w:val="none"/>
        </w:rPr>
      </w:pPr>
      <w:r>
        <w:rPr>
          <w:rFonts w:ascii="Times New Roman" w:hAnsi="Times New Roman"/>
          <w:b/>
          <w:sz w:val="24"/>
          <w:szCs w:val="24"/>
          <w:highlight w:val="none"/>
        </w:rPr>
        <w:t>一、质疑的提出</w:t>
      </w:r>
    </w:p>
    <w:p w14:paraId="37D7A45C">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1、提出质疑的供应商应当是参与所质疑项目采购活动的供应商。潜在供应商依法获取其可质疑的采购文件的，可以对采购文件提出质疑。</w:t>
      </w:r>
    </w:p>
    <w:p w14:paraId="6EDCFC04">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2、供应商认为采购文件、采购过程和采购结果使自己的权益受到损害的，可以在知道或应知其权益受到损害之日起七个工作日内，以书面形式向采购人提出质疑。上述应知其权益受到损害之日，是指：</w:t>
      </w:r>
    </w:p>
    <w:p w14:paraId="37ED6BF3">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2.1对可以质疑的采购文件提出质疑的，为收到采购文件之日或者采购文件公告期限届满之日；</w:t>
      </w:r>
    </w:p>
    <w:p w14:paraId="72C3CBAF">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2.2对采购过程提出质疑的，为各采购程序环节结束之日；</w:t>
      </w:r>
    </w:p>
    <w:p w14:paraId="36F94F60">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2.3对成交结果提出质疑的，为成交结果公告期限届满之日。</w:t>
      </w:r>
    </w:p>
    <w:p w14:paraId="3365F3AA">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供应商应当在法定质疑期内一次性提出针对同一采购程序环节的质疑。</w:t>
      </w:r>
    </w:p>
    <w:p w14:paraId="3FD439BD">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3、质疑函必须按照本</w:t>
      </w:r>
      <w:r>
        <w:rPr>
          <w:rFonts w:hint="eastAsia" w:ascii="Times New Roman" w:hAnsi="Times New Roman" w:cs="黑体"/>
          <w:bCs/>
          <w:sz w:val="24"/>
          <w:szCs w:val="24"/>
          <w:highlight w:val="none"/>
          <w:shd w:val="clear" w:color="auto" w:fill="FFFFFF"/>
        </w:rPr>
        <w:t>采购</w:t>
      </w:r>
      <w:r>
        <w:rPr>
          <w:rFonts w:hint="eastAsia" w:ascii="Times New Roman" w:hAnsi="Times New Roman"/>
          <w:sz w:val="24"/>
          <w:szCs w:val="24"/>
          <w:highlight w:val="none"/>
        </w:rPr>
        <w:t>文件中《质疑函范本》要求的格式和内容进行填写。供应商如组成联合体参加采购活动，则《质疑函范本》中要求签字、盖章、加盖公章之处，联合体各方均须按要求签字、盖章、加盖公章。</w:t>
      </w:r>
    </w:p>
    <w:p w14:paraId="453DCEB2">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4、对采购方式、</w:t>
      </w:r>
      <w:r>
        <w:rPr>
          <w:rFonts w:hint="eastAsia" w:ascii="Times New Roman" w:hAnsi="Times New Roman" w:cs="黑体"/>
          <w:bCs/>
          <w:sz w:val="24"/>
          <w:szCs w:val="24"/>
          <w:highlight w:val="none"/>
          <w:shd w:val="clear" w:color="auto" w:fill="FFFFFF"/>
        </w:rPr>
        <w:t>采购</w:t>
      </w:r>
      <w:r>
        <w:rPr>
          <w:rFonts w:hint="eastAsia" w:ascii="Times New Roman" w:hAnsi="Times New Roman"/>
          <w:sz w:val="24"/>
          <w:szCs w:val="24"/>
          <w:highlight w:val="none"/>
        </w:rPr>
        <w:t>文件中项目需求、供应商资格条件、评审方法和评审标准、资格审查结果等应当由采购人答复的质疑，请向采购人提出，由采购人负责答复。</w:t>
      </w:r>
    </w:p>
    <w:p w14:paraId="7422B9E7">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采购人质疑接收人及联系方式，见</w:t>
      </w:r>
      <w:r>
        <w:rPr>
          <w:rFonts w:hint="eastAsia" w:ascii="Times New Roman" w:hAnsi="Times New Roman" w:cs="黑体"/>
          <w:bCs/>
          <w:sz w:val="24"/>
          <w:szCs w:val="24"/>
          <w:highlight w:val="none"/>
          <w:shd w:val="clear" w:color="auto" w:fill="FFFFFF"/>
        </w:rPr>
        <w:t>采购</w:t>
      </w:r>
      <w:r>
        <w:rPr>
          <w:rFonts w:hint="eastAsia" w:ascii="Times New Roman" w:hAnsi="Times New Roman"/>
          <w:sz w:val="24"/>
          <w:szCs w:val="24"/>
          <w:highlight w:val="none"/>
        </w:rPr>
        <w:t>文件第一章。</w:t>
      </w:r>
    </w:p>
    <w:p w14:paraId="0FDB4E5E">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5、 以下情形的质疑不予受理</w:t>
      </w:r>
    </w:p>
    <w:p w14:paraId="47503017">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5.1 内容不符合《政府采购质疑和投诉办法》财政部第94号令第十二条规定的质疑。</w:t>
      </w:r>
    </w:p>
    <w:p w14:paraId="5AB7AEB6">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5.2 超出政府采购法定期限的质疑。</w:t>
      </w:r>
    </w:p>
    <w:p w14:paraId="777BCE32">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5.3 未参加采购活动的供应商。</w:t>
      </w:r>
    </w:p>
    <w:p w14:paraId="4858754F">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5.4供应商组成联合体参加采购活动，联合体中任何一方或多方未按要求签字、盖章、加盖公章的质疑。</w:t>
      </w:r>
    </w:p>
    <w:p w14:paraId="027A3C29">
      <w:pPr>
        <w:keepNext w:val="0"/>
        <w:keepLines w:val="0"/>
        <w:pageBreakBefore w:val="0"/>
        <w:wordWrap/>
        <w:bidi w:val="0"/>
        <w:adjustRightInd w:val="0"/>
        <w:snapToGrid w:val="0"/>
        <w:spacing w:line="360" w:lineRule="auto"/>
        <w:ind w:firstLine="484" w:firstLineChars="202"/>
        <w:rPr>
          <w:rFonts w:ascii="Times New Roman" w:hAnsi="Times New Roman"/>
          <w:sz w:val="24"/>
          <w:szCs w:val="24"/>
          <w:highlight w:val="none"/>
        </w:rPr>
      </w:pPr>
      <w:r>
        <w:rPr>
          <w:rFonts w:hint="eastAsia" w:ascii="Times New Roman" w:hAnsi="Times New Roman"/>
          <w:sz w:val="24"/>
          <w:szCs w:val="24"/>
          <w:highlight w:val="none"/>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5E8716E">
      <w:pPr>
        <w:keepNext w:val="0"/>
        <w:keepLines w:val="0"/>
        <w:pageBreakBefore w:val="0"/>
        <w:wordWrap/>
        <w:bidi w:val="0"/>
        <w:spacing w:after="120" w:line="360" w:lineRule="auto"/>
        <w:rPr>
          <w:rFonts w:ascii="Times New Roman" w:hAnsi="Times New Roman"/>
          <w:szCs w:val="21"/>
          <w:highlight w:val="none"/>
        </w:rPr>
      </w:pPr>
      <w:r>
        <w:rPr>
          <w:rFonts w:ascii="Times New Roman" w:hAnsi="Times New Roman"/>
          <w:highlight w:val="none"/>
        </w:rPr>
        <w:br w:type="page"/>
      </w:r>
      <w:r>
        <w:rPr>
          <w:rFonts w:hint="eastAsia" w:ascii="Times New Roman" w:hAnsi="Times New Roman"/>
          <w:szCs w:val="21"/>
          <w:highlight w:val="none"/>
        </w:rPr>
        <w:t>附件：</w:t>
      </w:r>
    </w:p>
    <w:p w14:paraId="18ED59F4">
      <w:pPr>
        <w:keepNext w:val="0"/>
        <w:keepLines w:val="0"/>
        <w:pageBreakBefore w:val="0"/>
        <w:wordWrap/>
        <w:bidi w:val="0"/>
        <w:spacing w:line="360" w:lineRule="auto"/>
        <w:jc w:val="center"/>
        <w:rPr>
          <w:rFonts w:ascii="Times New Roman" w:hAnsi="Times New Roman" w:cs="仿宋"/>
          <w:bCs/>
          <w:sz w:val="24"/>
          <w:szCs w:val="24"/>
          <w:highlight w:val="none"/>
        </w:rPr>
      </w:pPr>
      <w:r>
        <w:rPr>
          <w:rFonts w:hint="eastAsia" w:ascii="Times New Roman" w:hAnsi="Times New Roman" w:cs="仿宋"/>
          <w:bCs/>
          <w:sz w:val="24"/>
          <w:szCs w:val="24"/>
          <w:highlight w:val="none"/>
        </w:rPr>
        <w:t>质疑函范本</w:t>
      </w:r>
    </w:p>
    <w:p w14:paraId="31FAEC42">
      <w:pPr>
        <w:keepNext w:val="0"/>
        <w:keepLines w:val="0"/>
        <w:pageBreakBefore w:val="0"/>
        <w:wordWrap/>
        <w:bidi w:val="0"/>
        <w:adjustRightInd w:val="0"/>
        <w:snapToGrid w:val="0"/>
        <w:spacing w:before="312" w:beforeLines="100" w:line="360" w:lineRule="auto"/>
        <w:rPr>
          <w:rFonts w:ascii="Times New Roman" w:hAnsi="Times New Roman" w:cs="仿宋"/>
          <w:bCs/>
          <w:sz w:val="24"/>
          <w:szCs w:val="24"/>
          <w:highlight w:val="none"/>
        </w:rPr>
      </w:pPr>
      <w:r>
        <w:rPr>
          <w:rFonts w:hint="eastAsia" w:ascii="Times New Roman" w:hAnsi="Times New Roman" w:cs="仿宋"/>
          <w:bCs/>
          <w:sz w:val="24"/>
          <w:szCs w:val="24"/>
          <w:highlight w:val="none"/>
        </w:rPr>
        <w:t>一、质疑供应商基本信息</w:t>
      </w:r>
    </w:p>
    <w:p w14:paraId="3A2DA37C">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r>
        <w:rPr>
          <w:rFonts w:hint="eastAsia" w:ascii="Times New Roman" w:hAnsi="Times New Roman" w:cs="仿宋"/>
          <w:sz w:val="24"/>
          <w:szCs w:val="24"/>
          <w:highlight w:val="none"/>
        </w:rPr>
        <w:t>质疑供应商：</w:t>
      </w:r>
    </w:p>
    <w:p w14:paraId="059369A2">
      <w:pPr>
        <w:keepNext w:val="0"/>
        <w:keepLines w:val="0"/>
        <w:pageBreakBefore w:val="0"/>
        <w:wordWrap/>
        <w:bidi w:val="0"/>
        <w:adjustRightInd w:val="0"/>
        <w:snapToGrid w:val="0"/>
        <w:spacing w:line="360" w:lineRule="auto"/>
        <w:rPr>
          <w:rFonts w:ascii="Times New Roman" w:hAnsi="Times New Roman" w:cs="仿宋"/>
          <w:sz w:val="24"/>
          <w:szCs w:val="24"/>
          <w:highlight w:val="none"/>
        </w:rPr>
      </w:pPr>
      <w:r>
        <w:rPr>
          <w:rFonts w:hint="eastAsia" w:ascii="Times New Roman" w:hAnsi="Times New Roman" w:cs="仿宋"/>
          <w:sz w:val="24"/>
          <w:szCs w:val="24"/>
          <w:highlight w:val="none"/>
        </w:rPr>
        <w:t>地址：邮编：</w:t>
      </w:r>
    </w:p>
    <w:p w14:paraId="11573581">
      <w:pPr>
        <w:keepNext w:val="0"/>
        <w:keepLines w:val="0"/>
        <w:pageBreakBefore w:val="0"/>
        <w:wordWrap/>
        <w:bidi w:val="0"/>
        <w:adjustRightInd w:val="0"/>
        <w:snapToGrid w:val="0"/>
        <w:spacing w:line="360" w:lineRule="auto"/>
        <w:rPr>
          <w:rFonts w:ascii="Times New Roman" w:hAnsi="Times New Roman" w:cs="仿宋"/>
          <w:sz w:val="24"/>
          <w:szCs w:val="24"/>
          <w:highlight w:val="none"/>
        </w:rPr>
      </w:pPr>
      <w:r>
        <w:rPr>
          <w:rFonts w:hint="eastAsia" w:ascii="Times New Roman" w:hAnsi="Times New Roman" w:cs="仿宋"/>
          <w:sz w:val="24"/>
          <w:szCs w:val="24"/>
          <w:highlight w:val="none"/>
        </w:rPr>
        <w:t>联系人：联系电话：</w:t>
      </w:r>
    </w:p>
    <w:p w14:paraId="371C4B9A">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r>
        <w:rPr>
          <w:rFonts w:hint="eastAsia" w:ascii="Times New Roman" w:hAnsi="Times New Roman" w:cs="仿宋"/>
          <w:sz w:val="24"/>
          <w:szCs w:val="24"/>
          <w:highlight w:val="none"/>
        </w:rPr>
        <w:t>授权代表：</w:t>
      </w:r>
    </w:p>
    <w:p w14:paraId="5EFA906F">
      <w:pPr>
        <w:keepNext w:val="0"/>
        <w:keepLines w:val="0"/>
        <w:pageBreakBefore w:val="0"/>
        <w:wordWrap/>
        <w:bidi w:val="0"/>
        <w:adjustRightInd w:val="0"/>
        <w:snapToGrid w:val="0"/>
        <w:spacing w:line="360" w:lineRule="auto"/>
        <w:rPr>
          <w:rFonts w:ascii="Times New Roman" w:hAnsi="Times New Roman" w:cs="仿宋"/>
          <w:sz w:val="24"/>
          <w:szCs w:val="24"/>
          <w:highlight w:val="none"/>
        </w:rPr>
      </w:pPr>
      <w:r>
        <w:rPr>
          <w:rFonts w:hint="eastAsia" w:ascii="Times New Roman" w:hAnsi="Times New Roman" w:cs="仿宋"/>
          <w:sz w:val="24"/>
          <w:szCs w:val="24"/>
          <w:highlight w:val="none"/>
        </w:rPr>
        <w:t>联系电话：</w:t>
      </w:r>
    </w:p>
    <w:p w14:paraId="478705D9">
      <w:pPr>
        <w:keepNext w:val="0"/>
        <w:keepLines w:val="0"/>
        <w:pageBreakBefore w:val="0"/>
        <w:wordWrap/>
        <w:bidi w:val="0"/>
        <w:adjustRightInd w:val="0"/>
        <w:snapToGrid w:val="0"/>
        <w:spacing w:line="360" w:lineRule="auto"/>
        <w:rPr>
          <w:rFonts w:ascii="Times New Roman" w:hAnsi="Times New Roman" w:cs="仿宋"/>
          <w:sz w:val="24"/>
          <w:szCs w:val="24"/>
          <w:highlight w:val="none"/>
        </w:rPr>
      </w:pPr>
      <w:r>
        <w:rPr>
          <w:rFonts w:hint="eastAsia" w:ascii="Times New Roman" w:hAnsi="Times New Roman" w:cs="仿宋"/>
          <w:sz w:val="24"/>
          <w:szCs w:val="24"/>
          <w:highlight w:val="none"/>
        </w:rPr>
        <w:t>地址：邮编：</w:t>
      </w:r>
    </w:p>
    <w:p w14:paraId="2C73849D">
      <w:pPr>
        <w:keepNext w:val="0"/>
        <w:keepLines w:val="0"/>
        <w:pageBreakBefore w:val="0"/>
        <w:wordWrap/>
        <w:bidi w:val="0"/>
        <w:adjustRightInd w:val="0"/>
        <w:snapToGrid w:val="0"/>
        <w:spacing w:line="360" w:lineRule="auto"/>
        <w:rPr>
          <w:rFonts w:ascii="Times New Roman" w:hAnsi="Times New Roman" w:cs="仿宋"/>
          <w:bCs/>
          <w:sz w:val="24"/>
          <w:szCs w:val="24"/>
          <w:highlight w:val="none"/>
        </w:rPr>
      </w:pPr>
      <w:r>
        <w:rPr>
          <w:rFonts w:hint="eastAsia" w:ascii="Times New Roman" w:hAnsi="Times New Roman" w:cs="仿宋"/>
          <w:bCs/>
          <w:sz w:val="24"/>
          <w:szCs w:val="24"/>
          <w:highlight w:val="none"/>
        </w:rPr>
        <w:t>二、质疑项目基本情况</w:t>
      </w:r>
    </w:p>
    <w:p w14:paraId="6A4D34E7">
      <w:pPr>
        <w:keepNext w:val="0"/>
        <w:keepLines w:val="0"/>
        <w:pageBreakBefore w:val="0"/>
        <w:wordWrap/>
        <w:bidi w:val="0"/>
        <w:adjustRightInd w:val="0"/>
        <w:snapToGrid w:val="0"/>
        <w:spacing w:line="360" w:lineRule="auto"/>
        <w:rPr>
          <w:rFonts w:ascii="Times New Roman" w:hAnsi="Times New Roman" w:cs="仿宋"/>
          <w:sz w:val="24"/>
          <w:szCs w:val="24"/>
          <w:highlight w:val="none"/>
        </w:rPr>
      </w:pPr>
      <w:r>
        <w:rPr>
          <w:rFonts w:hint="eastAsia" w:ascii="Times New Roman" w:hAnsi="Times New Roman" w:cs="仿宋"/>
          <w:sz w:val="24"/>
          <w:szCs w:val="24"/>
          <w:highlight w:val="none"/>
        </w:rPr>
        <w:t>质疑项目的名称：</w:t>
      </w:r>
    </w:p>
    <w:p w14:paraId="12CC5AAD">
      <w:pPr>
        <w:keepNext w:val="0"/>
        <w:keepLines w:val="0"/>
        <w:pageBreakBefore w:val="0"/>
        <w:wordWrap/>
        <w:bidi w:val="0"/>
        <w:adjustRightInd w:val="0"/>
        <w:snapToGrid w:val="0"/>
        <w:spacing w:line="360" w:lineRule="auto"/>
        <w:rPr>
          <w:rFonts w:ascii="Times New Roman" w:hAnsi="Times New Roman" w:cs="仿宋"/>
          <w:sz w:val="24"/>
          <w:szCs w:val="24"/>
          <w:highlight w:val="none"/>
        </w:rPr>
      </w:pPr>
      <w:r>
        <w:rPr>
          <w:rFonts w:hint="eastAsia" w:ascii="Times New Roman" w:hAnsi="Times New Roman" w:cs="仿宋"/>
          <w:sz w:val="24"/>
          <w:szCs w:val="24"/>
          <w:highlight w:val="none"/>
        </w:rPr>
        <w:t>质疑项目的编号：包号：</w:t>
      </w:r>
    </w:p>
    <w:p w14:paraId="59742146">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r>
        <w:rPr>
          <w:rFonts w:hint="eastAsia" w:ascii="Times New Roman" w:hAnsi="Times New Roman" w:cs="仿宋"/>
          <w:sz w:val="24"/>
          <w:szCs w:val="24"/>
          <w:highlight w:val="none"/>
        </w:rPr>
        <w:t>采购人名称：</w:t>
      </w:r>
    </w:p>
    <w:p w14:paraId="57AD400D">
      <w:pPr>
        <w:keepNext w:val="0"/>
        <w:keepLines w:val="0"/>
        <w:pageBreakBefore w:val="0"/>
        <w:wordWrap/>
        <w:bidi w:val="0"/>
        <w:adjustRightInd w:val="0"/>
        <w:snapToGrid w:val="0"/>
        <w:spacing w:line="360" w:lineRule="auto"/>
        <w:rPr>
          <w:rFonts w:ascii="Times New Roman" w:hAnsi="Times New Roman" w:cs="仿宋"/>
          <w:sz w:val="24"/>
          <w:szCs w:val="24"/>
          <w:highlight w:val="none"/>
        </w:rPr>
      </w:pPr>
      <w:r>
        <w:rPr>
          <w:rFonts w:hint="eastAsia" w:ascii="Times New Roman" w:hAnsi="Times New Roman" w:cs="仿宋"/>
          <w:sz w:val="24"/>
          <w:szCs w:val="24"/>
          <w:highlight w:val="none"/>
        </w:rPr>
        <w:t>采购文件获取日期：</w:t>
      </w:r>
    </w:p>
    <w:p w14:paraId="2BA08E83">
      <w:pPr>
        <w:keepNext w:val="0"/>
        <w:keepLines w:val="0"/>
        <w:pageBreakBefore w:val="0"/>
        <w:wordWrap/>
        <w:bidi w:val="0"/>
        <w:adjustRightInd w:val="0"/>
        <w:snapToGrid w:val="0"/>
        <w:spacing w:line="360" w:lineRule="auto"/>
        <w:rPr>
          <w:rFonts w:ascii="Times New Roman" w:hAnsi="Times New Roman" w:cs="仿宋"/>
          <w:bCs/>
          <w:sz w:val="24"/>
          <w:szCs w:val="24"/>
          <w:highlight w:val="none"/>
        </w:rPr>
      </w:pPr>
      <w:r>
        <w:rPr>
          <w:rFonts w:hint="eastAsia" w:ascii="Times New Roman" w:hAnsi="Times New Roman" w:cs="仿宋"/>
          <w:bCs/>
          <w:sz w:val="24"/>
          <w:szCs w:val="24"/>
          <w:highlight w:val="none"/>
        </w:rPr>
        <w:t>三、质疑事项具体内容</w:t>
      </w:r>
    </w:p>
    <w:p w14:paraId="30F2DB2A">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r>
        <w:rPr>
          <w:rFonts w:hint="eastAsia" w:ascii="Times New Roman" w:hAnsi="Times New Roman" w:cs="仿宋"/>
          <w:sz w:val="24"/>
          <w:szCs w:val="24"/>
          <w:highlight w:val="none"/>
        </w:rPr>
        <w:t>质疑事项1：</w:t>
      </w:r>
    </w:p>
    <w:p w14:paraId="58F90407">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r>
        <w:rPr>
          <w:rFonts w:hint="eastAsia" w:ascii="Times New Roman" w:hAnsi="Times New Roman" w:cs="仿宋"/>
          <w:sz w:val="24"/>
          <w:szCs w:val="24"/>
          <w:highlight w:val="none"/>
        </w:rPr>
        <w:t>事实依据：</w:t>
      </w:r>
    </w:p>
    <w:p w14:paraId="7B6F2CBA">
      <w:pPr>
        <w:keepNext w:val="0"/>
        <w:keepLines w:val="0"/>
        <w:pageBreakBefore w:val="0"/>
        <w:wordWrap/>
        <w:bidi w:val="0"/>
        <w:adjustRightInd w:val="0"/>
        <w:snapToGrid w:val="0"/>
        <w:spacing w:line="360" w:lineRule="auto"/>
        <w:rPr>
          <w:rFonts w:ascii="Times New Roman" w:hAnsi="Times New Roman" w:cs="仿宋"/>
          <w:sz w:val="24"/>
          <w:szCs w:val="24"/>
          <w:highlight w:val="none"/>
        </w:rPr>
      </w:pPr>
    </w:p>
    <w:p w14:paraId="263F3E71">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r>
        <w:rPr>
          <w:rFonts w:hint="eastAsia" w:ascii="Times New Roman" w:hAnsi="Times New Roman" w:cs="仿宋"/>
          <w:sz w:val="24"/>
          <w:szCs w:val="24"/>
          <w:highlight w:val="none"/>
        </w:rPr>
        <w:t>法律依据：</w:t>
      </w:r>
    </w:p>
    <w:p w14:paraId="71A5AD78">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p>
    <w:p w14:paraId="4B168C3F">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r>
        <w:rPr>
          <w:rFonts w:hint="eastAsia" w:ascii="Times New Roman" w:hAnsi="Times New Roman" w:cs="仿宋"/>
          <w:sz w:val="24"/>
          <w:szCs w:val="24"/>
          <w:highlight w:val="none"/>
        </w:rPr>
        <w:t>质疑事项2</w:t>
      </w:r>
    </w:p>
    <w:p w14:paraId="1047AD0A">
      <w:pPr>
        <w:keepNext w:val="0"/>
        <w:keepLines w:val="0"/>
        <w:pageBreakBefore w:val="0"/>
        <w:wordWrap/>
        <w:bidi w:val="0"/>
        <w:adjustRightInd w:val="0"/>
        <w:snapToGrid w:val="0"/>
        <w:spacing w:line="360" w:lineRule="auto"/>
        <w:rPr>
          <w:rFonts w:ascii="Times New Roman" w:hAnsi="Times New Roman" w:cs="仿宋"/>
          <w:sz w:val="24"/>
          <w:szCs w:val="24"/>
          <w:highlight w:val="none"/>
        </w:rPr>
      </w:pPr>
      <w:r>
        <w:rPr>
          <w:rFonts w:hint="eastAsia" w:ascii="Times New Roman" w:hAnsi="Times New Roman" w:cs="仿宋"/>
          <w:sz w:val="24"/>
          <w:szCs w:val="24"/>
          <w:highlight w:val="none"/>
        </w:rPr>
        <w:t>……</w:t>
      </w:r>
    </w:p>
    <w:p w14:paraId="36028A73">
      <w:pPr>
        <w:keepNext w:val="0"/>
        <w:keepLines w:val="0"/>
        <w:pageBreakBefore w:val="0"/>
        <w:wordWrap/>
        <w:bidi w:val="0"/>
        <w:adjustRightInd w:val="0"/>
        <w:snapToGrid w:val="0"/>
        <w:spacing w:line="360" w:lineRule="auto"/>
        <w:rPr>
          <w:rFonts w:ascii="Times New Roman" w:hAnsi="Times New Roman" w:cs="仿宋"/>
          <w:bCs/>
          <w:sz w:val="24"/>
          <w:szCs w:val="24"/>
          <w:highlight w:val="none"/>
        </w:rPr>
      </w:pPr>
      <w:r>
        <w:rPr>
          <w:rFonts w:hint="eastAsia" w:ascii="Times New Roman" w:hAnsi="Times New Roman" w:cs="仿宋"/>
          <w:bCs/>
          <w:sz w:val="24"/>
          <w:szCs w:val="24"/>
          <w:highlight w:val="none"/>
        </w:rPr>
        <w:t>四、与质疑事项相关的质疑请求</w:t>
      </w:r>
    </w:p>
    <w:p w14:paraId="20C43FF3">
      <w:pPr>
        <w:keepNext w:val="0"/>
        <w:keepLines w:val="0"/>
        <w:pageBreakBefore w:val="0"/>
        <w:wordWrap/>
        <w:bidi w:val="0"/>
        <w:adjustRightInd w:val="0"/>
        <w:snapToGrid w:val="0"/>
        <w:spacing w:line="360" w:lineRule="auto"/>
        <w:rPr>
          <w:rFonts w:ascii="Times New Roman" w:hAnsi="Times New Roman" w:cs="仿宋"/>
          <w:sz w:val="24"/>
          <w:szCs w:val="24"/>
          <w:highlight w:val="none"/>
          <w:u w:val="dotted"/>
        </w:rPr>
      </w:pPr>
      <w:r>
        <w:rPr>
          <w:rFonts w:hint="eastAsia" w:ascii="Times New Roman" w:hAnsi="Times New Roman" w:cs="仿宋"/>
          <w:sz w:val="24"/>
          <w:szCs w:val="24"/>
          <w:highlight w:val="none"/>
        </w:rPr>
        <w:t>请求：</w:t>
      </w:r>
    </w:p>
    <w:p w14:paraId="27D8B1B5">
      <w:pPr>
        <w:keepNext w:val="0"/>
        <w:keepLines w:val="0"/>
        <w:pageBreakBefore w:val="0"/>
        <w:wordWrap/>
        <w:bidi w:val="0"/>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签字(签章)：                   公章：                      </w:t>
      </w:r>
    </w:p>
    <w:p w14:paraId="07BB7C65">
      <w:pPr>
        <w:keepNext w:val="0"/>
        <w:keepLines w:val="0"/>
        <w:pageBreakBefore w:val="0"/>
        <w:wordWrap/>
        <w:bidi w:val="0"/>
        <w:spacing w:line="360" w:lineRule="auto"/>
        <w:rPr>
          <w:rFonts w:ascii="Times New Roman" w:hAnsi="Times New Roman"/>
          <w:sz w:val="24"/>
          <w:szCs w:val="24"/>
          <w:highlight w:val="none"/>
        </w:rPr>
      </w:pPr>
      <w:r>
        <w:rPr>
          <w:rFonts w:hint="eastAsia" w:ascii="Times New Roman" w:hAnsi="Times New Roman"/>
          <w:sz w:val="24"/>
          <w:szCs w:val="24"/>
          <w:highlight w:val="none"/>
        </w:rPr>
        <w:t xml:space="preserve">日期：    </w:t>
      </w:r>
    </w:p>
    <w:p w14:paraId="5A03D8E1">
      <w:pPr>
        <w:keepNext w:val="0"/>
        <w:keepLines w:val="0"/>
        <w:pageBreakBefore w:val="0"/>
        <w:wordWrap/>
        <w:bidi w:val="0"/>
        <w:adjustRightInd w:val="0"/>
        <w:snapToGrid w:val="0"/>
        <w:spacing w:line="360" w:lineRule="auto"/>
        <w:rPr>
          <w:rFonts w:ascii="Times New Roman" w:hAnsi="Times New Roman" w:cs="仿宋"/>
          <w:sz w:val="24"/>
          <w:szCs w:val="24"/>
          <w:highlight w:val="none"/>
        </w:rPr>
      </w:pPr>
    </w:p>
    <w:p w14:paraId="5BE312B0">
      <w:pPr>
        <w:keepNext w:val="0"/>
        <w:keepLines w:val="0"/>
        <w:pageBreakBefore w:val="0"/>
        <w:wordWrap/>
        <w:bidi w:val="0"/>
        <w:spacing w:line="360" w:lineRule="auto"/>
        <w:rPr>
          <w:rFonts w:ascii="Times New Roman" w:hAnsi="Times New Roman"/>
          <w:b/>
          <w:sz w:val="24"/>
          <w:szCs w:val="24"/>
          <w:highlight w:val="none"/>
        </w:rPr>
      </w:pPr>
    </w:p>
    <w:p w14:paraId="7AB4BB50">
      <w:pPr>
        <w:keepNext w:val="0"/>
        <w:keepLines w:val="0"/>
        <w:pageBreakBefore w:val="0"/>
        <w:wordWrap/>
        <w:bidi w:val="0"/>
        <w:spacing w:line="360" w:lineRule="auto"/>
        <w:jc w:val="left"/>
        <w:rPr>
          <w:rFonts w:ascii="Times New Roman" w:hAnsi="Times New Roman"/>
          <w:b/>
          <w:sz w:val="24"/>
          <w:szCs w:val="24"/>
          <w:highlight w:val="none"/>
        </w:rPr>
      </w:pPr>
      <w:r>
        <w:rPr>
          <w:rFonts w:ascii="Times New Roman" w:hAnsi="Times New Roman"/>
          <w:b/>
          <w:sz w:val="24"/>
          <w:szCs w:val="24"/>
          <w:highlight w:val="none"/>
        </w:rPr>
        <w:br w:type="page"/>
      </w:r>
    </w:p>
    <w:p w14:paraId="50FCFBD3">
      <w:pPr>
        <w:keepNext w:val="0"/>
        <w:keepLines w:val="0"/>
        <w:pageBreakBefore w:val="0"/>
        <w:wordWrap/>
        <w:bidi w:val="0"/>
        <w:spacing w:line="360" w:lineRule="auto"/>
        <w:jc w:val="left"/>
        <w:rPr>
          <w:rFonts w:ascii="Times New Roman" w:hAnsi="Times New Roman"/>
          <w:b/>
          <w:sz w:val="24"/>
          <w:szCs w:val="24"/>
          <w:highlight w:val="none"/>
        </w:rPr>
      </w:pPr>
      <w:r>
        <w:rPr>
          <w:rFonts w:hint="eastAsia" w:ascii="Times New Roman" w:hAnsi="Times New Roman"/>
          <w:b/>
          <w:sz w:val="24"/>
          <w:szCs w:val="24"/>
          <w:highlight w:val="none"/>
        </w:rPr>
        <w:t>质疑函制作说明：</w:t>
      </w:r>
    </w:p>
    <w:p w14:paraId="501C55F3">
      <w:pPr>
        <w:keepNext w:val="0"/>
        <w:keepLines w:val="0"/>
        <w:pageBreakBefore w:val="0"/>
        <w:wordWrap/>
        <w:bidi w:val="0"/>
        <w:spacing w:line="360" w:lineRule="auto"/>
        <w:ind w:firstLine="480" w:firstLineChars="200"/>
        <w:jc w:val="left"/>
        <w:rPr>
          <w:rFonts w:ascii="Times New Roman" w:hAnsi="Times New Roman"/>
          <w:sz w:val="24"/>
          <w:szCs w:val="24"/>
          <w:highlight w:val="none"/>
        </w:rPr>
      </w:pPr>
      <w:r>
        <w:rPr>
          <w:rFonts w:hint="eastAsia" w:ascii="Times New Roman" w:hAnsi="Times New Roman"/>
          <w:sz w:val="24"/>
          <w:szCs w:val="24"/>
          <w:highlight w:val="none"/>
        </w:rPr>
        <w:t>1、供应商提出质疑时，应提交质疑函和必要的证明材料。</w:t>
      </w:r>
    </w:p>
    <w:p w14:paraId="034555C5">
      <w:pPr>
        <w:keepNext w:val="0"/>
        <w:keepLines w:val="0"/>
        <w:pageBreakBefore w:val="0"/>
        <w:wordWrap/>
        <w:bidi w:val="0"/>
        <w:spacing w:line="360" w:lineRule="auto"/>
        <w:ind w:firstLine="480" w:firstLineChars="200"/>
        <w:jc w:val="left"/>
        <w:rPr>
          <w:rFonts w:ascii="Times New Roman" w:hAnsi="Times New Roman"/>
          <w:sz w:val="24"/>
          <w:szCs w:val="24"/>
          <w:highlight w:val="none"/>
        </w:rPr>
      </w:pPr>
      <w:r>
        <w:rPr>
          <w:rFonts w:hint="eastAsia" w:ascii="Times New Roman" w:hAnsi="Times New Roman"/>
          <w:sz w:val="24"/>
          <w:szCs w:val="24"/>
          <w:highlight w:val="none"/>
        </w:rPr>
        <w:t>2、质疑供应商若委托代理人进行质疑的，质疑函应按要求列明“授权代表”的有关内容，并在附件中提交由质疑</w:t>
      </w:r>
      <w:r>
        <w:rPr>
          <w:rFonts w:hint="eastAsia" w:ascii="Times New Roman" w:hAnsi="Times New Roman" w:cs="宋体"/>
          <w:kern w:val="0"/>
          <w:sz w:val="24"/>
          <w:szCs w:val="24"/>
          <w:highlight w:val="none"/>
        </w:rPr>
        <w:t>供应商签署的授权委托书。授权委托书应载明代理人的姓名或者名称、代理事项、具体权限、期限和相关事项。</w:t>
      </w:r>
    </w:p>
    <w:p w14:paraId="5417C015">
      <w:pPr>
        <w:keepNext w:val="0"/>
        <w:keepLines w:val="0"/>
        <w:pageBreakBefore w:val="0"/>
        <w:wordWrap/>
        <w:bidi w:val="0"/>
        <w:spacing w:line="360" w:lineRule="auto"/>
        <w:ind w:firstLine="480" w:firstLineChars="200"/>
        <w:jc w:val="left"/>
        <w:rPr>
          <w:rFonts w:ascii="Times New Roman" w:hAnsi="Times New Roman"/>
          <w:sz w:val="24"/>
          <w:szCs w:val="24"/>
          <w:highlight w:val="none"/>
        </w:rPr>
      </w:pPr>
      <w:r>
        <w:rPr>
          <w:rFonts w:hint="eastAsia" w:ascii="Times New Roman" w:hAnsi="Times New Roman"/>
          <w:sz w:val="24"/>
          <w:szCs w:val="24"/>
          <w:highlight w:val="none"/>
        </w:rPr>
        <w:t>3、质疑供应商若对项目的某一分包进行质疑，质疑函中应列明具体分包号。</w:t>
      </w:r>
    </w:p>
    <w:p w14:paraId="7619B8C7">
      <w:pPr>
        <w:keepNext w:val="0"/>
        <w:keepLines w:val="0"/>
        <w:pageBreakBefore w:val="0"/>
        <w:wordWrap/>
        <w:bidi w:val="0"/>
        <w:spacing w:line="360" w:lineRule="auto"/>
        <w:ind w:firstLine="480" w:firstLineChars="200"/>
        <w:jc w:val="left"/>
        <w:rPr>
          <w:rFonts w:ascii="Times New Roman" w:hAnsi="Times New Roman"/>
          <w:sz w:val="24"/>
          <w:szCs w:val="24"/>
          <w:highlight w:val="none"/>
        </w:rPr>
      </w:pPr>
      <w:r>
        <w:rPr>
          <w:rFonts w:hint="eastAsia" w:ascii="Times New Roman" w:hAnsi="Times New Roman"/>
          <w:sz w:val="24"/>
          <w:szCs w:val="24"/>
          <w:highlight w:val="none"/>
        </w:rPr>
        <w:t>4、质疑函的质疑事项应具体、明确，并有必要的事实依据和法律依据。</w:t>
      </w:r>
    </w:p>
    <w:p w14:paraId="07EB8184">
      <w:pPr>
        <w:keepNext w:val="0"/>
        <w:keepLines w:val="0"/>
        <w:pageBreakBefore w:val="0"/>
        <w:wordWrap/>
        <w:bidi w:val="0"/>
        <w:spacing w:line="360" w:lineRule="auto"/>
        <w:ind w:firstLine="480" w:firstLineChars="200"/>
        <w:jc w:val="left"/>
        <w:rPr>
          <w:rFonts w:ascii="Times New Roman" w:hAnsi="Times New Roman"/>
          <w:sz w:val="24"/>
          <w:szCs w:val="24"/>
          <w:highlight w:val="none"/>
        </w:rPr>
      </w:pPr>
      <w:r>
        <w:rPr>
          <w:rFonts w:hint="eastAsia" w:ascii="Times New Roman" w:hAnsi="Times New Roman"/>
          <w:sz w:val="24"/>
          <w:szCs w:val="24"/>
          <w:highlight w:val="none"/>
        </w:rPr>
        <w:t>5、质疑函的质疑请求应与质疑事项相关。</w:t>
      </w:r>
    </w:p>
    <w:p w14:paraId="614145E0">
      <w:pPr>
        <w:keepNext w:val="0"/>
        <w:keepLines w:val="0"/>
        <w:pageBreakBefore w:val="0"/>
        <w:wordWrap/>
        <w:bidi w:val="0"/>
        <w:spacing w:line="360" w:lineRule="auto"/>
        <w:ind w:firstLine="480" w:firstLineChars="200"/>
        <w:jc w:val="left"/>
        <w:rPr>
          <w:rFonts w:ascii="Times New Roman" w:hAnsi="Times New Roman"/>
          <w:sz w:val="24"/>
          <w:szCs w:val="24"/>
          <w:highlight w:val="none"/>
        </w:rPr>
      </w:pPr>
      <w:r>
        <w:rPr>
          <w:rFonts w:hint="eastAsia" w:ascii="Times New Roman" w:hAnsi="Times New Roman"/>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sz w:val="24"/>
          <w:szCs w:val="24"/>
          <w:highlight w:val="none"/>
        </w:rPr>
        <w:t>。</w:t>
      </w:r>
    </w:p>
    <w:p w14:paraId="10C18DFA">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sz w:val="24"/>
          <w:szCs w:val="24"/>
        </w:rPr>
      </w:pPr>
      <w:r>
        <w:rPr>
          <w:rFonts w:ascii="Times New Roman" w:hAnsi="Times New Roman" w:eastAsia="宋体" w:cs="宋体"/>
          <w:sz w:val="24"/>
          <w:szCs w:val="24"/>
        </w:rPr>
        <w:br w:type="page"/>
      </w:r>
    </w:p>
    <w:p w14:paraId="5C7EB916">
      <w:pPr>
        <w:pStyle w:val="3"/>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w w:val="80"/>
          <w:sz w:val="48"/>
          <w:szCs w:val="44"/>
        </w:rPr>
      </w:pPr>
      <w:r>
        <w:rPr>
          <w:rFonts w:hint="eastAsia" w:ascii="Times New Roman" w:hAnsi="Times New Roman" w:eastAsia="宋体" w:cs="宋体"/>
          <w:w w:val="80"/>
          <w:sz w:val="48"/>
          <w:szCs w:val="44"/>
        </w:rPr>
        <w:t>第七章 响应文件组成及格式</w:t>
      </w:r>
    </w:p>
    <w:p w14:paraId="12373B11">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14:paraId="45F8B462">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kern w:val="0"/>
          <w:sz w:val="24"/>
          <w:lang w:val="zh-CN"/>
        </w:rPr>
      </w:pPr>
      <w:r>
        <w:rPr>
          <w:rFonts w:hint="eastAsia" w:ascii="Times New Roman" w:hAnsi="Times New Roman" w:eastAsia="宋体" w:cs="宋体"/>
          <w:b/>
          <w:bCs/>
          <w:kern w:val="0"/>
          <w:sz w:val="24"/>
          <w:lang w:val="zh-CN"/>
        </w:rPr>
        <w:t>一、资格审查文件（单独密封）：</w:t>
      </w:r>
    </w:p>
    <w:p w14:paraId="4B081E8D">
      <w:pPr>
        <w:spacing w:line="360" w:lineRule="auto"/>
        <w:ind w:firstLine="480" w:firstLineChars="200"/>
        <w:textAlignment w:val="baseline"/>
        <w:rPr>
          <w:rFonts w:hint="eastAsia" w:ascii="Times New Roman" w:hAnsi="Times New Roman" w:eastAsia="宋体"/>
          <w:sz w:val="24"/>
          <w:szCs w:val="24"/>
          <w:lang w:eastAsia="zh-CN"/>
        </w:rPr>
      </w:pPr>
      <w:r>
        <w:rPr>
          <w:rFonts w:hint="eastAsia" w:ascii="Times New Roman" w:hAnsi="Times New Roman" w:eastAsia="宋体"/>
          <w:sz w:val="24"/>
          <w:szCs w:val="24"/>
        </w:rPr>
        <w:t>1、</w:t>
      </w:r>
      <w:r>
        <w:rPr>
          <w:rFonts w:hint="eastAsia" w:ascii="Times New Roman" w:hAnsi="Times New Roman" w:eastAsia="宋体"/>
          <w:bCs/>
          <w:sz w:val="24"/>
          <w:szCs w:val="24"/>
        </w:rPr>
        <w:t>供应商须具有独立法人资格，具有有效的三证合一的营业执照（或事业单位法人证书）</w:t>
      </w:r>
      <w:r>
        <w:rPr>
          <w:rFonts w:hint="eastAsia" w:ascii="Times New Roman" w:hAnsi="Times New Roman" w:eastAsia="宋体"/>
          <w:bCs/>
          <w:sz w:val="24"/>
          <w:szCs w:val="24"/>
          <w:lang w:eastAsia="zh-CN"/>
        </w:rPr>
        <w:t>复印件并加盖公章</w:t>
      </w:r>
      <w:r>
        <w:rPr>
          <w:rFonts w:hint="eastAsia" w:ascii="Times New Roman" w:hAnsi="Times New Roman" w:eastAsia="宋体"/>
          <w:sz w:val="24"/>
          <w:szCs w:val="24"/>
          <w:lang w:eastAsia="zh-CN"/>
        </w:rPr>
        <w:t>；</w:t>
      </w:r>
    </w:p>
    <w:p w14:paraId="63547708">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sz w:val="24"/>
          <w:szCs w:val="24"/>
          <w:lang w:eastAsia="zh-CN"/>
        </w:rPr>
      </w:pPr>
      <w:r>
        <w:rPr>
          <w:rFonts w:hint="eastAsia" w:ascii="Times New Roman" w:hAnsi="Times New Roman" w:eastAsia="宋体"/>
          <w:sz w:val="24"/>
          <w:szCs w:val="24"/>
        </w:rPr>
        <w:t>2、法定代表人参加</w:t>
      </w:r>
      <w:r>
        <w:rPr>
          <w:rFonts w:hint="eastAsia" w:ascii="Times New Roman" w:hAnsi="Times New Roman" w:eastAsia="宋体"/>
          <w:sz w:val="24"/>
          <w:szCs w:val="24"/>
          <w:lang w:eastAsia="zh-CN"/>
        </w:rPr>
        <w:t>磋商</w:t>
      </w:r>
      <w:r>
        <w:rPr>
          <w:rFonts w:hint="eastAsia" w:ascii="Times New Roman" w:hAnsi="Times New Roman" w:eastAsia="宋体"/>
          <w:sz w:val="24"/>
          <w:szCs w:val="24"/>
        </w:rPr>
        <w:t>的，必须提供法定代表人身份证明及法定代表人本人身份证两项复印件（须加盖单位公章）；非法定代表人参加</w:t>
      </w:r>
      <w:r>
        <w:rPr>
          <w:rFonts w:hint="eastAsia" w:ascii="Times New Roman" w:hAnsi="Times New Roman" w:eastAsia="宋体"/>
          <w:sz w:val="24"/>
          <w:szCs w:val="24"/>
          <w:lang w:eastAsia="zh-CN"/>
        </w:rPr>
        <w:t>磋商</w:t>
      </w:r>
      <w:r>
        <w:rPr>
          <w:rFonts w:hint="eastAsia" w:ascii="Times New Roman" w:hAnsi="Times New Roman" w:eastAsia="宋体"/>
          <w:sz w:val="24"/>
          <w:szCs w:val="24"/>
        </w:rPr>
        <w:t>的，必须提供法定代表人签字或印章的授权委托书及被授权人本人身份证两项复印件；（须加盖单位公章）</w:t>
      </w:r>
      <w:r>
        <w:rPr>
          <w:rFonts w:hint="eastAsia" w:ascii="Times New Roman" w:hAnsi="Times New Roman" w:eastAsia="宋体"/>
          <w:sz w:val="24"/>
          <w:szCs w:val="24"/>
          <w:lang w:eastAsia="zh-CN"/>
        </w:rPr>
        <w:t>；</w:t>
      </w:r>
    </w:p>
    <w:p w14:paraId="31CC6D80">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sz w:val="24"/>
          <w:szCs w:val="24"/>
        </w:rPr>
        <w:t>3、提供供应商符合《中华人民共和国政府采购法》第二十二条规定条件的声明函。</w:t>
      </w:r>
    </w:p>
    <w:p w14:paraId="3D2AF66D">
      <w:pPr>
        <w:spacing w:line="360" w:lineRule="auto"/>
        <w:ind w:firstLine="480" w:firstLineChars="200"/>
        <w:textAlignment w:val="baseline"/>
        <w:rPr>
          <w:rFonts w:ascii="Times New Roman" w:hAnsi="Times New Roman"/>
          <w:color w:val="auto"/>
          <w:sz w:val="24"/>
          <w:szCs w:val="24"/>
        </w:rPr>
      </w:pPr>
      <w:r>
        <w:rPr>
          <w:rFonts w:hint="eastAsia" w:ascii="Times New Roman" w:hAnsi="Times New Roman"/>
          <w:sz w:val="24"/>
          <w:szCs w:val="24"/>
        </w:rPr>
        <w:t>4、供应商须提供诚信</w:t>
      </w:r>
      <w:r>
        <w:rPr>
          <w:rFonts w:hint="eastAsia" w:ascii="Times New Roman" w:hAnsi="Times New Roman"/>
          <w:color w:val="auto"/>
          <w:sz w:val="24"/>
          <w:szCs w:val="24"/>
        </w:rPr>
        <w:t>承诺书（</w:t>
      </w:r>
      <w:r>
        <w:rPr>
          <w:rFonts w:hint="eastAsia" w:ascii="Times New Roman" w:hAnsi="Times New Roman" w:cs="宋体"/>
          <w:color w:val="auto"/>
          <w:sz w:val="24"/>
          <w:szCs w:val="24"/>
        </w:rPr>
        <w:t>格式参见附件）；</w:t>
      </w:r>
    </w:p>
    <w:p w14:paraId="5D10AC2E">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sz w:val="24"/>
          <w:szCs w:val="24"/>
        </w:rPr>
      </w:pPr>
      <w:r>
        <w:rPr>
          <w:rFonts w:hint="eastAsia" w:ascii="Times New Roman" w:hAnsi="Times New Roman" w:eastAsia="宋体"/>
          <w:color w:val="auto"/>
          <w:sz w:val="24"/>
          <w:szCs w:val="24"/>
          <w:lang w:val="en-US" w:eastAsia="zh-CN"/>
        </w:rPr>
        <w:t>5、</w:t>
      </w:r>
      <w:r>
        <w:rPr>
          <w:rFonts w:hint="eastAsia" w:ascii="Times New Roman" w:hAnsi="Times New Roman" w:eastAsia="宋体"/>
          <w:color w:val="auto"/>
          <w:sz w:val="24"/>
          <w:szCs w:val="24"/>
        </w:rPr>
        <w:t>其它需要提交的资</w:t>
      </w:r>
      <w:r>
        <w:rPr>
          <w:rFonts w:hint="eastAsia" w:ascii="Times New Roman" w:hAnsi="Times New Roman" w:eastAsia="宋体"/>
          <w:sz w:val="24"/>
          <w:szCs w:val="24"/>
        </w:rPr>
        <w:t>格审查证明材料。</w:t>
      </w:r>
    </w:p>
    <w:p w14:paraId="3EC6E51E">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b/>
          <w:sz w:val="24"/>
          <w:szCs w:val="24"/>
          <w:highlight w:val="none"/>
        </w:rPr>
      </w:pPr>
      <w:r>
        <w:rPr>
          <w:rFonts w:hint="eastAsia" w:ascii="Times New Roman" w:hAnsi="Times New Roman" w:eastAsia="宋体"/>
          <w:b/>
          <w:sz w:val="24"/>
          <w:szCs w:val="24"/>
          <w:highlight w:val="none"/>
        </w:rPr>
        <w:t>以上材料如为复印件均需加盖投标单位公章。</w:t>
      </w:r>
    </w:p>
    <w:p w14:paraId="1B659E3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bCs/>
          <w:sz w:val="24"/>
          <w:szCs w:val="24"/>
        </w:rPr>
      </w:pPr>
      <w:r>
        <w:rPr>
          <w:rFonts w:hint="eastAsia" w:ascii="Times New Roman" w:hAnsi="Times New Roman" w:eastAsia="宋体"/>
          <w:b/>
          <w:bCs/>
          <w:sz w:val="24"/>
          <w:szCs w:val="24"/>
          <w:highlight w:val="none"/>
        </w:rPr>
        <w:t>二、技术响</w:t>
      </w:r>
      <w:r>
        <w:rPr>
          <w:rFonts w:hint="eastAsia" w:ascii="Times New Roman" w:hAnsi="Times New Roman" w:eastAsia="宋体"/>
          <w:b/>
          <w:bCs/>
          <w:sz w:val="24"/>
          <w:szCs w:val="24"/>
        </w:rPr>
        <w:t>应文件（单独密封）：</w:t>
      </w:r>
    </w:p>
    <w:p w14:paraId="040FBD7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bCs/>
          <w:sz w:val="24"/>
          <w:szCs w:val="24"/>
        </w:rPr>
        <w:t>1、</w:t>
      </w:r>
      <w:r>
        <w:rPr>
          <w:rFonts w:hint="eastAsia" w:ascii="Times New Roman" w:hAnsi="Times New Roman" w:eastAsia="宋体" w:cs="宋体"/>
          <w:sz w:val="24"/>
          <w:szCs w:val="24"/>
        </w:rPr>
        <w:t>磋商</w:t>
      </w:r>
      <w:r>
        <w:rPr>
          <w:rFonts w:ascii="Times New Roman" w:hAnsi="Times New Roman" w:eastAsia="宋体" w:cs="宋体"/>
          <w:sz w:val="24"/>
          <w:szCs w:val="24"/>
        </w:rPr>
        <w:t>响应函（格式参见第</w:t>
      </w:r>
      <w:r>
        <w:rPr>
          <w:rFonts w:hint="eastAsia" w:ascii="Times New Roman" w:hAnsi="Times New Roman" w:eastAsia="宋体" w:cs="宋体"/>
          <w:sz w:val="24"/>
          <w:szCs w:val="24"/>
          <w:lang w:eastAsia="zh-CN"/>
        </w:rPr>
        <w:t>七</w:t>
      </w:r>
      <w:r>
        <w:rPr>
          <w:rFonts w:ascii="Times New Roman" w:hAnsi="Times New Roman" w:eastAsia="宋体" w:cs="宋体"/>
          <w:sz w:val="24"/>
          <w:szCs w:val="24"/>
        </w:rPr>
        <w:t>章）</w:t>
      </w:r>
    </w:p>
    <w:p w14:paraId="56119F8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bCs/>
          <w:sz w:val="24"/>
          <w:szCs w:val="24"/>
          <w:lang w:val="en-US" w:eastAsia="zh-CN"/>
        </w:rPr>
        <w:t>2、供应商一般情况表</w:t>
      </w:r>
      <w:r>
        <w:rPr>
          <w:rFonts w:ascii="Times New Roman" w:hAnsi="Times New Roman" w:eastAsia="宋体" w:cs="宋体"/>
          <w:sz w:val="24"/>
          <w:szCs w:val="24"/>
        </w:rPr>
        <w:t>（格式参见第</w:t>
      </w:r>
      <w:r>
        <w:rPr>
          <w:rFonts w:hint="eastAsia" w:ascii="Times New Roman" w:hAnsi="Times New Roman" w:eastAsia="宋体" w:cs="宋体"/>
          <w:sz w:val="24"/>
          <w:szCs w:val="24"/>
          <w:lang w:eastAsia="zh-CN"/>
        </w:rPr>
        <w:t>七</w:t>
      </w:r>
      <w:r>
        <w:rPr>
          <w:rFonts w:ascii="Times New Roman" w:hAnsi="Times New Roman" w:eastAsia="宋体" w:cs="宋体"/>
          <w:sz w:val="24"/>
          <w:szCs w:val="24"/>
        </w:rPr>
        <w:t>章）</w:t>
      </w:r>
    </w:p>
    <w:p w14:paraId="4FBAAF27">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lang w:val="en-US" w:eastAsia="zh-CN"/>
        </w:rPr>
      </w:pPr>
      <w:r>
        <w:rPr>
          <w:rFonts w:hint="eastAsia" w:ascii="Times New Roman" w:hAnsi="Times New Roman" w:eastAsia="宋体" w:cs="宋体"/>
          <w:bCs/>
          <w:sz w:val="24"/>
          <w:szCs w:val="24"/>
          <w:lang w:val="en-US" w:eastAsia="zh-CN"/>
        </w:rPr>
        <w:t>3、</w:t>
      </w:r>
      <w:r>
        <w:rPr>
          <w:rFonts w:hint="eastAsia" w:ascii="Times New Roman" w:hAnsi="Times New Roman" w:eastAsia="宋体" w:cs="宋体"/>
          <w:bCs/>
          <w:sz w:val="24"/>
          <w:szCs w:val="24"/>
        </w:rPr>
        <w:t>技术</w:t>
      </w:r>
      <w:r>
        <w:rPr>
          <w:rFonts w:hint="eastAsia" w:ascii="Times New Roman" w:hAnsi="Times New Roman" w:eastAsia="宋体" w:cs="宋体"/>
          <w:bCs/>
          <w:sz w:val="24"/>
          <w:szCs w:val="24"/>
          <w:lang w:eastAsia="zh-CN"/>
        </w:rPr>
        <w:t>商务</w:t>
      </w:r>
      <w:r>
        <w:rPr>
          <w:rFonts w:hint="eastAsia" w:ascii="Times New Roman" w:hAnsi="Times New Roman" w:eastAsia="宋体" w:cs="宋体"/>
          <w:bCs/>
          <w:sz w:val="24"/>
          <w:szCs w:val="24"/>
        </w:rPr>
        <w:t>条款响应正负偏离表（</w:t>
      </w:r>
      <w:r>
        <w:rPr>
          <w:rFonts w:ascii="Times New Roman" w:hAnsi="Times New Roman" w:eastAsia="宋体" w:cs="宋体"/>
          <w:sz w:val="24"/>
          <w:szCs w:val="24"/>
        </w:rPr>
        <w:t>格式参见第</w:t>
      </w:r>
      <w:r>
        <w:rPr>
          <w:rFonts w:hint="eastAsia" w:ascii="Times New Roman" w:hAnsi="Times New Roman" w:eastAsia="宋体" w:cs="宋体"/>
          <w:sz w:val="24"/>
          <w:szCs w:val="24"/>
          <w:lang w:eastAsia="zh-CN"/>
        </w:rPr>
        <w:t>七</w:t>
      </w:r>
      <w:r>
        <w:rPr>
          <w:rFonts w:ascii="Times New Roman" w:hAnsi="Times New Roman" w:eastAsia="宋体" w:cs="宋体"/>
          <w:sz w:val="24"/>
          <w:szCs w:val="24"/>
        </w:rPr>
        <w:t>章</w:t>
      </w:r>
      <w:r>
        <w:rPr>
          <w:rFonts w:hint="eastAsia" w:ascii="Times New Roman" w:hAnsi="Times New Roman" w:eastAsia="宋体" w:cs="宋体"/>
          <w:bCs/>
          <w:sz w:val="24"/>
          <w:szCs w:val="24"/>
        </w:rPr>
        <w:t>）</w:t>
      </w:r>
    </w:p>
    <w:p w14:paraId="0B176A52">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sz w:val="24"/>
          <w:szCs w:val="24"/>
        </w:rPr>
      </w:pPr>
      <w:r>
        <w:rPr>
          <w:rFonts w:hint="eastAsia" w:ascii="Times New Roman" w:hAnsi="Times New Roman" w:eastAsia="宋体" w:cs="宋体"/>
          <w:bCs/>
          <w:sz w:val="24"/>
          <w:szCs w:val="24"/>
          <w:lang w:val="en-US" w:eastAsia="zh-CN"/>
        </w:rPr>
        <w:t>4、</w:t>
      </w:r>
      <w:r>
        <w:rPr>
          <w:rFonts w:hint="eastAsia" w:ascii="Times New Roman" w:hAnsi="Times New Roman" w:eastAsia="宋体" w:cs="宋体"/>
          <w:bCs/>
          <w:sz w:val="24"/>
          <w:szCs w:val="24"/>
        </w:rPr>
        <w:t>磋商文件中评分标准所涉及的事项需提供的所有资料；</w:t>
      </w:r>
    </w:p>
    <w:p w14:paraId="0C5272E4">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sz w:val="24"/>
          <w:szCs w:val="24"/>
        </w:rPr>
      </w:pPr>
      <w:r>
        <w:rPr>
          <w:rFonts w:hint="eastAsia" w:ascii="Times New Roman" w:hAnsi="Times New Roman" w:eastAsia="宋体" w:cs="宋体"/>
          <w:bCs/>
          <w:sz w:val="24"/>
          <w:szCs w:val="24"/>
          <w:lang w:val="en-US" w:eastAsia="zh-CN"/>
        </w:rPr>
        <w:t>5</w:t>
      </w:r>
      <w:r>
        <w:rPr>
          <w:rFonts w:hint="eastAsia" w:ascii="Times New Roman" w:hAnsi="Times New Roman" w:eastAsia="宋体" w:cs="宋体"/>
          <w:bCs/>
          <w:sz w:val="24"/>
          <w:szCs w:val="24"/>
        </w:rPr>
        <w:t>、磋商文件中未涉及的事项，</w:t>
      </w:r>
      <w:r>
        <w:rPr>
          <w:rFonts w:hint="eastAsia" w:ascii="Times New Roman" w:hAnsi="Times New Roman" w:eastAsia="宋体" w:cs="宋体"/>
          <w:bCs/>
          <w:sz w:val="24"/>
          <w:szCs w:val="24"/>
          <w:lang w:eastAsia="zh-CN"/>
        </w:rPr>
        <w:t>响应</w:t>
      </w:r>
      <w:r>
        <w:rPr>
          <w:rFonts w:hint="eastAsia" w:ascii="Times New Roman" w:hAnsi="Times New Roman" w:eastAsia="宋体" w:cs="宋体"/>
          <w:bCs/>
          <w:sz w:val="24"/>
          <w:szCs w:val="24"/>
        </w:rPr>
        <w:t>供应商认为需要提交的其他资料。</w:t>
      </w:r>
    </w:p>
    <w:p w14:paraId="56F9402B">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特别提醒：</w:t>
      </w: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rPr>
        <w:t>资格审查文件</w:t>
      </w: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rPr>
        <w:t>、</w:t>
      </w: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rPr>
        <w:t>技术响应文件</w:t>
      </w:r>
      <w:r>
        <w:rPr>
          <w:rFonts w:hint="eastAsia" w:ascii="Times New Roman" w:hAnsi="Times New Roman" w:eastAsia="宋体" w:cs="宋体"/>
          <w:b/>
          <w:bCs/>
          <w:sz w:val="24"/>
          <w:szCs w:val="24"/>
          <w:lang w:eastAsia="zh-CN"/>
        </w:rPr>
        <w:t>”</w:t>
      </w:r>
      <w:r>
        <w:rPr>
          <w:rFonts w:hint="eastAsia" w:ascii="Times New Roman" w:hAnsi="Times New Roman" w:eastAsia="宋体" w:cs="宋体"/>
          <w:b/>
          <w:bCs/>
          <w:sz w:val="24"/>
          <w:szCs w:val="24"/>
        </w:rPr>
        <w:t>所须提供的材料按磋商文件要求装订，密封，递交。</w:t>
      </w:r>
    </w:p>
    <w:p w14:paraId="4EEF1052">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三、报价响应文件（单独密封）</w:t>
      </w:r>
    </w:p>
    <w:p w14:paraId="3024870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1、磋商响应报价表（格式参见附件）；</w:t>
      </w:r>
    </w:p>
    <w:p w14:paraId="1E90A19A">
      <w:pPr>
        <w:keepNext w:val="0"/>
        <w:keepLines w:val="0"/>
        <w:pageBreakBefore w:val="0"/>
        <w:widowControl w:val="0"/>
        <w:kinsoku/>
        <w:wordWrap/>
        <w:topLinePunct w:val="0"/>
        <w:autoSpaceDE/>
        <w:autoSpaceDN/>
        <w:bidi w:val="0"/>
        <w:spacing w:line="360" w:lineRule="auto"/>
        <w:ind w:firstLine="480" w:firstLineChars="200"/>
        <w:jc w:val="left"/>
        <w:textAlignment w:val="baseline"/>
        <w:rPr>
          <w:rFonts w:hint="eastAsia" w:ascii="Times New Roman" w:hAnsi="Times New Roman" w:eastAsia="宋体" w:cs="宋体"/>
          <w:bCs/>
          <w:sz w:val="24"/>
          <w:szCs w:val="24"/>
          <w:lang w:val="en-US" w:eastAsia="zh-CN"/>
        </w:rPr>
      </w:pPr>
      <w:r>
        <w:rPr>
          <w:rFonts w:hint="eastAsia" w:ascii="Times New Roman" w:hAnsi="Times New Roman" w:eastAsia="宋体" w:cs="宋体"/>
          <w:bCs/>
          <w:sz w:val="24"/>
          <w:szCs w:val="24"/>
          <w:lang w:val="en-US" w:eastAsia="zh-CN"/>
        </w:rPr>
        <w:t>2、磋商响应报价明细表</w:t>
      </w:r>
      <w:r>
        <w:rPr>
          <w:rFonts w:hint="eastAsia" w:ascii="Times New Roman" w:hAnsi="Times New Roman" w:eastAsia="宋体" w:cs="宋体"/>
          <w:sz w:val="24"/>
          <w:szCs w:val="24"/>
        </w:rPr>
        <w:t>（格式参见附件）</w:t>
      </w:r>
      <w:r>
        <w:rPr>
          <w:rFonts w:hint="eastAsia" w:ascii="Times New Roman" w:hAnsi="Times New Roman" w:eastAsia="宋体" w:cs="宋体"/>
          <w:bCs/>
          <w:sz w:val="24"/>
          <w:szCs w:val="24"/>
          <w:lang w:val="en-US" w:eastAsia="zh-CN"/>
        </w:rPr>
        <w:t>；</w:t>
      </w:r>
    </w:p>
    <w:p w14:paraId="0F163ADB">
      <w:pPr>
        <w:keepNext w:val="0"/>
        <w:keepLines w:val="0"/>
        <w:pageBreakBefore w:val="0"/>
        <w:widowControl w:val="0"/>
        <w:kinsoku/>
        <w:wordWrap/>
        <w:topLinePunct w:val="0"/>
        <w:autoSpaceDE/>
        <w:autoSpaceDN/>
        <w:bidi w:val="0"/>
        <w:spacing w:line="360" w:lineRule="auto"/>
        <w:ind w:firstLine="480" w:firstLineChars="200"/>
        <w:jc w:val="left"/>
        <w:textAlignment w:val="baseline"/>
        <w:rPr>
          <w:rFonts w:ascii="Times New Roman" w:hAnsi="Times New Roman" w:eastAsia="宋体"/>
          <w:b/>
          <w:sz w:val="24"/>
          <w:szCs w:val="24"/>
        </w:rPr>
      </w:pPr>
      <w:r>
        <w:rPr>
          <w:rFonts w:hint="eastAsia" w:ascii="Times New Roman" w:hAnsi="Times New Roman" w:eastAsia="宋体" w:cs="宋体"/>
          <w:sz w:val="24"/>
          <w:szCs w:val="24"/>
        </w:rPr>
        <w:br w:type="page"/>
      </w:r>
    </w:p>
    <w:p w14:paraId="4C3EB441">
      <w:pPr>
        <w:keepNext w:val="0"/>
        <w:keepLines w:val="0"/>
        <w:pageBreakBefore w:val="0"/>
        <w:widowControl w:val="0"/>
        <w:kinsoku/>
        <w:wordWrap/>
        <w:topLinePunct w:val="0"/>
        <w:autoSpaceDE/>
        <w:autoSpaceDN/>
        <w:bidi w:val="0"/>
        <w:spacing w:line="360" w:lineRule="auto"/>
        <w:jc w:val="left"/>
        <w:textAlignment w:val="baseline"/>
        <w:rPr>
          <w:rFonts w:ascii="Times New Roman" w:hAnsi="Times New Roman" w:eastAsia="宋体"/>
          <w:b/>
          <w:sz w:val="24"/>
        </w:rPr>
      </w:pPr>
      <w:r>
        <w:rPr>
          <w:rFonts w:hint="eastAsia" w:ascii="Times New Roman" w:hAnsi="Times New Roman" w:eastAsia="宋体"/>
          <w:b/>
          <w:sz w:val="24"/>
          <w:szCs w:val="24"/>
        </w:rPr>
        <w:t>附件:</w:t>
      </w:r>
    </w:p>
    <w:p w14:paraId="732A059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1、法定代表人身份证明</w:t>
      </w:r>
    </w:p>
    <w:p w14:paraId="6AE0EE61">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（法定代表人参加投标，须出示此证明）</w:t>
      </w:r>
    </w:p>
    <w:p w14:paraId="724B7DC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p w14:paraId="1E671B2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14:paraId="7A312EA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我公司法定代表人</w:t>
      </w:r>
      <w:r>
        <w:rPr>
          <w:rFonts w:hint="eastAsia" w:ascii="Times New Roman" w:hAnsi="Times New Roman" w:eastAsia="宋体" w:cs="宋体"/>
          <w:sz w:val="24"/>
          <w:szCs w:val="24"/>
          <w:u w:val="single"/>
        </w:rPr>
        <w:t>　　　</w:t>
      </w:r>
      <w:r>
        <w:rPr>
          <w:rFonts w:hint="eastAsia" w:ascii="Times New Roman" w:hAnsi="Times New Roman" w:eastAsia="宋体" w:cs="宋体"/>
          <w:sz w:val="24"/>
          <w:szCs w:val="24"/>
        </w:rPr>
        <w:t>参加贵单位组织的</w:t>
      </w:r>
      <w:r>
        <w:rPr>
          <w:rFonts w:hint="eastAsia" w:ascii="Times New Roman" w:hAnsi="Times New Roman" w:eastAsia="宋体"/>
          <w:sz w:val="24"/>
          <w:szCs w:val="24"/>
          <w:u w:val="single"/>
          <w:lang w:eastAsia="zh-CN"/>
        </w:rPr>
        <w:t>南通市第三人民医院等保测评服务项目</w:t>
      </w:r>
      <w:r>
        <w:rPr>
          <w:rFonts w:hint="eastAsia" w:ascii="Times New Roman" w:hAnsi="Times New Roman" w:eastAsia="宋体" w:cs="宋体"/>
          <w:sz w:val="24"/>
          <w:szCs w:val="24"/>
        </w:rPr>
        <w:t>（竞争性磋商项目名称）项目的磋商活动，全权代表我公司处理该磋商活动的有关事宜。</w:t>
      </w:r>
    </w:p>
    <w:p w14:paraId="09B35FF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14:paraId="6C411FF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附：法定代表人情况：</w:t>
      </w:r>
    </w:p>
    <w:p w14:paraId="5A9425F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14:paraId="476C152C">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14:paraId="68B46FC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14:paraId="069BEC9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14:paraId="50F6DA97">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14:paraId="1F5CC405">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14:paraId="52938C0C">
      <w:pPr>
        <w:keepNext w:val="0"/>
        <w:keepLines w:val="0"/>
        <w:pageBreakBefore w:val="0"/>
        <w:widowControl w:val="0"/>
        <w:kinsoku/>
        <w:wordWrap/>
        <w:topLinePunct w:val="0"/>
        <w:autoSpaceDE/>
        <w:autoSpaceDN/>
        <w:bidi w:val="0"/>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14:paraId="0D63A70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14:paraId="3526DD7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14:paraId="35F64DD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14:paraId="5DA3EF31">
      <w:pPr>
        <w:keepNext w:val="0"/>
        <w:keepLines w:val="0"/>
        <w:pageBreakBefore w:val="0"/>
        <w:widowControl w:val="0"/>
        <w:kinsoku/>
        <w:wordWrap/>
        <w:topLinePunct w:val="0"/>
        <w:autoSpaceDE/>
        <w:autoSpaceDN/>
        <w:bidi w:val="0"/>
        <w:spacing w:line="360" w:lineRule="auto"/>
        <w:ind w:firstLine="2280" w:firstLineChars="9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14:paraId="28774212">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注:参加磋商活动时法定代表人将身份证原件带至开标现场备查。</w:t>
      </w:r>
    </w:p>
    <w:p w14:paraId="19A2CB54">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14:paraId="20390BC2">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sz w:val="20"/>
        </w:rPr>
      </w:pPr>
      <w:r>
        <w:rPr>
          <w:rFonts w:hint="eastAsia" w:ascii="Times New Roman" w:hAnsi="Times New Roman" w:eastAsia="宋体"/>
          <w:b/>
          <w:sz w:val="24"/>
          <w:szCs w:val="24"/>
        </w:rPr>
        <w:t>2、授权委托书</w:t>
      </w:r>
    </w:p>
    <w:p w14:paraId="4400393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（委托代理人参加投标，须出示此证明）</w:t>
      </w:r>
    </w:p>
    <w:p w14:paraId="7E2D9269">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Cs/>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14:paraId="23E00D13">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兹授权</w:t>
      </w:r>
      <w:r>
        <w:rPr>
          <w:rFonts w:hint="eastAsia" w:ascii="Times New Roman" w:hAnsi="Times New Roman" w:eastAsia="宋体" w:cs="宋体"/>
          <w:sz w:val="24"/>
          <w:szCs w:val="24"/>
          <w:u w:val="single"/>
        </w:rPr>
        <w:t>（</w:t>
      </w:r>
      <w:r>
        <w:rPr>
          <w:rFonts w:hint="eastAsia" w:ascii="Times New Roman" w:hAnsi="Times New Roman" w:eastAsia="宋体" w:cs="宋体"/>
          <w:sz w:val="24"/>
          <w:szCs w:val="24"/>
        </w:rPr>
        <w:t>被授权人的姓名）代表我公司参加</w:t>
      </w:r>
      <w:r>
        <w:rPr>
          <w:rFonts w:hint="eastAsia" w:ascii="Times New Roman" w:hAnsi="Times New Roman" w:eastAsia="宋体"/>
          <w:sz w:val="24"/>
          <w:szCs w:val="24"/>
          <w:u w:val="single"/>
          <w:lang w:eastAsia="zh-CN"/>
        </w:rPr>
        <w:t>南通市第三人民医院等保测评服务项目</w:t>
      </w:r>
      <w:r>
        <w:rPr>
          <w:rFonts w:hint="eastAsia" w:ascii="Times New Roman" w:hAnsi="Times New Roman" w:eastAsia="宋体" w:cs="宋体"/>
          <w:sz w:val="24"/>
          <w:szCs w:val="24"/>
        </w:rPr>
        <w:t>（竞争性磋商项目名称）项目的磋商活动，全权处理一切与该项目磋商有关的事务。其在办理上述事宜过程中所签署的所有文件我公司均予以承认。</w:t>
      </w:r>
    </w:p>
    <w:p w14:paraId="6EC5AE49">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被授权人无转委托权。特此委托。</w:t>
      </w:r>
    </w:p>
    <w:p w14:paraId="4C4264BF">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s="宋体"/>
          <w:sz w:val="24"/>
          <w:szCs w:val="24"/>
        </w:rPr>
      </w:pPr>
    </w:p>
    <w:p w14:paraId="56541755">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14:paraId="7188B0A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附：被授权人情况：</w:t>
      </w:r>
    </w:p>
    <w:p w14:paraId="1ADC34A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u w:val="single"/>
        </w:rPr>
      </w:pPr>
      <w:r>
        <w:rPr>
          <w:rFonts w:hint="eastAsia" w:ascii="Times New Roman" w:hAnsi="Times New Roman" w:eastAsia="宋体" w:cs="宋体"/>
          <w:sz w:val="24"/>
          <w:szCs w:val="24"/>
        </w:rPr>
        <w:t>姓名：性别：年龄：职务：</w:t>
      </w:r>
    </w:p>
    <w:p w14:paraId="1369133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身份证号码：</w:t>
      </w:r>
    </w:p>
    <w:p w14:paraId="58FA5C6A">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手机：传真：</w:t>
      </w:r>
    </w:p>
    <w:p w14:paraId="6368833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 </w:t>
      </w:r>
    </w:p>
    <w:p w14:paraId="1BF1A06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单位名称（公章）法定代表人（签字或盖章）</w:t>
      </w:r>
    </w:p>
    <w:p w14:paraId="1BAFC67B">
      <w:pPr>
        <w:keepNext w:val="0"/>
        <w:keepLines w:val="0"/>
        <w:pageBreakBefore w:val="0"/>
        <w:widowControl w:val="0"/>
        <w:kinsoku/>
        <w:wordWrap/>
        <w:topLinePunct w:val="0"/>
        <w:autoSpaceDE/>
        <w:autoSpaceDN/>
        <w:bidi w:val="0"/>
        <w:spacing w:line="360" w:lineRule="auto"/>
        <w:ind w:firstLine="1200" w:firstLineChars="500"/>
        <w:textAlignment w:val="baseline"/>
        <w:rPr>
          <w:rFonts w:ascii="Times New Roman" w:hAnsi="Times New Roman" w:eastAsia="宋体" w:cs="宋体"/>
          <w:sz w:val="24"/>
          <w:szCs w:val="24"/>
        </w:rPr>
      </w:pPr>
      <w:r>
        <w:rPr>
          <w:rFonts w:hint="eastAsia" w:ascii="Times New Roman" w:hAnsi="Times New Roman" w:eastAsia="宋体" w:cs="宋体"/>
          <w:sz w:val="24"/>
          <w:szCs w:val="24"/>
        </w:rPr>
        <w:t>年月日年月日</w:t>
      </w:r>
    </w:p>
    <w:p w14:paraId="5CAEAFE6">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14:paraId="2B4875B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法定代表人身份证复印件</w:t>
      </w:r>
    </w:p>
    <w:p w14:paraId="134EFE6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p>
    <w:p w14:paraId="699508A2">
      <w:pPr>
        <w:keepNext w:val="0"/>
        <w:keepLines w:val="0"/>
        <w:pageBreakBefore w:val="0"/>
        <w:widowControl w:val="0"/>
        <w:kinsoku/>
        <w:wordWrap/>
        <w:topLinePunct w:val="0"/>
        <w:autoSpaceDE/>
        <w:autoSpaceDN/>
        <w:bidi w:val="0"/>
        <w:spacing w:line="360" w:lineRule="auto"/>
        <w:ind w:firstLine="3960" w:firstLineChars="1650"/>
        <w:textAlignment w:val="baseline"/>
        <w:rPr>
          <w:rFonts w:ascii="Times New Roman" w:hAnsi="Times New Roman" w:eastAsia="宋体" w:cs="宋体"/>
          <w:sz w:val="24"/>
          <w:szCs w:val="24"/>
        </w:rPr>
      </w:pPr>
      <w:r>
        <w:rPr>
          <w:rFonts w:hint="eastAsia" w:ascii="Times New Roman" w:hAnsi="Times New Roman" w:eastAsia="宋体" w:cs="宋体"/>
          <w:sz w:val="24"/>
          <w:szCs w:val="24"/>
        </w:rPr>
        <w:t>（粘贴此处）</w:t>
      </w:r>
    </w:p>
    <w:p w14:paraId="67B3912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cs="宋体"/>
          <w:sz w:val="24"/>
          <w:szCs w:val="24"/>
        </w:rPr>
        <w:t>被授权人身份证复印件</w:t>
      </w:r>
    </w:p>
    <w:p w14:paraId="7BDF9F06">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（粘贴此处）</w:t>
      </w:r>
    </w:p>
    <w:p w14:paraId="3B5C7E52">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sz w:val="24"/>
          <w:szCs w:val="24"/>
        </w:rPr>
      </w:pPr>
      <w:r>
        <w:rPr>
          <w:rFonts w:hint="eastAsia" w:ascii="Times New Roman" w:hAnsi="Times New Roman" w:eastAsia="宋体" w:cs="宋体"/>
          <w:b/>
          <w:bCs/>
          <w:sz w:val="24"/>
          <w:szCs w:val="24"/>
        </w:rPr>
        <w:t>注:参加磋商活动时被授权人将身份证原件带至开标现场备查。</w:t>
      </w:r>
    </w:p>
    <w:p w14:paraId="4499F4A3">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sz w:val="24"/>
          <w:szCs w:val="24"/>
        </w:rPr>
      </w:pPr>
    </w:p>
    <w:p w14:paraId="294A71F8">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14:paraId="28B6A7E0">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3、供应商符合《中华人民共和国政府采购法》第二十二条规定条件的声明函</w:t>
      </w:r>
    </w:p>
    <w:p w14:paraId="4C04BA76">
      <w:pPr>
        <w:keepNext w:val="0"/>
        <w:keepLines w:val="0"/>
        <w:pageBreakBefore w:val="0"/>
        <w:widowControl w:val="0"/>
        <w:kinsoku/>
        <w:wordWrap/>
        <w:topLinePunct w:val="0"/>
        <w:autoSpaceDE/>
        <w:autoSpaceDN/>
        <w:bidi w:val="0"/>
        <w:snapToGrid w:val="0"/>
        <w:spacing w:line="360" w:lineRule="auto"/>
        <w:rPr>
          <w:rFonts w:ascii="Times New Roman" w:hAnsi="Times New Roman" w:eastAsia="宋体" w:cs="Times New Roman"/>
          <w:sz w:val="24"/>
          <w:szCs w:val="21"/>
          <w:u w:val="single"/>
        </w:rPr>
      </w:pPr>
    </w:p>
    <w:p w14:paraId="4ABC32A0">
      <w:pPr>
        <w:keepNext w:val="0"/>
        <w:keepLines w:val="0"/>
        <w:pageBreakBefore w:val="0"/>
        <w:widowControl w:val="0"/>
        <w:kinsoku/>
        <w:wordWrap/>
        <w:topLinePunct w:val="0"/>
        <w:autoSpaceDE/>
        <w:autoSpaceDN/>
        <w:bidi w:val="0"/>
        <w:snapToGrid w:val="0"/>
        <w:spacing w:line="360" w:lineRule="auto"/>
        <w:rPr>
          <w:rFonts w:ascii="Times New Roman" w:hAnsi="Times New Roman" w:eastAsia="宋体" w:cs="Times New Roman"/>
          <w:bCs/>
          <w:sz w:val="24"/>
          <w:szCs w:val="21"/>
        </w:rPr>
      </w:pPr>
      <w:r>
        <w:rPr>
          <w:rFonts w:hint="eastAsia" w:ascii="Times New Roman" w:hAnsi="Times New Roman" w:eastAsia="宋体"/>
          <w:color w:val="000000" w:themeColor="text1"/>
          <w:sz w:val="24"/>
          <w:szCs w:val="24"/>
          <w:u w:val="single"/>
          <w14:textFill>
            <w14:solidFill>
              <w14:schemeClr w14:val="tx1"/>
            </w14:solidFill>
          </w14:textFill>
        </w:rPr>
        <w:t>南通市第三人民医院</w:t>
      </w:r>
      <w:r>
        <w:rPr>
          <w:rFonts w:ascii="Times New Roman" w:hAnsi="Times New Roman" w:eastAsia="宋体" w:cs="Times New Roman"/>
          <w:bCs/>
          <w:sz w:val="24"/>
          <w:szCs w:val="21"/>
        </w:rPr>
        <w:t>：</w:t>
      </w:r>
    </w:p>
    <w:p w14:paraId="10272BC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b/>
          <w:bCs/>
          <w:sz w:val="24"/>
          <w:szCs w:val="21"/>
        </w:rPr>
      </w:pPr>
      <w:r>
        <w:rPr>
          <w:rFonts w:hint="eastAsia" w:ascii="Times New Roman" w:hAnsi="Times New Roman" w:eastAsia="宋体" w:cs="Times New Roman"/>
          <w:bCs/>
          <w:sz w:val="24"/>
          <w:szCs w:val="21"/>
        </w:rPr>
        <w:t>我单位参加</w:t>
      </w:r>
      <w:r>
        <w:rPr>
          <w:rFonts w:hint="eastAsia" w:ascii="Times New Roman" w:hAnsi="Times New Roman" w:eastAsia="宋体" w:cs="Times New Roman"/>
          <w:bCs/>
          <w:sz w:val="24"/>
          <w:szCs w:val="21"/>
          <w:u w:val="single"/>
        </w:rPr>
        <w:t>________________ _</w:t>
      </w:r>
      <w:r>
        <w:rPr>
          <w:rFonts w:hint="eastAsia" w:ascii="Times New Roman" w:hAnsi="Times New Roman" w:eastAsia="宋体" w:cs="Times New Roman"/>
          <w:bCs/>
          <w:sz w:val="24"/>
          <w:szCs w:val="21"/>
        </w:rPr>
        <w:t>（项目名称），</w:t>
      </w:r>
      <w:r>
        <w:rPr>
          <w:rFonts w:hint="eastAsia" w:ascii="Times New Roman" w:hAnsi="Times New Roman" w:eastAsia="宋体" w:cs="Times New Roman"/>
          <w:bCs/>
          <w:sz w:val="24"/>
          <w:szCs w:val="21"/>
          <w:u w:val="single"/>
        </w:rPr>
        <w:t>_______ __________</w:t>
      </w:r>
      <w:r>
        <w:rPr>
          <w:rFonts w:hint="eastAsia" w:ascii="Times New Roman" w:hAnsi="Times New Roman" w:eastAsia="宋体" w:cs="Times New Roman"/>
          <w:bCs/>
          <w:sz w:val="24"/>
          <w:szCs w:val="21"/>
        </w:rPr>
        <w:t>（项目编号）竞争性磋商活动。针对《中华人民共和国政府采购法》第二十二条规定做出如下声明：</w:t>
      </w:r>
    </w:p>
    <w:p w14:paraId="19EA956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bCs/>
          <w:sz w:val="24"/>
          <w:szCs w:val="21"/>
        </w:rPr>
        <w:t>1.我单位具有独立承担民事责任的能力；</w:t>
      </w:r>
    </w:p>
    <w:p w14:paraId="1A78587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2.我单位具有良好的商业信誉和健全的财务会计制度；</w:t>
      </w:r>
    </w:p>
    <w:p w14:paraId="31A8F42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3.我单位具有履行合同所必需的设备和专业技术能力；</w:t>
      </w:r>
    </w:p>
    <w:p w14:paraId="1900871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4.我单位有依法缴纳税收和社会保障资金的良好记录；</w:t>
      </w:r>
    </w:p>
    <w:p w14:paraId="0FCD552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sz w:val="24"/>
          <w:szCs w:val="21"/>
        </w:rPr>
      </w:pPr>
      <w:r>
        <w:rPr>
          <w:rFonts w:hint="eastAsia" w:ascii="Times New Roman" w:hAnsi="Times New Roman" w:eastAsia="宋体" w:cs="Times New Roman"/>
          <w:sz w:val="24"/>
          <w:szCs w:val="21"/>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较大数额罚款</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认定为200万元以上的罚款，法律、行政法规以及国务院有关部门明确规定相关领域</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较大数额罚款</w:t>
      </w:r>
      <w:r>
        <w:rPr>
          <w:rFonts w:hint="eastAsia" w:ascii="Times New Roman" w:hAnsi="Times New Roman" w:eastAsia="宋体" w:cs="Times New Roman"/>
          <w:sz w:val="24"/>
          <w:szCs w:val="21"/>
          <w:lang w:eastAsia="zh-CN"/>
        </w:rPr>
        <w:t>”</w:t>
      </w:r>
      <w:r>
        <w:rPr>
          <w:rFonts w:hint="eastAsia" w:ascii="Times New Roman" w:hAnsi="Times New Roman" w:eastAsia="宋体" w:cs="Times New Roman"/>
          <w:sz w:val="24"/>
          <w:szCs w:val="21"/>
        </w:rPr>
        <w:t>标准高于200万元的，从其规定。）</w:t>
      </w:r>
    </w:p>
    <w:p w14:paraId="768A4146">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bCs/>
          <w:color w:val="000000"/>
          <w:sz w:val="24"/>
          <w:szCs w:val="21"/>
        </w:rPr>
      </w:pPr>
      <w:r>
        <w:rPr>
          <w:rFonts w:hint="eastAsia" w:ascii="Times New Roman" w:hAnsi="Times New Roman" w:eastAsia="宋体" w:cs="Times New Roman"/>
          <w:sz w:val="24"/>
          <w:szCs w:val="21"/>
        </w:rPr>
        <w:t>6.我单位满足法律、行政法规规定的其他条件。</w:t>
      </w:r>
    </w:p>
    <w:p w14:paraId="3E31EBA1">
      <w:pPr>
        <w:keepNext w:val="0"/>
        <w:keepLines w:val="0"/>
        <w:pageBreakBefore w:val="0"/>
        <w:widowControl w:val="0"/>
        <w:kinsoku/>
        <w:wordWrap/>
        <w:topLinePunct w:val="0"/>
        <w:autoSpaceDE/>
        <w:autoSpaceDN/>
        <w:bidi w:val="0"/>
        <w:spacing w:line="360" w:lineRule="auto"/>
        <w:rPr>
          <w:rFonts w:ascii="Times New Roman" w:hAnsi="Times New Roman" w:eastAsia="宋体" w:cs="Times New Roman"/>
          <w:sz w:val="28"/>
          <w:szCs w:val="20"/>
        </w:rPr>
      </w:pPr>
    </w:p>
    <w:p w14:paraId="13453513">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p>
    <w:p w14:paraId="06041CA0">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供应商：（加盖公章）</w:t>
      </w:r>
    </w:p>
    <w:p w14:paraId="71726D70">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法定代表人或被授权人：（签字或盖章）</w:t>
      </w:r>
    </w:p>
    <w:p w14:paraId="58A40EDC">
      <w:pPr>
        <w:keepNext w:val="0"/>
        <w:keepLines w:val="0"/>
        <w:pageBreakBefore w:val="0"/>
        <w:widowControl w:val="0"/>
        <w:kinsoku/>
        <w:wordWrap/>
        <w:topLinePunct w:val="0"/>
        <w:autoSpaceDE/>
        <w:autoSpaceDN/>
        <w:bidi w:val="0"/>
        <w:spacing w:line="360" w:lineRule="auto"/>
        <w:ind w:firstLine="1320" w:firstLineChars="550"/>
        <w:jc w:val="right"/>
        <w:rPr>
          <w:rFonts w:ascii="Times New Roman" w:hAnsi="Times New Roman" w:eastAsia="宋体" w:cs="宋体"/>
          <w:sz w:val="24"/>
          <w:szCs w:val="24"/>
        </w:rPr>
      </w:pPr>
      <w:r>
        <w:rPr>
          <w:rFonts w:hint="eastAsia" w:ascii="Times New Roman" w:hAnsi="Times New Roman" w:eastAsia="宋体" w:cs="宋体"/>
          <w:sz w:val="24"/>
          <w:szCs w:val="24"/>
        </w:rPr>
        <w:t>年      月     日</w:t>
      </w:r>
    </w:p>
    <w:p w14:paraId="7B970FE0">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14:paraId="1DC4C2D6">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Times New Roman"/>
          <w:b/>
          <w:sz w:val="24"/>
          <w:szCs w:val="24"/>
        </w:rPr>
      </w:pPr>
      <w:r>
        <w:rPr>
          <w:rFonts w:hint="eastAsia" w:ascii="Times New Roman" w:hAnsi="Times New Roman" w:eastAsia="宋体"/>
          <w:b/>
          <w:sz w:val="24"/>
          <w:szCs w:val="24"/>
        </w:rPr>
        <w:t>4、</w:t>
      </w:r>
      <w:r>
        <w:rPr>
          <w:rFonts w:hint="eastAsia" w:ascii="Times New Roman" w:hAnsi="Times New Roman" w:eastAsia="宋体" w:cs="Times New Roman"/>
          <w:b/>
          <w:sz w:val="24"/>
          <w:szCs w:val="24"/>
        </w:rPr>
        <w:t>诚信承诺书</w:t>
      </w:r>
    </w:p>
    <w:p w14:paraId="4C039A2A">
      <w:pPr>
        <w:keepNext w:val="0"/>
        <w:keepLines w:val="0"/>
        <w:pageBreakBefore w:val="0"/>
        <w:widowControl w:val="0"/>
        <w:kinsoku/>
        <w:wordWrap/>
        <w:topLinePunct w:val="0"/>
        <w:autoSpaceDE/>
        <w:autoSpaceDN/>
        <w:bidi w:val="0"/>
        <w:spacing w:line="360" w:lineRule="auto"/>
        <w:rPr>
          <w:rFonts w:ascii="Times New Roman" w:hAnsi="Times New Roman" w:eastAsia="宋体" w:cs="Times New Roman"/>
          <w:sz w:val="28"/>
          <w:szCs w:val="28"/>
          <w:u w:val="single"/>
        </w:rPr>
      </w:pPr>
      <w:r>
        <w:rPr>
          <w:rFonts w:ascii="Times New Roman" w:hAnsi="Times New Roman" w:eastAsia="宋体" w:cs="仿宋_GB2312"/>
          <w:sz w:val="24"/>
          <w:szCs w:val="24"/>
          <w:u w:val="single"/>
        </w:rPr>
        <w:softHyphen/>
      </w:r>
      <w:r>
        <w:rPr>
          <w:rFonts w:hint="eastAsia" w:ascii="Times New Roman" w:hAnsi="Times New Roman" w:eastAsia="宋体" w:cs="仿宋_GB2312"/>
          <w:sz w:val="24"/>
          <w:szCs w:val="24"/>
          <w:u w:val="single"/>
        </w:rPr>
        <w:t>______</w:t>
      </w:r>
      <w:r>
        <w:rPr>
          <w:rFonts w:hint="eastAsia" w:ascii="Times New Roman" w:hAnsi="Times New Roman" w:eastAsia="宋体" w:cs="宋体"/>
          <w:sz w:val="24"/>
          <w:szCs w:val="24"/>
          <w:u w:val="single"/>
        </w:rPr>
        <w:t>：</w:t>
      </w:r>
    </w:p>
    <w:p w14:paraId="6D322D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sz w:val="24"/>
          <w:szCs w:val="24"/>
        </w:rPr>
      </w:pPr>
      <w:r>
        <w:rPr>
          <w:rFonts w:hint="eastAsia" w:ascii="Times New Roman" w:hAnsi="Times New Roman" w:eastAsia="宋体" w:cs="宋体"/>
          <w:sz w:val="24"/>
          <w:szCs w:val="24"/>
        </w:rPr>
        <w:t>我单位在参加贵单位组织的</w:t>
      </w:r>
      <w:r>
        <w:rPr>
          <w:rFonts w:hint="eastAsia" w:ascii="Times New Roman" w:hAnsi="Times New Roman" w:eastAsia="宋体" w:cs="宋体"/>
          <w:sz w:val="24"/>
          <w:szCs w:val="24"/>
          <w:u w:val="single"/>
        </w:rPr>
        <w:t xml:space="preserve">     项目</w:t>
      </w:r>
      <w:r>
        <w:rPr>
          <w:rFonts w:hint="eastAsia" w:ascii="Times New Roman" w:hAnsi="Times New Roman" w:eastAsia="宋体" w:cs="宋体"/>
          <w:sz w:val="24"/>
          <w:szCs w:val="24"/>
        </w:rPr>
        <w:t>的招投标活动中，郑重承诺如下：</w:t>
      </w:r>
    </w:p>
    <w:p w14:paraId="4FC44F01">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1、我方申报的所有资料都是真实、准确、完整的；</w:t>
      </w:r>
    </w:p>
    <w:p w14:paraId="1E8C5343">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2、我方无资质挂靠或参与串标、围标、及抬标情形；</w:t>
      </w:r>
    </w:p>
    <w:p w14:paraId="58D22709">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3、我方没有被各级行政主管部门做出停止市场行为的处罚；</w:t>
      </w:r>
    </w:p>
    <w:p w14:paraId="445D7093">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4、若我方中标，将严格按照规定及时与招标单位签订合同；</w:t>
      </w:r>
    </w:p>
    <w:p w14:paraId="5D33C2DC">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5、若我方中标，将严格按照投标文件所承诺的报价、质量、供货期等内容组织实施；</w:t>
      </w:r>
    </w:p>
    <w:p w14:paraId="40DBAAF4">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若我方违反上述承诺，隐瞒、提供虚假资料或不按投标文件要求组织实施，被贵方发现或被他人举报查实，无条件接受有关行政监督部门做出的取消投标资格、中标资格、没收</w:t>
      </w:r>
      <w:r>
        <w:rPr>
          <w:rFonts w:hint="eastAsia" w:ascii="Times New Roman" w:hAnsi="Times New Roman" w:eastAsia="宋体" w:cs="宋体"/>
          <w:sz w:val="24"/>
          <w:szCs w:val="24"/>
          <w:lang w:eastAsia="zh-CN"/>
        </w:rPr>
        <w:t>磋商</w:t>
      </w:r>
      <w:r>
        <w:rPr>
          <w:rFonts w:hint="eastAsia" w:ascii="Times New Roman" w:hAnsi="Times New Roman" w:eastAsia="宋体" w:cs="宋体"/>
          <w:sz w:val="24"/>
          <w:szCs w:val="24"/>
        </w:rPr>
        <w:t>保证金、不良行为记录、限制其一定期限内投标资格等处罚。对造成的损失，任何法律和经济责任完全由我方负责。</w:t>
      </w:r>
    </w:p>
    <w:p w14:paraId="10CA0CFA">
      <w:pPr>
        <w:keepNext w:val="0"/>
        <w:keepLines w:val="0"/>
        <w:pageBreakBefore w:val="0"/>
        <w:widowControl w:val="0"/>
        <w:kinsoku/>
        <w:wordWrap/>
        <w:topLinePunct w:val="0"/>
        <w:autoSpaceDE/>
        <w:autoSpaceDN/>
        <w:bidi w:val="0"/>
        <w:spacing w:line="360" w:lineRule="auto"/>
        <w:ind w:firstLine="560" w:firstLineChars="200"/>
        <w:rPr>
          <w:rFonts w:ascii="Times New Roman" w:hAnsi="Times New Roman" w:eastAsia="宋体" w:cs="宋体"/>
          <w:bCs/>
          <w:sz w:val="28"/>
          <w:szCs w:val="28"/>
        </w:rPr>
      </w:pPr>
    </w:p>
    <w:p w14:paraId="0E306E57">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lang w:eastAsia="zh-CN"/>
        </w:rPr>
        <w:t>响应</w:t>
      </w:r>
      <w:r>
        <w:rPr>
          <w:rFonts w:hint="eastAsia" w:ascii="Times New Roman" w:hAnsi="Times New Roman" w:eastAsia="宋体" w:cs="宋体"/>
          <w:sz w:val="24"/>
          <w:szCs w:val="24"/>
        </w:rPr>
        <w:t>供应商：（加盖公章）</w:t>
      </w:r>
    </w:p>
    <w:p w14:paraId="1C2E8793">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sz w:val="24"/>
          <w:szCs w:val="24"/>
        </w:rPr>
      </w:pPr>
      <w:r>
        <w:rPr>
          <w:rFonts w:hint="eastAsia" w:ascii="Times New Roman" w:hAnsi="Times New Roman" w:eastAsia="宋体" w:cs="宋体"/>
          <w:sz w:val="24"/>
          <w:szCs w:val="24"/>
        </w:rPr>
        <w:t>法定代表人或被授权人：（签字或盖章）</w:t>
      </w:r>
    </w:p>
    <w:p w14:paraId="06093B84">
      <w:pPr>
        <w:keepNext w:val="0"/>
        <w:keepLines w:val="0"/>
        <w:pageBreakBefore w:val="0"/>
        <w:widowControl w:val="0"/>
        <w:kinsoku/>
        <w:wordWrap/>
        <w:topLinePunct w:val="0"/>
        <w:autoSpaceDE/>
        <w:autoSpaceDN/>
        <w:bidi w:val="0"/>
        <w:spacing w:line="360" w:lineRule="auto"/>
        <w:ind w:firstLine="1320" w:firstLineChars="550"/>
        <w:jc w:val="right"/>
        <w:rPr>
          <w:rFonts w:hint="eastAsia" w:ascii="Times New Roman" w:hAnsi="Times New Roman" w:eastAsia="宋体" w:cs="宋体"/>
          <w:sz w:val="24"/>
          <w:szCs w:val="24"/>
        </w:rPr>
      </w:pPr>
      <w:r>
        <w:rPr>
          <w:rFonts w:hint="eastAsia" w:ascii="Times New Roman" w:hAnsi="Times New Roman" w:eastAsia="宋体" w:cs="宋体"/>
          <w:sz w:val="24"/>
          <w:szCs w:val="24"/>
        </w:rPr>
        <w:t>年      月     日</w:t>
      </w:r>
    </w:p>
    <w:p w14:paraId="3ED19012">
      <w:pPr>
        <w:rPr>
          <w:rFonts w:hint="eastAsia" w:ascii="Times New Roman" w:hAnsi="Times New Roman" w:eastAsia="宋体"/>
        </w:rPr>
      </w:pPr>
      <w:r>
        <w:rPr>
          <w:rFonts w:hint="eastAsia" w:ascii="Times New Roman" w:hAnsi="Times New Roman" w:eastAsia="宋体" w:cs="宋体"/>
          <w:sz w:val="24"/>
          <w:szCs w:val="24"/>
        </w:rPr>
        <w:br w:type="page"/>
      </w:r>
    </w:p>
    <w:p w14:paraId="49A9F47F">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宋体"/>
          <w:b/>
          <w:bCs/>
          <w:sz w:val="24"/>
          <w:szCs w:val="24"/>
        </w:rPr>
      </w:pPr>
      <w:r>
        <w:rPr>
          <w:rFonts w:hint="eastAsia" w:ascii="Times New Roman" w:hAnsi="Times New Roman" w:eastAsia="宋体" w:cs="宋体"/>
          <w:b/>
          <w:bCs/>
          <w:sz w:val="24"/>
          <w:szCs w:val="24"/>
          <w:lang w:val="en-US" w:eastAsia="zh-CN"/>
        </w:rPr>
        <w:t>5</w:t>
      </w:r>
      <w:r>
        <w:rPr>
          <w:rFonts w:hint="eastAsia" w:ascii="Times New Roman" w:hAnsi="Times New Roman" w:eastAsia="宋体" w:cs="宋体"/>
          <w:b/>
          <w:bCs/>
          <w:sz w:val="24"/>
          <w:szCs w:val="24"/>
        </w:rPr>
        <w:t>、竞争性磋商响应函</w:t>
      </w:r>
    </w:p>
    <w:p w14:paraId="41CFE15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sz w:val="24"/>
          <w:szCs w:val="24"/>
        </w:rPr>
      </w:pPr>
      <w:r>
        <w:rPr>
          <w:rFonts w:hint="eastAsia" w:ascii="Times New Roman" w:hAnsi="Times New Roman" w:eastAsia="宋体"/>
          <w:sz w:val="24"/>
          <w:szCs w:val="24"/>
          <w:u w:val="single"/>
        </w:rPr>
        <w:t>南通市第三人民医院</w:t>
      </w:r>
      <w:r>
        <w:rPr>
          <w:rFonts w:hint="eastAsia" w:ascii="Times New Roman" w:hAnsi="Times New Roman" w:eastAsia="宋体" w:cs="宋体"/>
          <w:sz w:val="24"/>
          <w:szCs w:val="24"/>
        </w:rPr>
        <w:t>：</w:t>
      </w:r>
    </w:p>
    <w:p w14:paraId="64E039D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依据贵单位委托代理机构组织的（磋商项目名称)项目竞争性磋商的邀请，我方授权</w:t>
      </w:r>
      <w:r>
        <w:rPr>
          <w:rFonts w:hint="eastAsia" w:ascii="Times New Roman" w:hAnsi="Times New Roman" w:eastAsia="宋体"/>
          <w:sz w:val="24"/>
          <w:szCs w:val="24"/>
          <w:u w:val="single"/>
        </w:rPr>
        <w:t>（姓名）（职务）为</w:t>
      </w:r>
      <w:r>
        <w:rPr>
          <w:rFonts w:hint="eastAsia" w:ascii="Times New Roman" w:hAnsi="Times New Roman" w:eastAsia="宋体"/>
          <w:sz w:val="24"/>
          <w:szCs w:val="24"/>
        </w:rPr>
        <w:t>全权代表参加该项目的磋商工作，全权处理本次竞争性磋商的有关事宜。同时，我公司声明如下：</w:t>
      </w:r>
    </w:p>
    <w:p w14:paraId="51FBA21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1、同意并接受竞争性磋商文件的各项要求，遵守竞争性磋商文件中的各项规定，按竞争性磋商文件的要求提供报价。</w:t>
      </w:r>
    </w:p>
    <w:p w14:paraId="6C6A61C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14:paraId="1F3D4B6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3、我公司已毫无保留地向贵方提供一切所需的证明材料。</w:t>
      </w:r>
    </w:p>
    <w:p w14:paraId="1CD14FA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sz w:val="24"/>
          <w:szCs w:val="24"/>
        </w:rPr>
        <w:t>4、我公司承诺在本次磋商响应中提供的一切文件，无论是原件还是复印件均真实有效，绝无任何虚假、伪造和夸大的成份。否则，愿承担相应的后果和法律责任。</w:t>
      </w:r>
    </w:p>
    <w:p w14:paraId="67F4F44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b/>
          <w:sz w:val="24"/>
          <w:szCs w:val="24"/>
        </w:rPr>
      </w:pPr>
      <w:r>
        <w:rPr>
          <w:rFonts w:hint="eastAsia" w:ascii="Times New Roman" w:hAnsi="Times New Roman" w:eastAsia="宋体"/>
          <w:sz w:val="24"/>
          <w:szCs w:val="24"/>
        </w:rPr>
        <w:t>5、</w:t>
      </w:r>
      <w:r>
        <w:rPr>
          <w:rFonts w:hint="eastAsia" w:ascii="Times New Roman" w:hAnsi="Times New Roman" w:eastAsia="宋体"/>
          <w:b/>
          <w:sz w:val="24"/>
          <w:szCs w:val="24"/>
        </w:rPr>
        <w:t>我公司尊重磋商小组所作的评定结果，同时清楚理解到报价最低并非意味着必定获得成交资格。</w:t>
      </w:r>
    </w:p>
    <w:p w14:paraId="58857AF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6</w:t>
      </w:r>
      <w:r>
        <w:rPr>
          <w:rFonts w:hint="eastAsia" w:ascii="Times New Roman" w:hAnsi="Times New Roman" w:eastAsia="宋体"/>
          <w:sz w:val="24"/>
          <w:szCs w:val="24"/>
        </w:rPr>
        <w:t>、一旦成交，我方承诺无正当理由拒绝签订合同，将被贵方取消成交资格，同意贵方将磋商保证金作为违约金全额不予退还的处理。</w:t>
      </w:r>
    </w:p>
    <w:p w14:paraId="308FC1E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ascii="Times New Roman" w:hAnsi="Times New Roman" w:eastAsia="宋体"/>
          <w:sz w:val="24"/>
          <w:szCs w:val="24"/>
        </w:rPr>
        <w:t>7</w:t>
      </w:r>
      <w:r>
        <w:rPr>
          <w:rFonts w:hint="eastAsia" w:ascii="Times New Roman" w:hAnsi="Times New Roman" w:eastAsia="宋体"/>
          <w:sz w:val="24"/>
          <w:szCs w:val="24"/>
        </w:rPr>
        <w:t>、</w:t>
      </w:r>
      <w:r>
        <w:rPr>
          <w:rFonts w:hint="eastAsia" w:ascii="Times New Roman" w:hAnsi="Times New Roman" w:eastAsia="宋体"/>
          <w:b/>
          <w:sz w:val="24"/>
          <w:szCs w:val="24"/>
        </w:rPr>
        <w:t>一旦成交，我方将根据竞争性磋商文件的规定，严格履行合同规定的责任和义务，并保证在竞争性磋商文件中规定的时间期限内完成合同项目。</w:t>
      </w:r>
    </w:p>
    <w:p w14:paraId="5EEBBD7C">
      <w:pPr>
        <w:keepNext w:val="0"/>
        <w:keepLines w:val="0"/>
        <w:pageBreakBefore w:val="0"/>
        <w:widowControl w:val="0"/>
        <w:kinsoku/>
        <w:wordWrap/>
        <w:topLinePunct w:val="0"/>
        <w:autoSpaceDE/>
        <w:autoSpaceDN/>
        <w:bidi w:val="0"/>
        <w:spacing w:line="360" w:lineRule="auto"/>
        <w:ind w:firstLine="2760" w:firstLineChars="1150"/>
        <w:textAlignment w:val="baseline"/>
        <w:rPr>
          <w:rFonts w:ascii="Times New Roman" w:hAnsi="Times New Roman" w:eastAsia="宋体"/>
          <w:sz w:val="24"/>
          <w:szCs w:val="24"/>
        </w:rPr>
      </w:pPr>
    </w:p>
    <w:p w14:paraId="2D5797B5">
      <w:pPr>
        <w:keepNext w:val="0"/>
        <w:keepLines w:val="0"/>
        <w:pageBreakBefore w:val="0"/>
        <w:widowControl w:val="0"/>
        <w:kinsoku/>
        <w:wordWrap/>
        <w:topLinePunct w:val="0"/>
        <w:autoSpaceDE/>
        <w:autoSpaceDN/>
        <w:bidi w:val="0"/>
        <w:spacing w:line="360" w:lineRule="auto"/>
        <w:ind w:firstLine="2760" w:firstLineChars="115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14:paraId="5F1E5940">
      <w:pPr>
        <w:keepNext w:val="0"/>
        <w:keepLines w:val="0"/>
        <w:pageBreakBefore w:val="0"/>
        <w:widowControl w:val="0"/>
        <w:kinsoku/>
        <w:wordWrap/>
        <w:topLinePunct w:val="0"/>
        <w:autoSpaceDE/>
        <w:autoSpaceDN/>
        <w:bidi w:val="0"/>
        <w:spacing w:line="360" w:lineRule="auto"/>
        <w:ind w:firstLine="3600" w:firstLineChars="150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14:paraId="080E7D08">
      <w:pPr>
        <w:keepNext w:val="0"/>
        <w:keepLines w:val="0"/>
        <w:pageBreakBefore w:val="0"/>
        <w:widowControl w:val="0"/>
        <w:kinsoku/>
        <w:wordWrap/>
        <w:topLinePunct w:val="0"/>
        <w:autoSpaceDE/>
        <w:autoSpaceDN/>
        <w:bidi w:val="0"/>
        <w:spacing w:line="360" w:lineRule="auto"/>
        <w:ind w:firstLine="6840" w:firstLineChars="2850"/>
        <w:textAlignment w:val="baseline"/>
        <w:rPr>
          <w:rFonts w:ascii="Times New Roman" w:hAnsi="Times New Roman" w:eastAsia="宋体"/>
          <w:sz w:val="24"/>
          <w:szCs w:val="24"/>
        </w:rPr>
      </w:pPr>
      <w:r>
        <w:rPr>
          <w:rFonts w:hint="eastAsia" w:ascii="Times New Roman" w:hAnsi="Times New Roman" w:eastAsia="宋体"/>
          <w:sz w:val="24"/>
          <w:szCs w:val="24"/>
        </w:rPr>
        <w:t>年月日</w:t>
      </w:r>
    </w:p>
    <w:p w14:paraId="29FDDB08">
      <w:pPr>
        <w:rPr>
          <w:rFonts w:hint="eastAsia" w:ascii="Times New Roman" w:hAnsi="Times New Roman" w:eastAsia="宋体"/>
          <w:b/>
          <w:sz w:val="24"/>
          <w:szCs w:val="24"/>
          <w:lang w:val="en-US" w:eastAsia="zh-CN"/>
        </w:rPr>
      </w:pPr>
    </w:p>
    <w:p w14:paraId="0B0F1166">
      <w:pPr>
        <w:rPr>
          <w:rFonts w:hint="eastAsia" w:ascii="Times New Roman" w:hAnsi="Times New Roman" w:eastAsia="宋体"/>
          <w:b/>
          <w:sz w:val="24"/>
          <w:szCs w:val="24"/>
          <w:lang w:val="en-US" w:eastAsia="zh-CN"/>
        </w:rPr>
      </w:pPr>
      <w:r>
        <w:rPr>
          <w:rFonts w:hint="eastAsia" w:ascii="Times New Roman" w:hAnsi="Times New Roman" w:eastAsia="宋体"/>
          <w:b/>
          <w:sz w:val="24"/>
          <w:szCs w:val="24"/>
          <w:lang w:val="en-US" w:eastAsia="zh-CN"/>
        </w:rPr>
        <w:br w:type="page"/>
      </w:r>
    </w:p>
    <w:p w14:paraId="5EFC8A36">
      <w:pPr>
        <w:jc w:val="center"/>
        <w:rPr>
          <w:rFonts w:ascii="Times New Roman" w:hAnsi="Times New Roman" w:cs="宋体"/>
          <w:b/>
          <w:sz w:val="24"/>
          <w:szCs w:val="24"/>
        </w:rPr>
      </w:pPr>
      <w:r>
        <w:rPr>
          <w:rFonts w:hint="eastAsia" w:ascii="Times New Roman" w:hAnsi="Times New Roman"/>
          <w:b/>
          <w:sz w:val="24"/>
          <w:szCs w:val="24"/>
          <w:lang w:val="en-US" w:eastAsia="zh-CN"/>
        </w:rPr>
        <w:t>6</w:t>
      </w:r>
      <w:r>
        <w:rPr>
          <w:rFonts w:hint="eastAsia" w:ascii="Times New Roman" w:hAnsi="Times New Roman"/>
          <w:b/>
          <w:sz w:val="24"/>
          <w:szCs w:val="24"/>
        </w:rPr>
        <w:t>、</w:t>
      </w:r>
      <w:r>
        <w:rPr>
          <w:rFonts w:ascii="Times New Roman" w:hAnsi="Times New Roman"/>
          <w:b/>
          <w:bCs/>
          <w:sz w:val="24"/>
          <w:szCs w:val="24"/>
        </w:rPr>
        <w:t>供应商一般情况表</w:t>
      </w:r>
    </w:p>
    <w:tbl>
      <w:tblPr>
        <w:tblStyle w:val="24"/>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040A215F">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997F416">
            <w:pPr>
              <w:spacing w:line="360" w:lineRule="auto"/>
              <w:jc w:val="center"/>
              <w:rPr>
                <w:rFonts w:ascii="Times New Roman" w:hAnsi="Times New Roman" w:cs="宋体"/>
                <w:sz w:val="24"/>
                <w:szCs w:val="24"/>
              </w:rPr>
            </w:pPr>
            <w:r>
              <w:rPr>
                <w:rFonts w:hint="eastAsia" w:ascii="Times New Roman" w:hAnsi="Times New Roman" w:cs="宋体"/>
                <w:sz w:val="24"/>
                <w:szCs w:val="24"/>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14:paraId="4A6F1267">
            <w:pPr>
              <w:spacing w:line="360" w:lineRule="auto"/>
              <w:rPr>
                <w:rFonts w:ascii="Times New Roman" w:hAnsi="Times New Roman" w:cs="宋体"/>
                <w:sz w:val="24"/>
                <w:szCs w:val="24"/>
              </w:rPr>
            </w:pPr>
          </w:p>
        </w:tc>
      </w:tr>
      <w:tr w14:paraId="2D06D9D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8DB13B8">
            <w:pPr>
              <w:spacing w:line="360" w:lineRule="auto"/>
              <w:jc w:val="center"/>
              <w:rPr>
                <w:rFonts w:ascii="Times New Roman" w:hAnsi="Times New Roman" w:cs="宋体"/>
                <w:sz w:val="24"/>
                <w:szCs w:val="24"/>
              </w:rPr>
            </w:pPr>
            <w:r>
              <w:rPr>
                <w:rFonts w:hint="eastAsia" w:ascii="Times New Roman" w:hAnsi="Times New Roman" w:cs="宋体"/>
                <w:sz w:val="24"/>
                <w:szCs w:val="24"/>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14:paraId="03F87BB1">
            <w:pPr>
              <w:spacing w:line="360" w:lineRule="auto"/>
              <w:rPr>
                <w:rFonts w:ascii="Times New Roman" w:hAnsi="Times New Roman" w:cs="宋体"/>
                <w:sz w:val="24"/>
                <w:szCs w:val="24"/>
              </w:rPr>
            </w:pPr>
          </w:p>
        </w:tc>
      </w:tr>
      <w:tr w14:paraId="1741608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B88F46C">
            <w:pPr>
              <w:spacing w:line="360" w:lineRule="auto"/>
              <w:jc w:val="center"/>
              <w:rPr>
                <w:rFonts w:ascii="Times New Roman" w:hAnsi="Times New Roman" w:cs="宋体"/>
                <w:sz w:val="24"/>
                <w:szCs w:val="24"/>
              </w:rPr>
            </w:pPr>
            <w:r>
              <w:rPr>
                <w:rFonts w:hint="eastAsia" w:ascii="Times New Roman" w:hAnsi="Times New Roman" w:cs="宋体"/>
                <w:sz w:val="24"/>
                <w:szCs w:val="24"/>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14:paraId="7463C496">
            <w:pPr>
              <w:spacing w:line="360" w:lineRule="auto"/>
              <w:rPr>
                <w:rFonts w:ascii="Times New Roman" w:hAnsi="Times New Roman" w:cs="宋体"/>
                <w:sz w:val="24"/>
                <w:szCs w:val="24"/>
              </w:rPr>
            </w:pPr>
          </w:p>
        </w:tc>
      </w:tr>
      <w:tr w14:paraId="27DF4E7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30A736D">
            <w:pPr>
              <w:spacing w:line="360" w:lineRule="auto"/>
              <w:jc w:val="center"/>
              <w:rPr>
                <w:rFonts w:ascii="Times New Roman" w:hAnsi="Times New Roman" w:cs="宋体"/>
                <w:sz w:val="24"/>
                <w:szCs w:val="24"/>
              </w:rPr>
            </w:pPr>
            <w:r>
              <w:rPr>
                <w:rFonts w:hint="eastAsia" w:ascii="Times New Roman" w:hAnsi="Times New Roman" w:cs="宋体"/>
                <w:sz w:val="24"/>
                <w:szCs w:val="24"/>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14:paraId="6CEE8DE6">
            <w:pPr>
              <w:spacing w:line="360" w:lineRule="auto"/>
              <w:rPr>
                <w:rFonts w:ascii="Times New Roman" w:hAnsi="Times New Roman" w:cs="宋体"/>
                <w:sz w:val="24"/>
                <w:szCs w:val="24"/>
              </w:rPr>
            </w:pPr>
          </w:p>
        </w:tc>
      </w:tr>
      <w:tr w14:paraId="6CE3ACD2">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E117316">
            <w:pPr>
              <w:spacing w:line="360" w:lineRule="auto"/>
              <w:jc w:val="center"/>
              <w:rPr>
                <w:rFonts w:ascii="Times New Roman" w:hAnsi="Times New Roman" w:cs="宋体"/>
                <w:sz w:val="24"/>
                <w:szCs w:val="24"/>
              </w:rPr>
            </w:pPr>
            <w:r>
              <w:rPr>
                <w:rFonts w:hint="eastAsia" w:ascii="Times New Roman" w:hAnsi="Times New Roman" w:cs="宋体"/>
                <w:sz w:val="24"/>
                <w:szCs w:val="24"/>
              </w:rPr>
              <w:t>电话</w:t>
            </w:r>
          </w:p>
        </w:tc>
        <w:tc>
          <w:tcPr>
            <w:tcW w:w="2408" w:type="dxa"/>
            <w:gridSpan w:val="3"/>
            <w:tcBorders>
              <w:top w:val="single" w:color="auto" w:sz="4" w:space="0"/>
              <w:left w:val="nil"/>
              <w:bottom w:val="single" w:color="auto" w:sz="4" w:space="0"/>
              <w:right w:val="single" w:color="auto" w:sz="4" w:space="0"/>
            </w:tcBorders>
            <w:noWrap w:val="0"/>
            <w:vAlign w:val="top"/>
          </w:tcPr>
          <w:p w14:paraId="3C50B9EF">
            <w:pPr>
              <w:spacing w:line="360" w:lineRule="auto"/>
              <w:rPr>
                <w:rFonts w:ascii="Times New Roman" w:hAnsi="Times New Roman" w:cs="宋体"/>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09D3AF5D">
            <w:pPr>
              <w:spacing w:line="360" w:lineRule="auto"/>
              <w:jc w:val="center"/>
              <w:rPr>
                <w:rFonts w:ascii="Times New Roman" w:hAnsi="Times New Roman" w:cs="宋体"/>
                <w:sz w:val="24"/>
                <w:szCs w:val="24"/>
              </w:rPr>
            </w:pPr>
            <w:r>
              <w:rPr>
                <w:rFonts w:hint="eastAsia" w:ascii="Times New Roman" w:hAnsi="Times New Roman" w:cs="宋体"/>
                <w:sz w:val="24"/>
                <w:szCs w:val="24"/>
              </w:rPr>
              <w:t>联系人</w:t>
            </w:r>
          </w:p>
        </w:tc>
        <w:tc>
          <w:tcPr>
            <w:tcW w:w="2946" w:type="dxa"/>
            <w:gridSpan w:val="3"/>
            <w:tcBorders>
              <w:top w:val="single" w:color="auto" w:sz="4" w:space="0"/>
              <w:left w:val="nil"/>
              <w:bottom w:val="single" w:color="auto" w:sz="4" w:space="0"/>
              <w:right w:val="single" w:color="auto" w:sz="4" w:space="0"/>
            </w:tcBorders>
            <w:noWrap w:val="0"/>
            <w:vAlign w:val="top"/>
          </w:tcPr>
          <w:p w14:paraId="338688B5">
            <w:pPr>
              <w:spacing w:line="360" w:lineRule="auto"/>
              <w:rPr>
                <w:rFonts w:ascii="Times New Roman" w:hAnsi="Times New Roman" w:cs="宋体"/>
                <w:sz w:val="24"/>
                <w:szCs w:val="24"/>
              </w:rPr>
            </w:pPr>
          </w:p>
        </w:tc>
      </w:tr>
      <w:tr w14:paraId="1FC0E33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127E447">
            <w:pPr>
              <w:spacing w:line="360" w:lineRule="auto"/>
              <w:jc w:val="center"/>
              <w:rPr>
                <w:rFonts w:ascii="Times New Roman" w:hAnsi="Times New Roman" w:cs="宋体"/>
                <w:sz w:val="24"/>
                <w:szCs w:val="24"/>
              </w:rPr>
            </w:pPr>
            <w:r>
              <w:rPr>
                <w:rFonts w:hint="eastAsia" w:ascii="Times New Roman" w:hAnsi="Times New Roman" w:cs="宋体"/>
                <w:sz w:val="24"/>
                <w:szCs w:val="24"/>
              </w:rPr>
              <w:t>传真</w:t>
            </w:r>
          </w:p>
        </w:tc>
        <w:tc>
          <w:tcPr>
            <w:tcW w:w="2408" w:type="dxa"/>
            <w:gridSpan w:val="3"/>
            <w:tcBorders>
              <w:top w:val="single" w:color="auto" w:sz="4" w:space="0"/>
              <w:left w:val="nil"/>
              <w:bottom w:val="single" w:color="auto" w:sz="4" w:space="0"/>
              <w:right w:val="single" w:color="auto" w:sz="4" w:space="0"/>
            </w:tcBorders>
            <w:noWrap w:val="0"/>
            <w:vAlign w:val="top"/>
          </w:tcPr>
          <w:p w14:paraId="1988CDAB">
            <w:pPr>
              <w:spacing w:line="360" w:lineRule="auto"/>
              <w:rPr>
                <w:rFonts w:ascii="Times New Roman" w:hAnsi="Times New Roman" w:cs="宋体"/>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5FBF3F37">
            <w:pPr>
              <w:spacing w:line="360" w:lineRule="auto"/>
              <w:jc w:val="center"/>
              <w:rPr>
                <w:rFonts w:ascii="Times New Roman" w:hAnsi="Times New Roman" w:cs="宋体"/>
                <w:sz w:val="24"/>
                <w:szCs w:val="24"/>
              </w:rPr>
            </w:pPr>
            <w:r>
              <w:rPr>
                <w:rFonts w:hint="eastAsia" w:ascii="Times New Roman" w:hAnsi="Times New Roman" w:cs="宋体"/>
                <w:sz w:val="24"/>
                <w:szCs w:val="24"/>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14:paraId="7C14C35B">
            <w:pPr>
              <w:spacing w:line="360" w:lineRule="auto"/>
              <w:rPr>
                <w:rFonts w:ascii="Times New Roman" w:hAnsi="Times New Roman" w:cs="宋体"/>
                <w:sz w:val="24"/>
                <w:szCs w:val="24"/>
              </w:rPr>
            </w:pPr>
          </w:p>
        </w:tc>
      </w:tr>
      <w:tr w14:paraId="39C59AEC">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EE8C6FD">
            <w:pPr>
              <w:spacing w:line="360" w:lineRule="auto"/>
              <w:jc w:val="center"/>
              <w:rPr>
                <w:rFonts w:ascii="Times New Roman" w:hAnsi="Times New Roman" w:cs="宋体"/>
                <w:sz w:val="24"/>
                <w:szCs w:val="24"/>
              </w:rPr>
            </w:pPr>
            <w:r>
              <w:rPr>
                <w:rFonts w:hint="eastAsia" w:ascii="Times New Roman" w:hAnsi="Times New Roman" w:cs="宋体"/>
                <w:sz w:val="24"/>
                <w:szCs w:val="24"/>
              </w:rPr>
              <w:t>注册地</w:t>
            </w:r>
          </w:p>
        </w:tc>
        <w:tc>
          <w:tcPr>
            <w:tcW w:w="2408" w:type="dxa"/>
            <w:gridSpan w:val="3"/>
            <w:tcBorders>
              <w:top w:val="single" w:color="auto" w:sz="4" w:space="0"/>
              <w:left w:val="nil"/>
              <w:bottom w:val="single" w:color="auto" w:sz="4" w:space="0"/>
              <w:right w:val="single" w:color="auto" w:sz="4" w:space="0"/>
            </w:tcBorders>
            <w:noWrap w:val="0"/>
            <w:vAlign w:val="top"/>
          </w:tcPr>
          <w:p w14:paraId="2CD32C1C">
            <w:pPr>
              <w:spacing w:line="360" w:lineRule="auto"/>
              <w:rPr>
                <w:rFonts w:ascii="Times New Roman" w:hAnsi="Times New Roman" w:cs="宋体"/>
                <w:sz w:val="24"/>
                <w:szCs w:val="24"/>
              </w:rPr>
            </w:pPr>
          </w:p>
        </w:tc>
        <w:tc>
          <w:tcPr>
            <w:tcW w:w="1875" w:type="dxa"/>
            <w:gridSpan w:val="2"/>
            <w:tcBorders>
              <w:top w:val="single" w:color="auto" w:sz="4" w:space="0"/>
              <w:left w:val="nil"/>
              <w:bottom w:val="single" w:color="auto" w:sz="4" w:space="0"/>
              <w:right w:val="single" w:color="auto" w:sz="4" w:space="0"/>
            </w:tcBorders>
            <w:noWrap w:val="0"/>
            <w:vAlign w:val="top"/>
          </w:tcPr>
          <w:p w14:paraId="7BE2FE5E">
            <w:pPr>
              <w:spacing w:line="360" w:lineRule="auto"/>
              <w:jc w:val="center"/>
              <w:rPr>
                <w:rFonts w:ascii="Times New Roman" w:hAnsi="Times New Roman" w:cs="宋体"/>
                <w:sz w:val="24"/>
                <w:szCs w:val="24"/>
              </w:rPr>
            </w:pPr>
            <w:r>
              <w:rPr>
                <w:rFonts w:hint="eastAsia" w:ascii="Times New Roman" w:hAnsi="Times New Roman" w:cs="宋体"/>
                <w:sz w:val="24"/>
                <w:szCs w:val="24"/>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14:paraId="7944468E">
            <w:pPr>
              <w:spacing w:line="360" w:lineRule="auto"/>
              <w:rPr>
                <w:rFonts w:ascii="Times New Roman" w:hAnsi="Times New Roman" w:cs="宋体"/>
                <w:sz w:val="24"/>
                <w:szCs w:val="24"/>
              </w:rPr>
            </w:pPr>
          </w:p>
        </w:tc>
      </w:tr>
      <w:tr w14:paraId="5C1033E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2398A18">
            <w:pPr>
              <w:spacing w:line="360" w:lineRule="auto"/>
              <w:jc w:val="center"/>
              <w:rPr>
                <w:rFonts w:ascii="Times New Roman" w:hAnsi="Times New Roman" w:cs="宋体"/>
                <w:sz w:val="24"/>
                <w:szCs w:val="24"/>
              </w:rPr>
            </w:pPr>
            <w:r>
              <w:rPr>
                <w:rFonts w:hint="eastAsia" w:ascii="Times New Roman" w:hAnsi="Times New Roman" w:cs="宋体"/>
                <w:sz w:val="24"/>
                <w:szCs w:val="24"/>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14:paraId="4968E794">
            <w:pPr>
              <w:spacing w:line="360" w:lineRule="auto"/>
              <w:rPr>
                <w:rFonts w:ascii="Times New Roman" w:hAnsi="Times New Roman" w:cs="宋体"/>
                <w:sz w:val="24"/>
                <w:szCs w:val="24"/>
              </w:rPr>
            </w:pPr>
            <w:r>
              <w:rPr>
                <w:rFonts w:hint="eastAsia" w:ascii="Times New Roman" w:hAnsi="Times New Roman" w:cs="宋体"/>
                <w:sz w:val="24"/>
                <w:szCs w:val="24"/>
              </w:rPr>
              <w:t>公司具备的相关资质等级及相应的证书号</w:t>
            </w:r>
          </w:p>
          <w:p w14:paraId="2565F232">
            <w:pPr>
              <w:spacing w:line="360" w:lineRule="auto"/>
              <w:rPr>
                <w:rFonts w:ascii="Times New Roman" w:hAnsi="Times New Roman" w:cs="宋体"/>
                <w:sz w:val="24"/>
                <w:szCs w:val="24"/>
              </w:rPr>
            </w:pPr>
            <w:r>
              <w:rPr>
                <w:rFonts w:hint="eastAsia" w:ascii="Times New Roman" w:hAnsi="Times New Roman" w:cs="宋体"/>
                <w:sz w:val="24"/>
                <w:szCs w:val="24"/>
              </w:rPr>
              <w:t>（请附有关证书的复印件）</w:t>
            </w:r>
          </w:p>
        </w:tc>
      </w:tr>
      <w:tr w14:paraId="09A8DFA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922CA55">
            <w:pPr>
              <w:spacing w:line="360" w:lineRule="auto"/>
              <w:jc w:val="center"/>
              <w:rPr>
                <w:rFonts w:ascii="Times New Roman" w:hAnsi="Times New Roman" w:cs="宋体"/>
                <w:sz w:val="24"/>
                <w:szCs w:val="24"/>
              </w:rPr>
            </w:pPr>
            <w:r>
              <w:rPr>
                <w:rFonts w:hint="eastAsia" w:ascii="Times New Roman" w:hAnsi="Times New Roman" w:cs="宋体"/>
                <w:sz w:val="24"/>
                <w:szCs w:val="24"/>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14:paraId="78882D71">
            <w:pPr>
              <w:spacing w:line="360" w:lineRule="auto"/>
              <w:rPr>
                <w:rFonts w:ascii="Times New Roman" w:hAnsi="Times New Roman" w:cs="宋体"/>
                <w:sz w:val="24"/>
                <w:szCs w:val="24"/>
              </w:rPr>
            </w:pPr>
            <w:r>
              <w:rPr>
                <w:rFonts w:hint="eastAsia" w:ascii="Times New Roman" w:hAnsi="Times New Roman" w:cs="宋体"/>
                <w:sz w:val="24"/>
                <w:szCs w:val="24"/>
              </w:rPr>
              <w:t>公司</w:t>
            </w:r>
            <w:r>
              <w:rPr>
                <w:rFonts w:hint="eastAsia" w:ascii="Times New Roman" w:hAnsi="Times New Roman" w:cs="宋体"/>
                <w:sz w:val="24"/>
                <w:szCs w:val="24"/>
                <w:u w:val="single"/>
              </w:rPr>
              <w:t xml:space="preserve">   （是否通过，何种）   </w:t>
            </w:r>
            <w:r>
              <w:rPr>
                <w:rFonts w:hint="eastAsia" w:ascii="Times New Roman" w:hAnsi="Times New Roman" w:cs="宋体"/>
                <w:sz w:val="24"/>
                <w:szCs w:val="24"/>
              </w:rPr>
              <w:t>质量保证体系认证（如通过请附相关在有效期内的证书复印件）</w:t>
            </w:r>
          </w:p>
        </w:tc>
      </w:tr>
      <w:tr w14:paraId="5285AB8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7394BEB">
            <w:pPr>
              <w:spacing w:line="360" w:lineRule="auto"/>
              <w:jc w:val="center"/>
              <w:rPr>
                <w:rFonts w:ascii="Times New Roman" w:hAnsi="Times New Roman" w:cs="宋体"/>
                <w:sz w:val="24"/>
                <w:szCs w:val="24"/>
              </w:rPr>
            </w:pPr>
            <w:r>
              <w:rPr>
                <w:rFonts w:hint="eastAsia" w:ascii="Times New Roman" w:hAnsi="Times New Roman" w:cs="宋体"/>
                <w:sz w:val="24"/>
                <w:szCs w:val="24"/>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14:paraId="14FD4989">
            <w:pPr>
              <w:spacing w:line="360" w:lineRule="auto"/>
              <w:jc w:val="center"/>
              <w:rPr>
                <w:rFonts w:ascii="Times New Roman" w:hAnsi="Times New Roman" w:cs="宋体"/>
                <w:sz w:val="24"/>
                <w:szCs w:val="24"/>
              </w:rPr>
            </w:pPr>
          </w:p>
        </w:tc>
        <w:tc>
          <w:tcPr>
            <w:tcW w:w="1417" w:type="dxa"/>
            <w:gridSpan w:val="2"/>
            <w:tcBorders>
              <w:top w:val="single" w:color="auto" w:sz="4" w:space="0"/>
              <w:left w:val="nil"/>
              <w:bottom w:val="single" w:color="auto" w:sz="4" w:space="0"/>
              <w:right w:val="single" w:color="auto" w:sz="4" w:space="0"/>
            </w:tcBorders>
            <w:noWrap w:val="0"/>
            <w:vAlign w:val="top"/>
          </w:tcPr>
          <w:p w14:paraId="540B98AF">
            <w:pPr>
              <w:spacing w:line="360" w:lineRule="auto"/>
              <w:jc w:val="center"/>
              <w:rPr>
                <w:rFonts w:ascii="Times New Roman" w:hAnsi="Times New Roman" w:cs="宋体"/>
                <w:sz w:val="24"/>
                <w:szCs w:val="24"/>
              </w:rPr>
            </w:pPr>
            <w:r>
              <w:rPr>
                <w:rFonts w:hint="eastAsia" w:ascii="Times New Roman" w:hAnsi="Times New Roman" w:cs="宋体"/>
                <w:sz w:val="24"/>
                <w:szCs w:val="24"/>
              </w:rPr>
              <w:t>年龄</w:t>
            </w:r>
          </w:p>
        </w:tc>
        <w:tc>
          <w:tcPr>
            <w:tcW w:w="1466" w:type="dxa"/>
            <w:gridSpan w:val="2"/>
            <w:tcBorders>
              <w:top w:val="single" w:color="auto" w:sz="4" w:space="0"/>
              <w:left w:val="nil"/>
              <w:bottom w:val="single" w:color="auto" w:sz="4" w:space="0"/>
              <w:right w:val="single" w:color="auto" w:sz="4" w:space="0"/>
            </w:tcBorders>
            <w:noWrap w:val="0"/>
            <w:vAlign w:val="top"/>
          </w:tcPr>
          <w:p w14:paraId="20069AC9">
            <w:pPr>
              <w:spacing w:line="360" w:lineRule="auto"/>
              <w:jc w:val="center"/>
              <w:rPr>
                <w:rFonts w:ascii="Times New Roman" w:hAnsi="Times New Roman" w:cs="宋体"/>
                <w:sz w:val="24"/>
                <w:szCs w:val="24"/>
              </w:rPr>
            </w:pPr>
          </w:p>
        </w:tc>
        <w:tc>
          <w:tcPr>
            <w:tcW w:w="1320" w:type="dxa"/>
            <w:tcBorders>
              <w:top w:val="single" w:color="auto" w:sz="4" w:space="0"/>
              <w:left w:val="nil"/>
              <w:bottom w:val="single" w:color="auto" w:sz="4" w:space="0"/>
              <w:right w:val="single" w:color="auto" w:sz="4" w:space="0"/>
            </w:tcBorders>
            <w:noWrap w:val="0"/>
            <w:vAlign w:val="top"/>
          </w:tcPr>
          <w:p w14:paraId="73F75210">
            <w:pPr>
              <w:spacing w:line="360" w:lineRule="auto"/>
              <w:jc w:val="center"/>
              <w:rPr>
                <w:rFonts w:ascii="Times New Roman" w:hAnsi="Times New Roman" w:cs="宋体"/>
                <w:sz w:val="24"/>
                <w:szCs w:val="24"/>
              </w:rPr>
            </w:pPr>
            <w:r>
              <w:rPr>
                <w:rFonts w:hint="eastAsia" w:ascii="Times New Roman" w:hAnsi="Times New Roman" w:cs="宋体"/>
                <w:sz w:val="24"/>
                <w:szCs w:val="24"/>
              </w:rPr>
              <w:t>性别</w:t>
            </w:r>
          </w:p>
        </w:tc>
        <w:tc>
          <w:tcPr>
            <w:tcW w:w="1467" w:type="dxa"/>
            <w:tcBorders>
              <w:top w:val="single" w:color="auto" w:sz="4" w:space="0"/>
              <w:left w:val="nil"/>
              <w:bottom w:val="single" w:color="auto" w:sz="4" w:space="0"/>
              <w:right w:val="single" w:color="auto" w:sz="4" w:space="0"/>
            </w:tcBorders>
            <w:noWrap w:val="0"/>
            <w:vAlign w:val="top"/>
          </w:tcPr>
          <w:p w14:paraId="4BCB8897">
            <w:pPr>
              <w:spacing w:line="360" w:lineRule="auto"/>
              <w:jc w:val="center"/>
              <w:rPr>
                <w:rFonts w:ascii="Times New Roman" w:hAnsi="Times New Roman" w:cs="宋体"/>
                <w:sz w:val="24"/>
                <w:szCs w:val="24"/>
              </w:rPr>
            </w:pPr>
          </w:p>
        </w:tc>
      </w:tr>
      <w:tr w14:paraId="40781A4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8B0A8C9">
            <w:pPr>
              <w:spacing w:line="360" w:lineRule="auto"/>
              <w:jc w:val="center"/>
              <w:rPr>
                <w:rFonts w:ascii="Times New Roman" w:hAnsi="Times New Roman" w:cs="宋体"/>
                <w:sz w:val="24"/>
                <w:szCs w:val="24"/>
              </w:rPr>
            </w:pPr>
            <w:r>
              <w:rPr>
                <w:rFonts w:hint="eastAsia" w:ascii="Times New Roman" w:hAnsi="Times New Roman" w:cs="宋体"/>
                <w:sz w:val="24"/>
                <w:szCs w:val="24"/>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14:paraId="32AD43DD">
            <w:pPr>
              <w:spacing w:line="360" w:lineRule="auto"/>
              <w:rPr>
                <w:rFonts w:ascii="Times New Roman" w:hAnsi="Times New Roman" w:cs="宋体"/>
                <w:sz w:val="24"/>
                <w:szCs w:val="24"/>
              </w:rPr>
            </w:pPr>
          </w:p>
        </w:tc>
        <w:tc>
          <w:tcPr>
            <w:tcW w:w="1466" w:type="dxa"/>
            <w:gridSpan w:val="2"/>
            <w:tcBorders>
              <w:top w:val="single" w:color="auto" w:sz="4" w:space="0"/>
              <w:left w:val="nil"/>
              <w:bottom w:val="single" w:color="auto" w:sz="4" w:space="0"/>
              <w:right w:val="single" w:color="auto" w:sz="4" w:space="0"/>
            </w:tcBorders>
            <w:noWrap w:val="0"/>
            <w:vAlign w:val="top"/>
          </w:tcPr>
          <w:p w14:paraId="67B38DDD">
            <w:pPr>
              <w:spacing w:line="360" w:lineRule="auto"/>
              <w:rPr>
                <w:rFonts w:ascii="Times New Roman" w:hAnsi="Times New Roman" w:cs="宋体"/>
                <w:sz w:val="24"/>
                <w:szCs w:val="24"/>
              </w:rPr>
            </w:pPr>
            <w:r>
              <w:rPr>
                <w:rFonts w:hint="eastAsia" w:ascii="Times New Roman" w:hAnsi="Times New Roman" w:cs="宋体"/>
                <w:sz w:val="24"/>
                <w:szCs w:val="24"/>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14:paraId="606BB6B0">
            <w:pPr>
              <w:spacing w:line="360" w:lineRule="auto"/>
              <w:rPr>
                <w:rFonts w:ascii="Times New Roman" w:hAnsi="Times New Roman" w:cs="宋体"/>
                <w:sz w:val="24"/>
                <w:szCs w:val="24"/>
              </w:rPr>
            </w:pPr>
          </w:p>
        </w:tc>
      </w:tr>
      <w:tr w14:paraId="18FA155E">
        <w:tblPrEx>
          <w:tblCellMar>
            <w:top w:w="0" w:type="dxa"/>
            <w:left w:w="108" w:type="dxa"/>
            <w:bottom w:w="0" w:type="dxa"/>
            <w:right w:w="108" w:type="dxa"/>
          </w:tblCellMar>
        </w:tblPrEx>
        <w:trPr>
          <w:cantSplit/>
          <w:trHeight w:val="2234"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475356B">
            <w:pPr>
              <w:spacing w:line="360" w:lineRule="auto"/>
              <w:jc w:val="center"/>
              <w:rPr>
                <w:rFonts w:ascii="Times New Roman" w:hAnsi="Times New Roman" w:cs="宋体"/>
                <w:sz w:val="24"/>
                <w:szCs w:val="24"/>
              </w:rPr>
            </w:pPr>
            <w:r>
              <w:rPr>
                <w:rFonts w:hint="eastAsia" w:ascii="Times New Roman" w:hAnsi="Times New Roman" w:cs="宋体"/>
                <w:sz w:val="24"/>
                <w:szCs w:val="24"/>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14:paraId="51ADCFC9">
            <w:pPr>
              <w:spacing w:line="360" w:lineRule="auto"/>
              <w:rPr>
                <w:rFonts w:ascii="Times New Roman" w:hAnsi="Times New Roman" w:cs="宋体"/>
                <w:sz w:val="24"/>
                <w:szCs w:val="24"/>
              </w:rPr>
            </w:pPr>
            <w:r>
              <w:rPr>
                <w:rFonts w:hint="eastAsia" w:ascii="Times New Roman" w:hAnsi="Times New Roman" w:cs="宋体"/>
                <w:sz w:val="24"/>
                <w:szCs w:val="24"/>
              </w:rPr>
              <w:t>营业执照载明：</w:t>
            </w:r>
          </w:p>
          <w:p w14:paraId="5EE0BD47">
            <w:pPr>
              <w:spacing w:line="360" w:lineRule="auto"/>
              <w:rPr>
                <w:rFonts w:ascii="Times New Roman" w:hAnsi="Times New Roman" w:cs="宋体"/>
                <w:sz w:val="24"/>
                <w:szCs w:val="24"/>
                <w:u w:val="single"/>
              </w:rPr>
            </w:pPr>
            <w:r>
              <w:rPr>
                <w:rFonts w:hint="eastAsia" w:ascii="Times New Roman" w:hAnsi="Times New Roman" w:cs="宋体"/>
                <w:sz w:val="24"/>
                <w:szCs w:val="24"/>
              </w:rPr>
              <w:t>1.</w:t>
            </w:r>
          </w:p>
          <w:p w14:paraId="07B584BE">
            <w:pPr>
              <w:spacing w:line="360" w:lineRule="auto"/>
              <w:rPr>
                <w:rFonts w:ascii="Times New Roman" w:hAnsi="Times New Roman" w:cs="宋体"/>
                <w:sz w:val="24"/>
                <w:szCs w:val="24"/>
                <w:u w:val="single"/>
              </w:rPr>
            </w:pPr>
            <w:r>
              <w:rPr>
                <w:rFonts w:hint="eastAsia" w:ascii="Times New Roman" w:hAnsi="Times New Roman" w:cs="宋体"/>
                <w:sz w:val="24"/>
                <w:szCs w:val="24"/>
              </w:rPr>
              <w:t>2.</w:t>
            </w:r>
          </w:p>
          <w:p w14:paraId="29E64E2B">
            <w:pPr>
              <w:spacing w:line="360" w:lineRule="auto"/>
              <w:rPr>
                <w:rFonts w:ascii="Times New Roman" w:hAnsi="Times New Roman" w:cs="宋体"/>
                <w:sz w:val="24"/>
                <w:szCs w:val="24"/>
              </w:rPr>
            </w:pPr>
            <w:r>
              <w:rPr>
                <w:rFonts w:hint="eastAsia" w:ascii="Times New Roman" w:hAnsi="Times New Roman" w:cs="宋体"/>
                <w:sz w:val="24"/>
                <w:szCs w:val="24"/>
              </w:rPr>
              <w:t>………………………</w:t>
            </w:r>
          </w:p>
        </w:tc>
      </w:tr>
      <w:tr w14:paraId="07352344">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2B7E6512">
            <w:pPr>
              <w:spacing w:line="360" w:lineRule="auto"/>
              <w:rPr>
                <w:rFonts w:ascii="Times New Roman" w:hAnsi="Times New Roman" w:cs="宋体"/>
                <w:sz w:val="24"/>
                <w:szCs w:val="24"/>
              </w:rPr>
            </w:pPr>
            <w:r>
              <w:rPr>
                <w:rFonts w:hint="eastAsia" w:ascii="Times New Roman" w:hAnsi="Times New Roman" w:cs="宋体"/>
                <w:sz w:val="24"/>
                <w:szCs w:val="24"/>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14:paraId="23470065">
            <w:pPr>
              <w:spacing w:line="360" w:lineRule="auto"/>
              <w:rPr>
                <w:rFonts w:ascii="Times New Roman" w:hAnsi="Times New Roman" w:cs="宋体"/>
                <w:sz w:val="24"/>
                <w:szCs w:val="24"/>
              </w:rPr>
            </w:pPr>
          </w:p>
        </w:tc>
      </w:tr>
      <w:tr w14:paraId="2607E268">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41FE15FE">
            <w:pPr>
              <w:spacing w:line="360" w:lineRule="auto"/>
              <w:rPr>
                <w:rFonts w:ascii="Times New Roman" w:hAnsi="Times New Roman" w:cs="宋体"/>
                <w:sz w:val="24"/>
                <w:szCs w:val="24"/>
              </w:rPr>
            </w:pPr>
            <w:r>
              <w:rPr>
                <w:rFonts w:hint="eastAsia" w:ascii="Times New Roman" w:hAnsi="Times New Roman" w:cs="宋体"/>
                <w:sz w:val="24"/>
                <w:szCs w:val="24"/>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14:paraId="43EAD9AF">
            <w:pPr>
              <w:spacing w:line="360" w:lineRule="auto"/>
              <w:rPr>
                <w:rFonts w:ascii="Times New Roman" w:hAnsi="Times New Roman" w:cs="宋体"/>
                <w:sz w:val="24"/>
                <w:szCs w:val="24"/>
              </w:rPr>
            </w:pPr>
          </w:p>
        </w:tc>
      </w:tr>
    </w:tbl>
    <w:p w14:paraId="1498CB8B">
      <w:pPr>
        <w:spacing w:line="360" w:lineRule="auto"/>
        <w:ind w:firstLine="480" w:firstLineChars="200"/>
        <w:jc w:val="right"/>
        <w:rPr>
          <w:rFonts w:ascii="Times New Roman" w:hAnsi="Times New Roman" w:cs="宋体"/>
          <w:sz w:val="24"/>
          <w:szCs w:val="24"/>
        </w:rPr>
      </w:pPr>
      <w:r>
        <w:rPr>
          <w:rFonts w:hint="eastAsia" w:ascii="Times New Roman" w:hAnsi="Times New Roman" w:cs="宋体"/>
          <w:sz w:val="24"/>
          <w:szCs w:val="24"/>
        </w:rPr>
        <w:t>供应商：（加盖公章）</w:t>
      </w:r>
    </w:p>
    <w:p w14:paraId="68FA0755">
      <w:pPr>
        <w:spacing w:line="360" w:lineRule="auto"/>
        <w:ind w:firstLine="480" w:firstLineChars="200"/>
        <w:jc w:val="right"/>
        <w:rPr>
          <w:rFonts w:ascii="Times New Roman" w:hAnsi="Times New Roman" w:cs="宋体"/>
          <w:sz w:val="24"/>
          <w:szCs w:val="24"/>
        </w:rPr>
      </w:pPr>
      <w:r>
        <w:rPr>
          <w:rFonts w:hint="eastAsia" w:ascii="Times New Roman" w:hAnsi="Times New Roman" w:cs="宋体"/>
          <w:sz w:val="24"/>
          <w:szCs w:val="24"/>
        </w:rPr>
        <w:t>法定代表人或被授权人：（签字或盖章）</w:t>
      </w:r>
    </w:p>
    <w:p w14:paraId="37205B1E">
      <w:pPr>
        <w:spacing w:line="360" w:lineRule="auto"/>
        <w:ind w:firstLine="1320" w:firstLineChars="550"/>
        <w:jc w:val="right"/>
        <w:rPr>
          <w:rFonts w:ascii="Times New Roman" w:hAnsi="Times New Roman" w:cs="宋体"/>
          <w:sz w:val="24"/>
          <w:szCs w:val="24"/>
        </w:rPr>
      </w:pPr>
      <w:r>
        <w:rPr>
          <w:rFonts w:hint="eastAsia" w:ascii="Times New Roman" w:hAnsi="Times New Roman" w:cs="宋体"/>
          <w:sz w:val="24"/>
          <w:szCs w:val="24"/>
        </w:rPr>
        <w:t>年      月     日</w:t>
      </w:r>
    </w:p>
    <w:p w14:paraId="75556BD6">
      <w:pPr>
        <w:rPr>
          <w:rFonts w:hint="eastAsia" w:ascii="Times New Roman" w:hAnsi="Times New Roman" w:eastAsia="宋体"/>
          <w:b/>
          <w:sz w:val="24"/>
          <w:szCs w:val="24"/>
          <w:lang w:val="en-US" w:eastAsia="zh-CN"/>
        </w:rPr>
      </w:pPr>
    </w:p>
    <w:p w14:paraId="7371FE56">
      <w:pPr>
        <w:rPr>
          <w:rFonts w:ascii="Times New Roman" w:hAnsi="Times New Roman" w:eastAsia="宋体"/>
          <w:sz w:val="24"/>
          <w:szCs w:val="24"/>
        </w:rPr>
      </w:pPr>
      <w:r>
        <w:rPr>
          <w:rFonts w:hint="eastAsia" w:ascii="Times New Roman" w:hAnsi="Times New Roman" w:eastAsia="宋体"/>
          <w:b/>
          <w:sz w:val="24"/>
          <w:szCs w:val="24"/>
          <w:lang w:val="en-US" w:eastAsia="zh-CN"/>
        </w:rPr>
        <w:br w:type="page"/>
      </w:r>
    </w:p>
    <w:p w14:paraId="04A9112A">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b/>
          <w:sz w:val="24"/>
          <w:szCs w:val="24"/>
        </w:rPr>
      </w:pPr>
      <w:r>
        <w:rPr>
          <w:rFonts w:hint="eastAsia" w:ascii="Times New Roman" w:hAnsi="Times New Roman" w:eastAsia="宋体"/>
          <w:b/>
          <w:sz w:val="24"/>
          <w:szCs w:val="24"/>
          <w:lang w:val="en-US" w:eastAsia="zh-CN"/>
        </w:rPr>
        <w:t>7</w:t>
      </w:r>
      <w:r>
        <w:rPr>
          <w:rFonts w:hint="eastAsia" w:ascii="Times New Roman" w:hAnsi="Times New Roman" w:eastAsia="宋体"/>
          <w:b/>
          <w:sz w:val="24"/>
          <w:szCs w:val="24"/>
        </w:rPr>
        <w:t>、技术</w:t>
      </w:r>
      <w:r>
        <w:rPr>
          <w:rFonts w:hint="eastAsia" w:ascii="Times New Roman" w:hAnsi="Times New Roman" w:eastAsia="宋体"/>
          <w:b/>
          <w:sz w:val="24"/>
          <w:szCs w:val="24"/>
          <w:lang w:eastAsia="zh-CN"/>
        </w:rPr>
        <w:t>商务</w:t>
      </w:r>
      <w:r>
        <w:rPr>
          <w:rFonts w:hint="eastAsia" w:ascii="Times New Roman" w:hAnsi="Times New Roman" w:eastAsia="宋体"/>
          <w:b/>
          <w:sz w:val="24"/>
          <w:szCs w:val="24"/>
        </w:rPr>
        <w:t>条款响应正负偏离表</w:t>
      </w:r>
    </w:p>
    <w:p w14:paraId="350DD0E2">
      <w:pPr>
        <w:keepNext w:val="0"/>
        <w:keepLines w:val="0"/>
        <w:pageBreakBefore w:val="0"/>
        <w:widowControl w:val="0"/>
        <w:kinsoku/>
        <w:wordWrap/>
        <w:topLinePunct w:val="0"/>
        <w:autoSpaceDE/>
        <w:autoSpaceDN/>
        <w:bidi w:val="0"/>
        <w:spacing w:line="360" w:lineRule="auto"/>
        <w:ind w:firstLine="480"/>
        <w:jc w:val="center"/>
        <w:textAlignment w:val="baseline"/>
        <w:rPr>
          <w:rFonts w:ascii="Times New Roman" w:hAnsi="Times New Roman" w:eastAsia="宋体" w:cs="宋体"/>
          <w:sz w:val="24"/>
          <w:szCs w:val="24"/>
        </w:rPr>
      </w:pPr>
      <w:r>
        <w:rPr>
          <w:rFonts w:hint="eastAsia" w:ascii="Times New Roman" w:hAnsi="Times New Roman" w:eastAsia="宋体" w:cs="仿宋"/>
          <w:sz w:val="28"/>
          <w:szCs w:val="28"/>
        </w:rPr>
        <w:t>（</w:t>
      </w:r>
      <w:r>
        <w:rPr>
          <w:rFonts w:hint="eastAsia" w:ascii="Times New Roman" w:hAnsi="Times New Roman" w:eastAsia="宋体" w:cs="宋体"/>
          <w:sz w:val="24"/>
          <w:szCs w:val="24"/>
        </w:rPr>
        <w:t>由响应人据实提交，表格不够自行添加）</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357"/>
        <w:gridCol w:w="2302"/>
        <w:gridCol w:w="2720"/>
        <w:gridCol w:w="1417"/>
      </w:tblGrid>
      <w:tr w14:paraId="17641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959" w:type="dxa"/>
            <w:tcBorders>
              <w:top w:val="single" w:color="auto" w:sz="12" w:space="0"/>
              <w:left w:val="single" w:color="auto" w:sz="12" w:space="0"/>
              <w:bottom w:val="single" w:color="auto" w:sz="6" w:space="0"/>
              <w:right w:val="single" w:color="auto" w:sz="6" w:space="0"/>
            </w:tcBorders>
            <w:noWrap w:val="0"/>
            <w:vAlign w:val="center"/>
          </w:tcPr>
          <w:p w14:paraId="5151AA66">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序号</w:t>
            </w:r>
          </w:p>
        </w:tc>
        <w:tc>
          <w:tcPr>
            <w:tcW w:w="1357" w:type="dxa"/>
            <w:tcBorders>
              <w:top w:val="single" w:color="auto" w:sz="12" w:space="0"/>
              <w:left w:val="single" w:color="auto" w:sz="6" w:space="0"/>
              <w:bottom w:val="single" w:color="auto" w:sz="6" w:space="0"/>
              <w:right w:val="single" w:color="auto" w:sz="6" w:space="0"/>
            </w:tcBorders>
            <w:noWrap w:val="0"/>
            <w:vAlign w:val="center"/>
          </w:tcPr>
          <w:p w14:paraId="7EE186FE">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采购文件条目号</w:t>
            </w:r>
          </w:p>
        </w:tc>
        <w:tc>
          <w:tcPr>
            <w:tcW w:w="2302" w:type="dxa"/>
            <w:tcBorders>
              <w:top w:val="single" w:color="auto" w:sz="12" w:space="0"/>
              <w:left w:val="single" w:color="auto" w:sz="6" w:space="0"/>
              <w:bottom w:val="single" w:color="auto" w:sz="6" w:space="0"/>
              <w:right w:val="single" w:color="auto" w:sz="6" w:space="0"/>
            </w:tcBorders>
            <w:noWrap w:val="0"/>
            <w:vAlign w:val="center"/>
          </w:tcPr>
          <w:p w14:paraId="7943DDA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磋商文件要求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14:paraId="732E2059">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响应文件响应情况</w:t>
            </w:r>
          </w:p>
        </w:tc>
        <w:tc>
          <w:tcPr>
            <w:tcW w:w="1417" w:type="dxa"/>
            <w:tcBorders>
              <w:top w:val="single" w:color="auto" w:sz="12" w:space="0"/>
              <w:left w:val="single" w:color="auto" w:sz="6" w:space="0"/>
              <w:bottom w:val="single" w:color="auto" w:sz="6" w:space="0"/>
              <w:right w:val="single" w:color="auto" w:sz="12" w:space="0"/>
            </w:tcBorders>
            <w:noWrap w:val="0"/>
            <w:vAlign w:val="center"/>
          </w:tcPr>
          <w:p w14:paraId="7A1C13BD">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偏离说明</w:t>
            </w:r>
          </w:p>
        </w:tc>
      </w:tr>
      <w:tr w14:paraId="382DE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9" w:type="dxa"/>
            <w:tcBorders>
              <w:top w:val="single" w:color="auto" w:sz="6" w:space="0"/>
              <w:left w:val="single" w:color="auto" w:sz="12" w:space="0"/>
              <w:bottom w:val="single" w:color="auto" w:sz="6" w:space="0"/>
              <w:right w:val="single" w:color="auto" w:sz="6" w:space="0"/>
            </w:tcBorders>
            <w:noWrap w:val="0"/>
            <w:vAlign w:val="top"/>
          </w:tcPr>
          <w:p w14:paraId="2118AA70">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1357" w:type="dxa"/>
            <w:tcBorders>
              <w:top w:val="single" w:color="auto" w:sz="6" w:space="0"/>
              <w:left w:val="single" w:color="auto" w:sz="6" w:space="0"/>
              <w:bottom w:val="single" w:color="auto" w:sz="6" w:space="0"/>
              <w:right w:val="single" w:color="auto" w:sz="6" w:space="0"/>
            </w:tcBorders>
            <w:noWrap w:val="0"/>
            <w:vAlign w:val="center"/>
          </w:tcPr>
          <w:p w14:paraId="01F8721A">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noWrap w:val="0"/>
            <w:vAlign w:val="center"/>
          </w:tcPr>
          <w:p w14:paraId="094AC53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025466F7">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5D53BB62">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r>
      <w:tr w14:paraId="38168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959" w:type="dxa"/>
            <w:tcBorders>
              <w:top w:val="single" w:color="auto" w:sz="6" w:space="0"/>
              <w:left w:val="single" w:color="auto" w:sz="12" w:space="0"/>
              <w:bottom w:val="single" w:color="auto" w:sz="6" w:space="0"/>
              <w:right w:val="single" w:color="auto" w:sz="6" w:space="0"/>
            </w:tcBorders>
            <w:noWrap w:val="0"/>
            <w:vAlign w:val="top"/>
          </w:tcPr>
          <w:p w14:paraId="6477E342">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1357" w:type="dxa"/>
            <w:tcBorders>
              <w:top w:val="single" w:color="auto" w:sz="6" w:space="0"/>
              <w:left w:val="single" w:color="auto" w:sz="6" w:space="0"/>
              <w:bottom w:val="single" w:color="auto" w:sz="6" w:space="0"/>
              <w:right w:val="single" w:color="auto" w:sz="6" w:space="0"/>
            </w:tcBorders>
            <w:noWrap w:val="0"/>
            <w:vAlign w:val="center"/>
          </w:tcPr>
          <w:p w14:paraId="1C5B9AED">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noWrap w:val="0"/>
            <w:vAlign w:val="center"/>
          </w:tcPr>
          <w:p w14:paraId="256EEE0E">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0457216D">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7847E9EA">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r>
      <w:tr w14:paraId="6021E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959" w:type="dxa"/>
            <w:tcBorders>
              <w:top w:val="single" w:color="auto" w:sz="6" w:space="0"/>
              <w:left w:val="single" w:color="auto" w:sz="12" w:space="0"/>
              <w:bottom w:val="single" w:color="auto" w:sz="6" w:space="0"/>
              <w:right w:val="single" w:color="auto" w:sz="6" w:space="0"/>
            </w:tcBorders>
            <w:noWrap w:val="0"/>
            <w:vAlign w:val="top"/>
          </w:tcPr>
          <w:p w14:paraId="7460CC9C">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r>
              <w:rPr>
                <w:rFonts w:hint="eastAsia" w:ascii="Times New Roman" w:hAnsi="Times New Roman" w:eastAsia="宋体" w:cs="宋体"/>
                <w:sz w:val="24"/>
                <w:szCs w:val="24"/>
              </w:rPr>
              <w:t>3</w:t>
            </w:r>
          </w:p>
        </w:tc>
        <w:tc>
          <w:tcPr>
            <w:tcW w:w="1357" w:type="dxa"/>
            <w:tcBorders>
              <w:top w:val="single" w:color="auto" w:sz="6" w:space="0"/>
              <w:left w:val="single" w:color="auto" w:sz="6" w:space="0"/>
              <w:bottom w:val="single" w:color="auto" w:sz="6" w:space="0"/>
              <w:right w:val="single" w:color="auto" w:sz="6" w:space="0"/>
            </w:tcBorders>
            <w:noWrap w:val="0"/>
            <w:vAlign w:val="center"/>
          </w:tcPr>
          <w:p w14:paraId="4FB4539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noWrap w:val="0"/>
            <w:vAlign w:val="center"/>
          </w:tcPr>
          <w:p w14:paraId="141C279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38AB8F2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019F2343">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r>
      <w:tr w14:paraId="0BCA1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959" w:type="dxa"/>
            <w:tcBorders>
              <w:top w:val="single" w:color="auto" w:sz="6" w:space="0"/>
              <w:left w:val="single" w:color="auto" w:sz="12" w:space="0"/>
              <w:bottom w:val="single" w:color="auto" w:sz="6" w:space="0"/>
              <w:right w:val="single" w:color="auto" w:sz="6" w:space="0"/>
            </w:tcBorders>
            <w:noWrap w:val="0"/>
            <w:vAlign w:val="top"/>
          </w:tcPr>
          <w:p w14:paraId="69457CE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357" w:type="dxa"/>
            <w:tcBorders>
              <w:top w:val="single" w:color="auto" w:sz="6" w:space="0"/>
              <w:left w:val="single" w:color="auto" w:sz="6" w:space="0"/>
              <w:bottom w:val="single" w:color="auto" w:sz="6" w:space="0"/>
              <w:right w:val="single" w:color="auto" w:sz="6" w:space="0"/>
            </w:tcBorders>
            <w:noWrap w:val="0"/>
            <w:vAlign w:val="center"/>
          </w:tcPr>
          <w:p w14:paraId="12B8216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302" w:type="dxa"/>
            <w:tcBorders>
              <w:top w:val="single" w:color="auto" w:sz="6" w:space="0"/>
              <w:left w:val="single" w:color="auto" w:sz="6" w:space="0"/>
              <w:bottom w:val="single" w:color="auto" w:sz="6" w:space="0"/>
              <w:right w:val="single" w:color="auto" w:sz="6" w:space="0"/>
            </w:tcBorders>
            <w:noWrap w:val="0"/>
            <w:vAlign w:val="center"/>
          </w:tcPr>
          <w:p w14:paraId="36E393A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7C705B56">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45C2914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sz w:val="24"/>
                <w:szCs w:val="24"/>
              </w:rPr>
            </w:pPr>
          </w:p>
        </w:tc>
      </w:tr>
    </w:tbl>
    <w:p w14:paraId="1489A23C">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注：</w:t>
      </w:r>
    </w:p>
    <w:p w14:paraId="3663099E">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1、响应人提交的响应文件中与磋商文件第三部分</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项目需求说明</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中的技术</w:t>
      </w:r>
      <w:r>
        <w:rPr>
          <w:rFonts w:hint="eastAsia" w:ascii="Times New Roman" w:hAnsi="Times New Roman" w:eastAsia="宋体" w:cs="宋体"/>
          <w:sz w:val="24"/>
          <w:szCs w:val="24"/>
          <w:lang w:eastAsia="zh-CN"/>
        </w:rPr>
        <w:t>及商务</w:t>
      </w:r>
      <w:r>
        <w:rPr>
          <w:rFonts w:ascii="Times New Roman" w:hAnsi="Times New Roman" w:eastAsia="宋体" w:cs="宋体"/>
          <w:sz w:val="24"/>
          <w:szCs w:val="24"/>
        </w:rPr>
        <w:t>部分的要求有不同时，应逐条填列在偏离表中，否则将认为响应人接受磋商文件的所有要求。完全响应部分不填。</w:t>
      </w:r>
    </w:p>
    <w:p w14:paraId="4DE403EF">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2、</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偏离说明</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一栏选择</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正偏离</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负偏离</w:t>
      </w:r>
      <w:r>
        <w:rPr>
          <w:rFonts w:hint="eastAsia" w:ascii="Times New Roman" w:hAnsi="Times New Roman" w:eastAsia="宋体" w:cs="宋体"/>
          <w:sz w:val="24"/>
          <w:szCs w:val="24"/>
          <w:lang w:eastAsia="zh-CN"/>
        </w:rPr>
        <w:t>”</w:t>
      </w:r>
      <w:r>
        <w:rPr>
          <w:rFonts w:ascii="Times New Roman" w:hAnsi="Times New Roman" w:eastAsia="宋体" w:cs="宋体"/>
          <w:sz w:val="24"/>
          <w:szCs w:val="24"/>
        </w:rPr>
        <w:t>进行填写。正偏离的确认和负偏离的是否相应磋商文件，经三分之二评委认定。</w:t>
      </w:r>
    </w:p>
    <w:p w14:paraId="5CB36D5C">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3、响应人如果虚假响应，将承担一切可能的风险。</w:t>
      </w:r>
    </w:p>
    <w:p w14:paraId="60163FF7">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4、供应商若提供其他增值服务，可以在表中自行据实填写。</w:t>
      </w:r>
    </w:p>
    <w:p w14:paraId="42AC6E95">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p>
    <w:p w14:paraId="186DF948">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p>
    <w:p w14:paraId="4F4AEC50">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供应商名称（盖章）：</w:t>
      </w:r>
    </w:p>
    <w:p w14:paraId="08357CBE">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hint="eastAsia" w:ascii="Times New Roman" w:hAnsi="Times New Roman" w:eastAsia="宋体" w:cs="宋体"/>
          <w:sz w:val="24"/>
          <w:szCs w:val="24"/>
        </w:rPr>
        <w:t>法人或授权委托人（签字或盖章）：</w:t>
      </w:r>
    </w:p>
    <w:p w14:paraId="1D26B32F">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sz w:val="24"/>
          <w:szCs w:val="24"/>
        </w:rPr>
      </w:pPr>
      <w:r>
        <w:rPr>
          <w:rFonts w:ascii="Times New Roman" w:hAnsi="Times New Roman" w:eastAsia="宋体" w:cs="宋体"/>
          <w:sz w:val="24"/>
          <w:szCs w:val="24"/>
        </w:rPr>
        <w:t>日期：</w:t>
      </w:r>
    </w:p>
    <w:p w14:paraId="6057A296">
      <w:pPr>
        <w:rPr>
          <w:rFonts w:hint="eastAsia" w:ascii="Times New Roman" w:hAnsi="Times New Roman" w:eastAsia="宋体" w:cs="宋体"/>
          <w:b/>
          <w:sz w:val="24"/>
          <w:szCs w:val="24"/>
          <w:lang w:val="en-US" w:eastAsia="zh-CN"/>
        </w:rPr>
      </w:pPr>
    </w:p>
    <w:p w14:paraId="2B9F3D50">
      <w:pPr>
        <w:rPr>
          <w:rFonts w:hint="eastAsia" w:ascii="Times New Roman" w:hAnsi="Times New Roman" w:eastAsia="宋体" w:cs="宋体"/>
          <w:b/>
          <w:sz w:val="24"/>
          <w:szCs w:val="24"/>
          <w:lang w:val="en-US" w:eastAsia="zh-CN"/>
        </w:rPr>
      </w:pPr>
      <w:r>
        <w:rPr>
          <w:rFonts w:hint="eastAsia" w:ascii="Times New Roman" w:hAnsi="Times New Roman" w:eastAsia="宋体" w:cs="宋体"/>
          <w:b/>
          <w:sz w:val="24"/>
          <w:szCs w:val="24"/>
          <w:lang w:val="en-US" w:eastAsia="zh-CN"/>
        </w:rPr>
        <w:br w:type="page"/>
      </w:r>
    </w:p>
    <w:p w14:paraId="458D3AD3">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rPr>
      </w:pPr>
      <w:r>
        <w:rPr>
          <w:rFonts w:hint="eastAsia" w:ascii="Times New Roman" w:hAnsi="Times New Roman" w:eastAsia="宋体" w:cs="宋体"/>
          <w:b/>
          <w:sz w:val="24"/>
          <w:szCs w:val="24"/>
          <w:lang w:val="en-US" w:eastAsia="zh-CN"/>
        </w:rPr>
        <w:t>8</w:t>
      </w:r>
      <w:r>
        <w:rPr>
          <w:rFonts w:hint="eastAsia" w:ascii="Times New Roman" w:hAnsi="Times New Roman" w:eastAsia="宋体" w:cs="宋体"/>
          <w:b/>
          <w:sz w:val="24"/>
          <w:szCs w:val="24"/>
        </w:rPr>
        <w:t>、磋商响应报价表</w:t>
      </w:r>
    </w:p>
    <w:p w14:paraId="3CF2F475">
      <w:pPr>
        <w:keepNext w:val="0"/>
        <w:keepLines w:val="0"/>
        <w:pageBreakBefore w:val="0"/>
        <w:widowControl w:val="0"/>
        <w:kinsoku/>
        <w:wordWrap/>
        <w:topLinePunct w:val="0"/>
        <w:autoSpaceDE/>
        <w:autoSpaceDN/>
        <w:bidi w:val="0"/>
        <w:spacing w:line="360" w:lineRule="auto"/>
        <w:ind w:firstLine="241" w:firstLineChars="100"/>
        <w:textAlignment w:val="baseline"/>
        <w:rPr>
          <w:rFonts w:hint="eastAsia" w:ascii="Times New Roman" w:hAnsi="Times New Roman" w:eastAsia="宋体"/>
          <w:b/>
          <w:sz w:val="24"/>
          <w:szCs w:val="24"/>
          <w:lang w:eastAsia="zh-CN"/>
        </w:rPr>
      </w:pPr>
      <w:r>
        <w:rPr>
          <w:rFonts w:hint="eastAsia" w:ascii="Times New Roman" w:hAnsi="Times New Roman" w:eastAsia="宋体"/>
          <w:b/>
          <w:sz w:val="24"/>
          <w:szCs w:val="24"/>
        </w:rPr>
        <w:t>项目</w:t>
      </w:r>
      <w:r>
        <w:rPr>
          <w:rFonts w:ascii="Times New Roman" w:hAnsi="Times New Roman" w:eastAsia="宋体"/>
          <w:b/>
          <w:sz w:val="24"/>
          <w:szCs w:val="24"/>
        </w:rPr>
        <w:t>名称：</w:t>
      </w:r>
      <w:r>
        <w:rPr>
          <w:rFonts w:hint="eastAsia" w:ascii="Times New Roman" w:hAnsi="Times New Roman" w:eastAsia="宋体"/>
          <w:sz w:val="24"/>
          <w:szCs w:val="24"/>
          <w:lang w:eastAsia="zh-CN"/>
        </w:rPr>
        <w:t>南通市第三人民医院等保测评服务项目</w:t>
      </w:r>
    </w:p>
    <w:tbl>
      <w:tblPr>
        <w:tblStyle w:val="24"/>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180"/>
        <w:gridCol w:w="1945"/>
        <w:gridCol w:w="3855"/>
        <w:gridCol w:w="806"/>
      </w:tblGrid>
      <w:tr w14:paraId="621FB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61D7714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序号</w:t>
            </w:r>
          </w:p>
        </w:tc>
        <w:tc>
          <w:tcPr>
            <w:tcW w:w="2180" w:type="dxa"/>
            <w:tcBorders>
              <w:top w:val="single" w:color="auto" w:sz="4" w:space="0"/>
              <w:left w:val="single" w:color="auto" w:sz="4" w:space="0"/>
              <w:bottom w:val="single" w:color="auto" w:sz="4" w:space="0"/>
              <w:right w:val="single" w:color="auto" w:sz="4" w:space="0"/>
            </w:tcBorders>
            <w:vAlign w:val="center"/>
          </w:tcPr>
          <w:p w14:paraId="4F511CAE">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项目内容</w:t>
            </w:r>
          </w:p>
        </w:tc>
        <w:tc>
          <w:tcPr>
            <w:tcW w:w="1945" w:type="dxa"/>
            <w:tcBorders>
              <w:top w:val="single" w:color="auto" w:sz="4" w:space="0"/>
              <w:left w:val="single" w:color="auto" w:sz="4" w:space="0"/>
              <w:bottom w:val="single" w:color="auto" w:sz="4" w:space="0"/>
              <w:right w:val="single" w:color="auto" w:sz="4" w:space="0"/>
            </w:tcBorders>
            <w:vAlign w:val="center"/>
          </w:tcPr>
          <w:p w14:paraId="15FA823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14:paraId="3EBC2FE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磋商总报价</w:t>
            </w:r>
            <w:r>
              <w:rPr>
                <w:rFonts w:hint="eastAsia" w:ascii="Times New Roman" w:hAnsi="Times New Roman"/>
                <w:b/>
                <w:sz w:val="24"/>
                <w:szCs w:val="24"/>
              </w:rPr>
              <w:t>（元）</w:t>
            </w:r>
          </w:p>
        </w:tc>
        <w:tc>
          <w:tcPr>
            <w:tcW w:w="806" w:type="dxa"/>
            <w:tcBorders>
              <w:top w:val="single" w:color="auto" w:sz="4" w:space="0"/>
              <w:left w:val="single" w:color="auto" w:sz="4" w:space="0"/>
              <w:bottom w:val="single" w:color="auto" w:sz="4" w:space="0"/>
              <w:right w:val="single" w:color="auto" w:sz="4" w:space="0"/>
            </w:tcBorders>
            <w:vAlign w:val="center"/>
          </w:tcPr>
          <w:p w14:paraId="52D8479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sz w:val="24"/>
                <w:szCs w:val="24"/>
              </w:rPr>
            </w:pPr>
            <w:r>
              <w:rPr>
                <w:rFonts w:hint="eastAsia" w:ascii="Times New Roman" w:hAnsi="Times New Roman" w:eastAsia="宋体"/>
                <w:b/>
                <w:sz w:val="24"/>
                <w:szCs w:val="24"/>
              </w:rPr>
              <w:t>备注</w:t>
            </w:r>
          </w:p>
        </w:tc>
      </w:tr>
      <w:tr w14:paraId="236E9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47E223D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1</w:t>
            </w:r>
          </w:p>
        </w:tc>
        <w:tc>
          <w:tcPr>
            <w:tcW w:w="2180" w:type="dxa"/>
            <w:vMerge w:val="restart"/>
            <w:tcBorders>
              <w:top w:val="single" w:color="auto" w:sz="4" w:space="0"/>
              <w:left w:val="single" w:color="auto" w:sz="4" w:space="0"/>
              <w:right w:val="single" w:color="auto" w:sz="4" w:space="0"/>
            </w:tcBorders>
            <w:vAlign w:val="center"/>
          </w:tcPr>
          <w:p w14:paraId="31FA80EF">
            <w:pPr>
              <w:keepNext w:val="0"/>
              <w:keepLines w:val="0"/>
              <w:pageBreakBefore w:val="0"/>
              <w:widowControl w:val="0"/>
              <w:kinsoku/>
              <w:wordWrap/>
              <w:topLinePunct w:val="0"/>
              <w:autoSpaceDE/>
              <w:autoSpaceDN/>
              <w:bidi w:val="0"/>
              <w:spacing w:line="360" w:lineRule="auto"/>
              <w:textAlignment w:val="baseline"/>
              <w:rPr>
                <w:rFonts w:hint="eastAsia" w:ascii="Times New Roman" w:hAnsi="Times New Roman" w:eastAsia="宋体"/>
                <w:b/>
                <w:bCs/>
                <w:sz w:val="20"/>
                <w:szCs w:val="21"/>
                <w:lang w:eastAsia="zh-CN"/>
              </w:rPr>
            </w:pPr>
            <w:r>
              <w:rPr>
                <w:rFonts w:hint="eastAsia" w:ascii="Times New Roman" w:hAnsi="Times New Roman" w:eastAsia="宋体"/>
                <w:b/>
                <w:sz w:val="24"/>
                <w:szCs w:val="24"/>
                <w:lang w:eastAsia="zh-CN"/>
              </w:rPr>
              <w:t>南通市第三人民医院等保测评服务项目</w:t>
            </w:r>
          </w:p>
        </w:tc>
        <w:tc>
          <w:tcPr>
            <w:tcW w:w="1945" w:type="dxa"/>
            <w:tcBorders>
              <w:top w:val="single" w:color="auto" w:sz="4" w:space="0"/>
              <w:left w:val="single" w:color="auto" w:sz="4" w:space="0"/>
              <w:bottom w:val="single" w:color="auto" w:sz="4" w:space="0"/>
              <w:right w:val="single" w:color="auto" w:sz="4" w:space="0"/>
            </w:tcBorders>
            <w:vAlign w:val="center"/>
          </w:tcPr>
          <w:p w14:paraId="68E8449A">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首次</w:t>
            </w:r>
            <w:r>
              <w:rPr>
                <w:rFonts w:ascii="Times New Roman" w:hAnsi="Times New Roman" w:eastAsia="宋体"/>
                <w:bCs/>
                <w:sz w:val="24"/>
                <w:szCs w:val="24"/>
              </w:rPr>
              <w:t>报价</w:t>
            </w:r>
          </w:p>
        </w:tc>
        <w:tc>
          <w:tcPr>
            <w:tcW w:w="3855" w:type="dxa"/>
            <w:tcBorders>
              <w:top w:val="single" w:color="auto" w:sz="4" w:space="0"/>
              <w:left w:val="single" w:color="auto" w:sz="4" w:space="0"/>
              <w:bottom w:val="single" w:color="auto" w:sz="4" w:space="0"/>
              <w:right w:val="single" w:color="auto" w:sz="4" w:space="0"/>
            </w:tcBorders>
            <w:vAlign w:val="center"/>
          </w:tcPr>
          <w:p w14:paraId="572A8FB9">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14:paraId="14360A7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14:paraId="039D738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p>
        </w:tc>
      </w:tr>
      <w:tr w14:paraId="58DF0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2E83C40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sz w:val="24"/>
                <w:szCs w:val="24"/>
              </w:rPr>
            </w:pPr>
            <w:r>
              <w:rPr>
                <w:rFonts w:hint="eastAsia" w:ascii="Times New Roman" w:hAnsi="Times New Roman" w:eastAsia="宋体"/>
                <w:bCs/>
                <w:sz w:val="24"/>
                <w:szCs w:val="24"/>
              </w:rPr>
              <w:t>2</w:t>
            </w:r>
          </w:p>
        </w:tc>
        <w:tc>
          <w:tcPr>
            <w:tcW w:w="2180" w:type="dxa"/>
            <w:vMerge w:val="continue"/>
            <w:tcBorders>
              <w:left w:val="single" w:color="auto" w:sz="4" w:space="0"/>
              <w:right w:val="single" w:color="auto" w:sz="4" w:space="0"/>
            </w:tcBorders>
            <w:vAlign w:val="center"/>
          </w:tcPr>
          <w:p w14:paraId="2FB6079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sz w:val="24"/>
                <w:szCs w:val="24"/>
              </w:rPr>
            </w:pPr>
          </w:p>
        </w:tc>
        <w:tc>
          <w:tcPr>
            <w:tcW w:w="1945" w:type="dxa"/>
            <w:tcBorders>
              <w:top w:val="single" w:color="auto" w:sz="4" w:space="0"/>
              <w:left w:val="single" w:color="auto" w:sz="4" w:space="0"/>
              <w:bottom w:val="single" w:color="auto" w:sz="4" w:space="0"/>
              <w:right w:val="single" w:color="auto" w:sz="4" w:space="0"/>
            </w:tcBorders>
            <w:vAlign w:val="center"/>
          </w:tcPr>
          <w:p w14:paraId="70C67EB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Cs/>
                <w:sz w:val="24"/>
                <w:szCs w:val="24"/>
              </w:rPr>
            </w:pPr>
            <w:r>
              <w:rPr>
                <w:rFonts w:hint="eastAsia" w:ascii="Times New Roman" w:hAnsi="Times New Roman" w:eastAsia="宋体"/>
                <w:bCs/>
                <w:sz w:val="24"/>
                <w:szCs w:val="24"/>
              </w:rPr>
              <w:t>第二次</w:t>
            </w:r>
            <w:r>
              <w:rPr>
                <w:rFonts w:ascii="Times New Roman" w:hAnsi="Times New Roman" w:eastAsia="宋体"/>
                <w:bCs/>
                <w:sz w:val="24"/>
                <w:szCs w:val="24"/>
              </w:rPr>
              <w:t>报价</w:t>
            </w:r>
            <w:r>
              <w:rPr>
                <w:rFonts w:hint="eastAsia" w:ascii="Times New Roman" w:hAnsi="Times New Roman" w:eastAsia="宋体"/>
                <w:bCs/>
                <w:sz w:val="24"/>
                <w:szCs w:val="24"/>
              </w:rPr>
              <w:t>（开标现场填写）</w:t>
            </w:r>
          </w:p>
        </w:tc>
        <w:tc>
          <w:tcPr>
            <w:tcW w:w="3855" w:type="dxa"/>
            <w:tcBorders>
              <w:top w:val="single" w:color="auto" w:sz="4" w:space="0"/>
              <w:left w:val="single" w:color="auto" w:sz="4" w:space="0"/>
              <w:bottom w:val="single" w:color="auto" w:sz="4" w:space="0"/>
              <w:right w:val="single" w:color="auto" w:sz="4" w:space="0"/>
            </w:tcBorders>
            <w:vAlign w:val="center"/>
          </w:tcPr>
          <w:p w14:paraId="4EA88764">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大写（人民币）：</w:t>
            </w:r>
          </w:p>
          <w:p w14:paraId="40BB3A81">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r>
              <w:rPr>
                <w:rFonts w:hint="eastAsia" w:ascii="Times New Roman" w:hAnsi="Times New Roman" w:eastAsia="宋体"/>
                <w:sz w:val="24"/>
                <w:szCs w:val="24"/>
              </w:rPr>
              <w:t>小写（￥）：</w:t>
            </w:r>
          </w:p>
        </w:tc>
        <w:tc>
          <w:tcPr>
            <w:tcW w:w="806" w:type="dxa"/>
            <w:tcBorders>
              <w:top w:val="single" w:color="auto" w:sz="4" w:space="0"/>
              <w:left w:val="single" w:color="auto" w:sz="4" w:space="0"/>
              <w:bottom w:val="single" w:color="auto" w:sz="4" w:space="0"/>
              <w:right w:val="single" w:color="auto" w:sz="4" w:space="0"/>
            </w:tcBorders>
            <w:vAlign w:val="center"/>
          </w:tcPr>
          <w:p w14:paraId="1651A4E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4"/>
                <w:szCs w:val="24"/>
              </w:rPr>
            </w:pPr>
          </w:p>
        </w:tc>
      </w:tr>
    </w:tbl>
    <w:p w14:paraId="1AE0BD19">
      <w:pPr>
        <w:keepNext w:val="0"/>
        <w:keepLines w:val="0"/>
        <w:pageBreakBefore w:val="0"/>
        <w:widowControl w:val="0"/>
        <w:kinsoku/>
        <w:wordWrap/>
        <w:topLinePunct w:val="0"/>
        <w:autoSpaceDE/>
        <w:autoSpaceDN/>
        <w:bidi w:val="0"/>
        <w:spacing w:line="360" w:lineRule="auto"/>
        <w:ind w:firstLine="2640" w:firstLineChars="1100"/>
        <w:textAlignment w:val="baseline"/>
        <w:rPr>
          <w:rFonts w:ascii="Times New Roman" w:hAnsi="Times New Roman" w:eastAsia="宋体"/>
          <w:sz w:val="24"/>
          <w:szCs w:val="24"/>
        </w:rPr>
      </w:pPr>
      <w:r>
        <w:rPr>
          <w:rFonts w:hint="eastAsia" w:ascii="Times New Roman" w:hAnsi="Times New Roman" w:eastAsia="宋体"/>
          <w:sz w:val="24"/>
          <w:szCs w:val="24"/>
        </w:rPr>
        <w:t>竞争性磋商响应单位：（加盖公章）</w:t>
      </w:r>
    </w:p>
    <w:p w14:paraId="22CDA91C">
      <w:pPr>
        <w:keepNext w:val="0"/>
        <w:keepLines w:val="0"/>
        <w:pageBreakBefore w:val="0"/>
        <w:widowControl w:val="0"/>
        <w:kinsoku/>
        <w:wordWrap/>
        <w:topLinePunct w:val="0"/>
        <w:autoSpaceDE/>
        <w:autoSpaceDN/>
        <w:bidi w:val="0"/>
        <w:spacing w:line="360" w:lineRule="auto"/>
        <w:ind w:firstLine="3480" w:firstLineChars="1450"/>
        <w:textAlignment w:val="baseline"/>
        <w:rPr>
          <w:rFonts w:ascii="Times New Roman" w:hAnsi="Times New Roman" w:eastAsia="宋体"/>
          <w:sz w:val="24"/>
          <w:szCs w:val="24"/>
        </w:rPr>
      </w:pPr>
      <w:r>
        <w:rPr>
          <w:rFonts w:hint="eastAsia" w:ascii="Times New Roman" w:hAnsi="Times New Roman" w:eastAsia="宋体"/>
          <w:sz w:val="24"/>
          <w:szCs w:val="24"/>
        </w:rPr>
        <w:t>法定代表人：（签字或盖章）</w:t>
      </w:r>
    </w:p>
    <w:p w14:paraId="313797E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sz w:val="20"/>
        </w:rPr>
      </w:pPr>
    </w:p>
    <w:p w14:paraId="5E4CED0F">
      <w:pPr>
        <w:pStyle w:val="2"/>
        <w:keepNext w:val="0"/>
        <w:keepLines w:val="0"/>
        <w:pageBreakBefore w:val="0"/>
        <w:widowControl w:val="0"/>
        <w:kinsoku/>
        <w:wordWrap/>
        <w:topLinePunct w:val="0"/>
        <w:autoSpaceDE/>
        <w:autoSpaceDN/>
        <w:bidi w:val="0"/>
        <w:spacing w:line="360" w:lineRule="auto"/>
        <w:ind w:firstLine="5400" w:firstLineChars="2250"/>
        <w:jc w:val="left"/>
        <w:textAlignment w:val="baseline"/>
        <w:rPr>
          <w:rFonts w:ascii="Times New Roman" w:hAnsi="Times New Roman" w:eastAsia="宋体" w:cs="宋体"/>
          <w:b/>
          <w:bCs/>
          <w:sz w:val="24"/>
          <w:szCs w:val="24"/>
        </w:rPr>
      </w:pPr>
      <w:r>
        <w:rPr>
          <w:rFonts w:hint="eastAsia" w:ascii="Times New Roman" w:hAnsi="Times New Roman" w:eastAsia="宋体" w:cs="宋体"/>
          <w:sz w:val="24"/>
          <w:szCs w:val="24"/>
        </w:rPr>
        <w:t>年月日</w:t>
      </w:r>
    </w:p>
    <w:p w14:paraId="5938DC34">
      <w:pPr>
        <w:pStyle w:val="2"/>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sz w:val="24"/>
          <w:szCs w:val="24"/>
        </w:rPr>
      </w:pPr>
    </w:p>
    <w:p w14:paraId="1195DA9F">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sz w:val="24"/>
          <w:szCs w:val="24"/>
        </w:rPr>
      </w:pPr>
    </w:p>
    <w:p w14:paraId="2D7A0F9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sz w:val="24"/>
          <w:szCs w:val="24"/>
        </w:rPr>
      </w:pPr>
      <w:r>
        <w:rPr>
          <w:rFonts w:hint="eastAsia" w:ascii="Times New Roman" w:hAnsi="Times New Roman" w:eastAsia="宋体"/>
          <w:b/>
          <w:sz w:val="24"/>
          <w:szCs w:val="24"/>
        </w:rPr>
        <w:t>注：</w:t>
      </w:r>
    </w:p>
    <w:p w14:paraId="7A591F9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sz w:val="24"/>
          <w:szCs w:val="24"/>
        </w:rPr>
      </w:pPr>
      <w:r>
        <w:rPr>
          <w:rFonts w:hint="eastAsia" w:ascii="Times New Roman" w:hAnsi="Times New Roman" w:eastAsia="宋体"/>
          <w:sz w:val="24"/>
          <w:szCs w:val="24"/>
        </w:rPr>
        <w:t>（1）</w:t>
      </w:r>
      <w:r>
        <w:rPr>
          <w:rFonts w:ascii="Times New Roman" w:hAnsi="Times New Roman" w:eastAsia="宋体"/>
          <w:sz w:val="24"/>
          <w:szCs w:val="24"/>
        </w:rPr>
        <w:t>本表</w:t>
      </w:r>
      <w:r>
        <w:rPr>
          <w:rFonts w:hint="eastAsia" w:ascii="Times New Roman" w:hAnsi="Times New Roman" w:eastAsia="宋体"/>
          <w:sz w:val="24"/>
          <w:szCs w:val="24"/>
        </w:rPr>
        <w:t>为格式表</w:t>
      </w:r>
      <w:r>
        <w:rPr>
          <w:rFonts w:ascii="Times New Roman" w:hAnsi="Times New Roman" w:eastAsia="宋体"/>
          <w:sz w:val="24"/>
          <w:szCs w:val="24"/>
        </w:rPr>
        <w:t>，</w:t>
      </w:r>
      <w:r>
        <w:rPr>
          <w:rFonts w:hint="eastAsia" w:ascii="Times New Roman" w:hAnsi="Times New Roman" w:eastAsia="宋体"/>
          <w:sz w:val="24"/>
          <w:szCs w:val="24"/>
        </w:rPr>
        <w:t>不得自行改动，必须提供</w:t>
      </w:r>
      <w:r>
        <w:rPr>
          <w:rFonts w:ascii="Times New Roman" w:hAnsi="Times New Roman" w:eastAsia="宋体"/>
          <w:sz w:val="24"/>
          <w:szCs w:val="24"/>
        </w:rPr>
        <w:t>。</w:t>
      </w:r>
    </w:p>
    <w:p w14:paraId="1023D42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sz w:val="24"/>
          <w:szCs w:val="24"/>
        </w:rPr>
      </w:pPr>
      <w:r>
        <w:rPr>
          <w:rFonts w:hint="eastAsia" w:ascii="Times New Roman" w:hAnsi="Times New Roman" w:eastAsia="宋体" w:cs="宋体"/>
          <w:sz w:val="24"/>
          <w:szCs w:val="24"/>
        </w:rPr>
        <w:t>（2）磋商报价的总价中应包含：完成本项目所需的一切费用，</w:t>
      </w:r>
      <w:r>
        <w:rPr>
          <w:rFonts w:hint="eastAsia" w:ascii="Times New Roman" w:hAnsi="Times New Roman" w:eastAsia="宋体"/>
          <w:bCs/>
          <w:sz w:val="24"/>
          <w:szCs w:val="24"/>
          <w:lang w:eastAsia="zh-CN"/>
        </w:rPr>
        <w:t>包含但不限于</w:t>
      </w:r>
      <w:r>
        <w:rPr>
          <w:rFonts w:hint="eastAsia" w:ascii="Times New Roman" w:hAnsi="Times New Roman" w:eastAsia="宋体" w:cs="宋体"/>
          <w:sz w:val="24"/>
          <w:szCs w:val="24"/>
          <w:lang w:eastAsia="zh-CN"/>
        </w:rPr>
        <w:t>测评</w:t>
      </w:r>
      <w:r>
        <w:rPr>
          <w:rFonts w:hint="eastAsia" w:ascii="Times New Roman" w:hAnsi="Times New Roman" w:eastAsia="宋体" w:cs="宋体"/>
          <w:sz w:val="24"/>
          <w:szCs w:val="24"/>
        </w:rPr>
        <w:t>服务费、</w:t>
      </w:r>
      <w:r>
        <w:rPr>
          <w:rFonts w:hint="eastAsia" w:ascii="Times New Roman" w:hAnsi="Times New Roman" w:eastAsia="宋体"/>
          <w:bCs/>
          <w:sz w:val="24"/>
          <w:szCs w:val="24"/>
        </w:rPr>
        <w:t>成本、利润、税金、开办费、政策性调整风险费等的所有费用；</w:t>
      </w:r>
      <w:r>
        <w:rPr>
          <w:rFonts w:hint="eastAsia" w:ascii="Times New Roman" w:hAnsi="Times New Roman" w:eastAsia="宋体" w:cs="宋体"/>
          <w:sz w:val="24"/>
          <w:szCs w:val="24"/>
        </w:rPr>
        <w:t>辅材费、</w:t>
      </w:r>
      <w:r>
        <w:rPr>
          <w:rFonts w:hint="eastAsia" w:ascii="Times New Roman" w:hAnsi="Times New Roman" w:eastAsia="宋体"/>
          <w:bCs/>
          <w:sz w:val="24"/>
          <w:szCs w:val="24"/>
        </w:rPr>
        <w:t>人工费、检测费、管理费；国家税务部门规定的各项税金；相关伴随服务以及售后服务等一切费用</w:t>
      </w:r>
      <w:r>
        <w:rPr>
          <w:rFonts w:hint="eastAsia" w:ascii="Times New Roman" w:hAnsi="Times New Roman" w:eastAsia="宋体" w:cs="宋体"/>
          <w:sz w:val="24"/>
          <w:szCs w:val="24"/>
        </w:rPr>
        <w:t>。同时，报价也包含了合同履行过程中可能发生的一切风险。</w:t>
      </w:r>
    </w:p>
    <w:p w14:paraId="39B82C56">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sz w:val="24"/>
          <w:szCs w:val="24"/>
        </w:rPr>
      </w:pPr>
      <w:r>
        <w:rPr>
          <w:rFonts w:hint="eastAsia" w:ascii="Times New Roman" w:hAnsi="Times New Roman" w:eastAsia="宋体"/>
          <w:b/>
          <w:sz w:val="24"/>
          <w:szCs w:val="24"/>
        </w:rPr>
        <w:t>（3）</w:t>
      </w:r>
      <w:r>
        <w:rPr>
          <w:rFonts w:hint="eastAsia" w:ascii="Times New Roman" w:hAnsi="Times New Roman" w:eastAsia="宋体"/>
          <w:b/>
          <w:color w:val="000000" w:themeColor="text1"/>
          <w:sz w:val="24"/>
          <w:szCs w:val="24"/>
          <w14:textFill>
            <w14:solidFill>
              <w14:schemeClr w14:val="tx1"/>
            </w14:solidFill>
          </w14:textFill>
        </w:rPr>
        <w:t>第二次报价将在开标现场填写，响应文件密封提交时只需填写磋商报价总计（首次）。</w:t>
      </w:r>
      <w:r>
        <w:rPr>
          <w:rFonts w:hint="eastAsia" w:ascii="Times New Roman" w:hAnsi="Times New Roman" w:eastAsia="宋体"/>
          <w:b/>
          <w:bCs/>
          <w:sz w:val="24"/>
          <w:szCs w:val="24"/>
        </w:rPr>
        <w:t>报价明细表总价金额</w:t>
      </w:r>
      <w:r>
        <w:rPr>
          <w:rFonts w:hint="eastAsia" w:ascii="Times New Roman" w:hAnsi="Times New Roman" w:eastAsia="宋体"/>
          <w:b/>
          <w:color w:val="000000" w:themeColor="text1"/>
          <w:sz w:val="24"/>
          <w:szCs w:val="24"/>
          <w14:textFill>
            <w14:solidFill>
              <w14:schemeClr w14:val="tx1"/>
            </w14:solidFill>
          </w14:textFill>
        </w:rPr>
        <w:t>应当与首次报价表金额相等，且第二次报价时，磋商响应报价明细表按同比例下浮。</w:t>
      </w:r>
    </w:p>
    <w:p w14:paraId="0D8137EC">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sz w:val="24"/>
          <w:szCs w:val="24"/>
        </w:rPr>
      </w:pPr>
      <w:r>
        <w:rPr>
          <w:rFonts w:ascii="Times New Roman" w:hAnsi="Times New Roman" w:eastAsia="宋体"/>
          <w:b/>
          <w:sz w:val="24"/>
          <w:szCs w:val="24"/>
        </w:rPr>
        <w:br w:type="page"/>
      </w:r>
    </w:p>
    <w:p w14:paraId="7B2CABD5">
      <w:pPr>
        <w:keepNext w:val="0"/>
        <w:keepLines w:val="0"/>
        <w:pageBreakBefore w:val="0"/>
        <w:widowControl w:val="0"/>
        <w:numPr>
          <w:ilvl w:val="0"/>
          <w:numId w:val="0"/>
        </w:numPr>
        <w:kinsoku/>
        <w:wordWrap/>
        <w:topLinePunct w:val="0"/>
        <w:autoSpaceDE/>
        <w:autoSpaceDN/>
        <w:bidi w:val="0"/>
        <w:spacing w:line="360" w:lineRule="auto"/>
        <w:jc w:val="center"/>
        <w:rPr>
          <w:rFonts w:ascii="Times New Roman" w:hAnsi="Times New Roman" w:eastAsia="宋体" w:cs="宋体"/>
          <w:b/>
          <w:sz w:val="24"/>
          <w:szCs w:val="24"/>
        </w:rPr>
      </w:pPr>
      <w:r>
        <w:rPr>
          <w:rFonts w:hint="eastAsia" w:ascii="Times New Roman" w:hAnsi="Times New Roman" w:eastAsia="宋体" w:cs="宋体"/>
          <w:b/>
          <w:sz w:val="24"/>
          <w:szCs w:val="24"/>
          <w:lang w:val="en-US" w:eastAsia="zh-CN"/>
        </w:rPr>
        <w:t>9、</w:t>
      </w:r>
      <w:r>
        <w:rPr>
          <w:rFonts w:hint="eastAsia" w:ascii="Times New Roman" w:hAnsi="Times New Roman" w:eastAsia="宋体" w:cs="宋体"/>
          <w:b/>
          <w:sz w:val="24"/>
          <w:szCs w:val="24"/>
        </w:rPr>
        <w:t>磋商响应报价明细表</w:t>
      </w:r>
    </w:p>
    <w:p w14:paraId="6BA8BFFC">
      <w:pPr>
        <w:spacing w:line="360" w:lineRule="auto"/>
        <w:rPr>
          <w:rFonts w:hint="eastAsia" w:ascii="Times New Roman" w:hAnsi="Times New Roman" w:eastAsia="宋体"/>
          <w:bCs/>
          <w:sz w:val="24"/>
          <w:szCs w:val="24"/>
        </w:rPr>
      </w:pPr>
      <w:r>
        <w:rPr>
          <w:rFonts w:hint="eastAsia"/>
          <w:sz w:val="24"/>
          <w:szCs w:val="24"/>
        </w:rPr>
        <w:t>项目名称：</w:t>
      </w:r>
      <w:r>
        <w:rPr>
          <w:rFonts w:hint="eastAsia"/>
          <w:sz w:val="24"/>
          <w:szCs w:val="24"/>
          <w:lang w:eastAsia="zh-CN"/>
        </w:rPr>
        <w:t>南通市第三人民医院等保测评服务项目</w:t>
      </w:r>
    </w:p>
    <w:tbl>
      <w:tblPr>
        <w:tblStyle w:val="24"/>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754"/>
        <w:gridCol w:w="1582"/>
        <w:gridCol w:w="1091"/>
        <w:gridCol w:w="1391"/>
        <w:gridCol w:w="1309"/>
      </w:tblGrid>
      <w:tr w14:paraId="7012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5" w:type="dxa"/>
            <w:tcBorders>
              <w:tl2br w:val="nil"/>
              <w:tr2bl w:val="nil"/>
            </w:tcBorders>
            <w:noWrap w:val="0"/>
            <w:vAlign w:val="center"/>
          </w:tcPr>
          <w:p w14:paraId="70FF239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754" w:type="dxa"/>
            <w:tcBorders>
              <w:tl2br w:val="nil"/>
              <w:tr2bl w:val="nil"/>
            </w:tcBorders>
            <w:noWrap w:val="0"/>
            <w:vAlign w:val="center"/>
          </w:tcPr>
          <w:p w14:paraId="531733A4">
            <w:pPr>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kern w:val="0"/>
                <w:sz w:val="24"/>
                <w:szCs w:val="24"/>
                <w:lang w:val="zh-CN"/>
              </w:rPr>
              <w:t>被测评系统名称</w:t>
            </w:r>
          </w:p>
        </w:tc>
        <w:tc>
          <w:tcPr>
            <w:tcW w:w="1582" w:type="dxa"/>
            <w:tcBorders>
              <w:tl2br w:val="nil"/>
              <w:tr2bl w:val="nil"/>
            </w:tcBorders>
            <w:noWrap w:val="0"/>
            <w:vAlign w:val="center"/>
          </w:tcPr>
          <w:p w14:paraId="430D15A7">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kern w:val="0"/>
                <w:sz w:val="24"/>
                <w:szCs w:val="24"/>
                <w:lang w:val="zh-CN"/>
              </w:rPr>
              <w:t>保护等级</w:t>
            </w:r>
          </w:p>
        </w:tc>
        <w:tc>
          <w:tcPr>
            <w:tcW w:w="1091" w:type="dxa"/>
            <w:tcBorders>
              <w:tl2br w:val="nil"/>
              <w:tr2bl w:val="nil"/>
            </w:tcBorders>
            <w:noWrap w:val="0"/>
            <w:vAlign w:val="center"/>
          </w:tcPr>
          <w:p w14:paraId="2C176D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91" w:type="dxa"/>
            <w:tcBorders>
              <w:tl2br w:val="nil"/>
              <w:tr2bl w:val="nil"/>
            </w:tcBorders>
            <w:noWrap w:val="0"/>
            <w:vAlign w:val="center"/>
          </w:tcPr>
          <w:p w14:paraId="71C1BB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综合</w:t>
            </w:r>
            <w:r>
              <w:rPr>
                <w:rFonts w:hint="eastAsia" w:ascii="宋体" w:hAnsi="宋体" w:eastAsia="宋体" w:cs="宋体"/>
                <w:color w:val="000000"/>
                <w:kern w:val="0"/>
                <w:sz w:val="24"/>
                <w:szCs w:val="24"/>
              </w:rPr>
              <w:t>单价</w:t>
            </w:r>
          </w:p>
        </w:tc>
        <w:tc>
          <w:tcPr>
            <w:tcW w:w="1309" w:type="dxa"/>
            <w:tcBorders>
              <w:tl2br w:val="nil"/>
              <w:tr2bl w:val="nil"/>
            </w:tcBorders>
            <w:noWrap w:val="0"/>
            <w:vAlign w:val="center"/>
          </w:tcPr>
          <w:p w14:paraId="120ABB64">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综合合价</w:t>
            </w:r>
          </w:p>
        </w:tc>
      </w:tr>
      <w:tr w14:paraId="2AA3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5" w:type="dxa"/>
            <w:tcBorders>
              <w:tl2br w:val="nil"/>
              <w:tr2bl w:val="nil"/>
            </w:tcBorders>
            <w:noWrap w:val="0"/>
            <w:vAlign w:val="center"/>
          </w:tcPr>
          <w:p w14:paraId="60E445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754" w:type="dxa"/>
            <w:tcBorders>
              <w:tl2br w:val="nil"/>
              <w:tr2bl w:val="nil"/>
            </w:tcBorders>
            <w:noWrap w:val="0"/>
            <w:vAlign w:val="center"/>
          </w:tcPr>
          <w:p w14:paraId="2B541B0E">
            <w:pPr>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kern w:val="0"/>
                <w:sz w:val="24"/>
                <w:szCs w:val="24"/>
                <w:lang w:val="zh-CN"/>
              </w:rPr>
              <w:t>集成平台系统</w:t>
            </w:r>
          </w:p>
        </w:tc>
        <w:tc>
          <w:tcPr>
            <w:tcW w:w="1582" w:type="dxa"/>
            <w:tcBorders>
              <w:tl2br w:val="nil"/>
              <w:tr2bl w:val="nil"/>
            </w:tcBorders>
            <w:noWrap w:val="0"/>
            <w:vAlign w:val="center"/>
          </w:tcPr>
          <w:p w14:paraId="1755C123">
            <w:pPr>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kern w:val="0"/>
                <w:sz w:val="24"/>
                <w:szCs w:val="24"/>
                <w:lang w:val="zh-CN"/>
              </w:rPr>
              <w:t>第三级</w:t>
            </w:r>
          </w:p>
        </w:tc>
        <w:tc>
          <w:tcPr>
            <w:tcW w:w="1091" w:type="dxa"/>
            <w:tcBorders>
              <w:tl2br w:val="nil"/>
              <w:tr2bl w:val="nil"/>
            </w:tcBorders>
            <w:noWrap w:val="0"/>
            <w:vAlign w:val="center"/>
          </w:tcPr>
          <w:p w14:paraId="76BA0E59">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1</w:t>
            </w:r>
          </w:p>
        </w:tc>
        <w:tc>
          <w:tcPr>
            <w:tcW w:w="1391" w:type="dxa"/>
            <w:tcBorders>
              <w:tl2br w:val="nil"/>
              <w:tr2bl w:val="nil"/>
            </w:tcBorders>
            <w:noWrap w:val="0"/>
            <w:vAlign w:val="center"/>
          </w:tcPr>
          <w:p w14:paraId="14BDDDEF">
            <w:pPr>
              <w:widowControl/>
              <w:jc w:val="center"/>
              <w:rPr>
                <w:rFonts w:hint="eastAsia" w:ascii="宋体" w:hAnsi="宋体" w:eastAsia="宋体" w:cs="宋体"/>
                <w:color w:val="000000"/>
                <w:kern w:val="0"/>
                <w:sz w:val="24"/>
                <w:szCs w:val="24"/>
              </w:rPr>
            </w:pPr>
          </w:p>
        </w:tc>
        <w:tc>
          <w:tcPr>
            <w:tcW w:w="1309" w:type="dxa"/>
            <w:tcBorders>
              <w:tl2br w:val="nil"/>
              <w:tr2bl w:val="nil"/>
            </w:tcBorders>
            <w:noWrap w:val="0"/>
            <w:vAlign w:val="center"/>
          </w:tcPr>
          <w:p w14:paraId="402C018B">
            <w:pPr>
              <w:widowControl/>
              <w:jc w:val="center"/>
              <w:rPr>
                <w:rFonts w:hint="eastAsia" w:ascii="宋体" w:hAnsi="宋体" w:eastAsia="宋体" w:cs="宋体"/>
                <w:color w:val="000000"/>
                <w:kern w:val="0"/>
                <w:sz w:val="24"/>
                <w:szCs w:val="24"/>
              </w:rPr>
            </w:pPr>
          </w:p>
        </w:tc>
      </w:tr>
      <w:tr w14:paraId="3B6F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tcBorders>
              <w:tl2br w:val="nil"/>
              <w:tr2bl w:val="nil"/>
            </w:tcBorders>
            <w:noWrap w:val="0"/>
            <w:vAlign w:val="center"/>
          </w:tcPr>
          <w:p w14:paraId="1F6A1F0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754" w:type="dxa"/>
            <w:tcBorders>
              <w:tl2br w:val="nil"/>
              <w:tr2bl w:val="nil"/>
            </w:tcBorders>
            <w:noWrap w:val="0"/>
            <w:vAlign w:val="center"/>
          </w:tcPr>
          <w:p w14:paraId="6E14C82D">
            <w:pPr>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kern w:val="0"/>
                <w:sz w:val="24"/>
                <w:szCs w:val="24"/>
                <w:lang w:val="zh-CN"/>
              </w:rPr>
              <w:t>临床信息系统</w:t>
            </w:r>
          </w:p>
        </w:tc>
        <w:tc>
          <w:tcPr>
            <w:tcW w:w="1582" w:type="dxa"/>
            <w:tcBorders>
              <w:tl2br w:val="nil"/>
              <w:tr2bl w:val="nil"/>
            </w:tcBorders>
            <w:noWrap w:val="0"/>
            <w:vAlign w:val="center"/>
          </w:tcPr>
          <w:p w14:paraId="6BE116F5">
            <w:pPr>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kern w:val="0"/>
                <w:sz w:val="24"/>
                <w:szCs w:val="24"/>
                <w:lang w:val="zh-CN"/>
              </w:rPr>
              <w:t>第三级</w:t>
            </w:r>
          </w:p>
        </w:tc>
        <w:tc>
          <w:tcPr>
            <w:tcW w:w="1091" w:type="dxa"/>
            <w:tcBorders>
              <w:tl2br w:val="nil"/>
              <w:tr2bl w:val="nil"/>
            </w:tcBorders>
            <w:noWrap w:val="0"/>
            <w:vAlign w:val="center"/>
          </w:tcPr>
          <w:p w14:paraId="40922C01">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1</w:t>
            </w:r>
          </w:p>
        </w:tc>
        <w:tc>
          <w:tcPr>
            <w:tcW w:w="1391" w:type="dxa"/>
            <w:tcBorders>
              <w:tl2br w:val="nil"/>
              <w:tr2bl w:val="nil"/>
            </w:tcBorders>
            <w:noWrap w:val="0"/>
            <w:vAlign w:val="center"/>
          </w:tcPr>
          <w:p w14:paraId="5104DAB7">
            <w:pPr>
              <w:widowControl/>
              <w:jc w:val="center"/>
              <w:rPr>
                <w:rFonts w:hint="eastAsia" w:ascii="宋体" w:hAnsi="宋体" w:eastAsia="宋体" w:cs="宋体"/>
                <w:color w:val="000000"/>
                <w:kern w:val="0"/>
                <w:sz w:val="24"/>
                <w:szCs w:val="24"/>
              </w:rPr>
            </w:pPr>
          </w:p>
        </w:tc>
        <w:tc>
          <w:tcPr>
            <w:tcW w:w="1309" w:type="dxa"/>
            <w:tcBorders>
              <w:tl2br w:val="nil"/>
              <w:tr2bl w:val="nil"/>
            </w:tcBorders>
            <w:noWrap w:val="0"/>
            <w:vAlign w:val="center"/>
          </w:tcPr>
          <w:p w14:paraId="12911C4D">
            <w:pPr>
              <w:widowControl/>
              <w:jc w:val="center"/>
              <w:rPr>
                <w:rFonts w:hint="eastAsia" w:ascii="宋体" w:hAnsi="宋体" w:eastAsia="宋体" w:cs="宋体"/>
                <w:color w:val="000000"/>
                <w:kern w:val="0"/>
                <w:sz w:val="24"/>
                <w:szCs w:val="24"/>
              </w:rPr>
            </w:pPr>
          </w:p>
        </w:tc>
      </w:tr>
      <w:tr w14:paraId="2E46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15" w:type="dxa"/>
            <w:tcBorders>
              <w:tl2br w:val="nil"/>
              <w:tr2bl w:val="nil"/>
            </w:tcBorders>
            <w:noWrap w:val="0"/>
            <w:vAlign w:val="center"/>
          </w:tcPr>
          <w:p w14:paraId="51F302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754" w:type="dxa"/>
            <w:tcBorders>
              <w:tl2br w:val="nil"/>
              <w:tr2bl w:val="nil"/>
            </w:tcBorders>
            <w:noWrap w:val="0"/>
            <w:vAlign w:val="center"/>
          </w:tcPr>
          <w:p w14:paraId="56F9C5D2">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互联网医院系统</w:t>
            </w:r>
          </w:p>
        </w:tc>
        <w:tc>
          <w:tcPr>
            <w:tcW w:w="1582" w:type="dxa"/>
            <w:tcBorders>
              <w:tl2br w:val="nil"/>
              <w:tr2bl w:val="nil"/>
            </w:tcBorders>
            <w:noWrap w:val="0"/>
            <w:vAlign w:val="center"/>
          </w:tcPr>
          <w:p w14:paraId="03E31404">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第三级</w:t>
            </w:r>
          </w:p>
        </w:tc>
        <w:tc>
          <w:tcPr>
            <w:tcW w:w="1091" w:type="dxa"/>
            <w:tcBorders>
              <w:tl2br w:val="nil"/>
              <w:tr2bl w:val="nil"/>
            </w:tcBorders>
            <w:noWrap w:val="0"/>
            <w:vAlign w:val="center"/>
          </w:tcPr>
          <w:p w14:paraId="090CAE38">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1</w:t>
            </w:r>
          </w:p>
        </w:tc>
        <w:tc>
          <w:tcPr>
            <w:tcW w:w="1391" w:type="dxa"/>
            <w:tcBorders>
              <w:tl2br w:val="nil"/>
              <w:tr2bl w:val="nil"/>
            </w:tcBorders>
            <w:noWrap w:val="0"/>
            <w:vAlign w:val="center"/>
          </w:tcPr>
          <w:p w14:paraId="384BD0A2">
            <w:pPr>
              <w:widowControl/>
              <w:jc w:val="center"/>
              <w:rPr>
                <w:rFonts w:hint="eastAsia" w:ascii="宋体" w:hAnsi="宋体" w:eastAsia="宋体" w:cs="宋体"/>
                <w:color w:val="000000"/>
                <w:kern w:val="0"/>
                <w:sz w:val="24"/>
                <w:szCs w:val="24"/>
              </w:rPr>
            </w:pPr>
          </w:p>
        </w:tc>
        <w:tc>
          <w:tcPr>
            <w:tcW w:w="1309" w:type="dxa"/>
            <w:tcBorders>
              <w:tl2br w:val="nil"/>
              <w:tr2bl w:val="nil"/>
            </w:tcBorders>
            <w:noWrap w:val="0"/>
            <w:vAlign w:val="center"/>
          </w:tcPr>
          <w:p w14:paraId="6510F185">
            <w:pPr>
              <w:widowControl/>
              <w:jc w:val="center"/>
              <w:rPr>
                <w:rFonts w:hint="eastAsia" w:ascii="宋体" w:hAnsi="宋体" w:eastAsia="宋体" w:cs="宋体"/>
                <w:color w:val="000000"/>
                <w:kern w:val="0"/>
                <w:sz w:val="24"/>
                <w:szCs w:val="24"/>
              </w:rPr>
            </w:pPr>
          </w:p>
        </w:tc>
      </w:tr>
      <w:tr w14:paraId="7EC9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tcBorders>
              <w:tl2br w:val="nil"/>
              <w:tr2bl w:val="nil"/>
            </w:tcBorders>
            <w:noWrap w:val="0"/>
            <w:vAlign w:val="center"/>
          </w:tcPr>
          <w:p w14:paraId="10D1F21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754" w:type="dxa"/>
            <w:tcBorders>
              <w:tl2br w:val="nil"/>
              <w:tr2bl w:val="nil"/>
            </w:tcBorders>
            <w:noWrap w:val="0"/>
            <w:vAlign w:val="center"/>
          </w:tcPr>
          <w:p w14:paraId="3F41958C">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门户网站系统</w:t>
            </w:r>
          </w:p>
        </w:tc>
        <w:tc>
          <w:tcPr>
            <w:tcW w:w="1582" w:type="dxa"/>
            <w:tcBorders>
              <w:tl2br w:val="nil"/>
              <w:tr2bl w:val="nil"/>
            </w:tcBorders>
            <w:noWrap w:val="0"/>
            <w:vAlign w:val="center"/>
          </w:tcPr>
          <w:p w14:paraId="73F96C59">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第二级</w:t>
            </w:r>
          </w:p>
        </w:tc>
        <w:tc>
          <w:tcPr>
            <w:tcW w:w="1091" w:type="dxa"/>
            <w:tcBorders>
              <w:tl2br w:val="nil"/>
              <w:tr2bl w:val="nil"/>
            </w:tcBorders>
            <w:noWrap w:val="0"/>
            <w:vAlign w:val="center"/>
          </w:tcPr>
          <w:p w14:paraId="5E9A7045">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1</w:t>
            </w:r>
          </w:p>
        </w:tc>
        <w:tc>
          <w:tcPr>
            <w:tcW w:w="1391" w:type="dxa"/>
            <w:tcBorders>
              <w:tl2br w:val="nil"/>
              <w:tr2bl w:val="nil"/>
            </w:tcBorders>
            <w:noWrap w:val="0"/>
            <w:vAlign w:val="center"/>
          </w:tcPr>
          <w:p w14:paraId="3EB27B53">
            <w:pPr>
              <w:widowControl/>
              <w:jc w:val="center"/>
              <w:rPr>
                <w:rFonts w:hint="eastAsia" w:ascii="宋体" w:hAnsi="宋体" w:eastAsia="宋体" w:cs="宋体"/>
                <w:color w:val="000000"/>
                <w:kern w:val="0"/>
                <w:sz w:val="24"/>
                <w:szCs w:val="24"/>
              </w:rPr>
            </w:pPr>
          </w:p>
        </w:tc>
        <w:tc>
          <w:tcPr>
            <w:tcW w:w="1309" w:type="dxa"/>
            <w:tcBorders>
              <w:tl2br w:val="nil"/>
              <w:tr2bl w:val="nil"/>
            </w:tcBorders>
            <w:noWrap w:val="0"/>
            <w:vAlign w:val="center"/>
          </w:tcPr>
          <w:p w14:paraId="694A0C13">
            <w:pPr>
              <w:widowControl/>
              <w:jc w:val="center"/>
              <w:rPr>
                <w:rFonts w:hint="eastAsia" w:ascii="宋体" w:hAnsi="宋体" w:eastAsia="宋体" w:cs="宋体"/>
                <w:color w:val="000000"/>
                <w:kern w:val="0"/>
                <w:sz w:val="24"/>
                <w:szCs w:val="24"/>
              </w:rPr>
            </w:pPr>
          </w:p>
        </w:tc>
      </w:tr>
      <w:tr w14:paraId="614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tcBorders>
              <w:tl2br w:val="nil"/>
              <w:tr2bl w:val="nil"/>
            </w:tcBorders>
            <w:noWrap w:val="0"/>
            <w:vAlign w:val="center"/>
          </w:tcPr>
          <w:p w14:paraId="52ECFD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754" w:type="dxa"/>
            <w:tcBorders>
              <w:tl2br w:val="nil"/>
              <w:tr2bl w:val="nil"/>
            </w:tcBorders>
            <w:noWrap w:val="0"/>
            <w:vAlign w:val="center"/>
          </w:tcPr>
          <w:p w14:paraId="4417608E">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LIS检验科管理系统</w:t>
            </w:r>
          </w:p>
        </w:tc>
        <w:tc>
          <w:tcPr>
            <w:tcW w:w="1582" w:type="dxa"/>
            <w:tcBorders>
              <w:tl2br w:val="nil"/>
              <w:tr2bl w:val="nil"/>
            </w:tcBorders>
            <w:noWrap w:val="0"/>
            <w:vAlign w:val="center"/>
          </w:tcPr>
          <w:p w14:paraId="597418A7">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第二级</w:t>
            </w:r>
          </w:p>
        </w:tc>
        <w:tc>
          <w:tcPr>
            <w:tcW w:w="1091" w:type="dxa"/>
            <w:tcBorders>
              <w:tl2br w:val="nil"/>
              <w:tr2bl w:val="nil"/>
            </w:tcBorders>
            <w:noWrap w:val="0"/>
            <w:vAlign w:val="center"/>
          </w:tcPr>
          <w:p w14:paraId="449A4F42">
            <w:pPr>
              <w:jc w:val="center"/>
              <w:rPr>
                <w:rFonts w:hint="eastAsia" w:ascii="宋体" w:hAnsi="宋体" w:eastAsia="宋体" w:cs="宋体"/>
                <w:color w:val="000000"/>
                <w:kern w:val="0"/>
                <w:sz w:val="24"/>
                <w:szCs w:val="24"/>
              </w:rPr>
            </w:pPr>
            <w:r>
              <w:rPr>
                <w:rFonts w:hint="eastAsia" w:ascii="宋体" w:hAnsi="宋体" w:eastAsia="宋体" w:cs="宋体"/>
                <w:bCs/>
                <w:kern w:val="0"/>
                <w:sz w:val="24"/>
                <w:szCs w:val="24"/>
                <w:lang w:val="zh-CN"/>
              </w:rPr>
              <w:t>1</w:t>
            </w:r>
          </w:p>
        </w:tc>
        <w:tc>
          <w:tcPr>
            <w:tcW w:w="1391" w:type="dxa"/>
            <w:tcBorders>
              <w:tl2br w:val="nil"/>
              <w:tr2bl w:val="nil"/>
            </w:tcBorders>
            <w:noWrap w:val="0"/>
            <w:vAlign w:val="center"/>
          </w:tcPr>
          <w:p w14:paraId="5B107A77">
            <w:pPr>
              <w:widowControl/>
              <w:jc w:val="center"/>
              <w:rPr>
                <w:rFonts w:hint="eastAsia" w:ascii="宋体" w:hAnsi="宋体" w:eastAsia="宋体" w:cs="宋体"/>
                <w:color w:val="000000"/>
                <w:kern w:val="0"/>
                <w:sz w:val="24"/>
                <w:szCs w:val="24"/>
              </w:rPr>
            </w:pPr>
          </w:p>
        </w:tc>
        <w:tc>
          <w:tcPr>
            <w:tcW w:w="1309" w:type="dxa"/>
            <w:tcBorders>
              <w:tl2br w:val="nil"/>
              <w:tr2bl w:val="nil"/>
            </w:tcBorders>
            <w:noWrap w:val="0"/>
            <w:vAlign w:val="center"/>
          </w:tcPr>
          <w:p w14:paraId="2B6FF712">
            <w:pPr>
              <w:widowControl/>
              <w:jc w:val="center"/>
              <w:rPr>
                <w:rFonts w:hint="eastAsia" w:ascii="宋体" w:hAnsi="宋体" w:eastAsia="宋体" w:cs="宋体"/>
                <w:color w:val="000000"/>
                <w:kern w:val="0"/>
                <w:sz w:val="24"/>
                <w:szCs w:val="24"/>
              </w:rPr>
            </w:pPr>
          </w:p>
        </w:tc>
      </w:tr>
      <w:tr w14:paraId="1C3B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842" w:type="dxa"/>
            <w:gridSpan w:val="6"/>
            <w:tcBorders>
              <w:tl2br w:val="nil"/>
              <w:tr2bl w:val="nil"/>
            </w:tcBorders>
            <w:noWrap w:val="0"/>
            <w:vAlign w:val="center"/>
          </w:tcPr>
          <w:p w14:paraId="2445A840">
            <w:pPr>
              <w:widowControl/>
              <w:jc w:val="left"/>
              <w:rPr>
                <w:rFonts w:hint="eastAsia" w:ascii="宋体" w:hAnsi="宋体" w:eastAsia="宋体" w:cs="宋体"/>
                <w:color w:val="000000"/>
                <w:kern w:val="0"/>
                <w:sz w:val="24"/>
                <w:szCs w:val="24"/>
              </w:rPr>
            </w:pPr>
            <w:r>
              <w:rPr>
                <w:rFonts w:eastAsia="宋体"/>
                <w:sz w:val="24"/>
                <w:szCs w:val="24"/>
              </w:rPr>
              <w:t>合计：¥</w:t>
            </w:r>
            <w:r>
              <w:rPr>
                <w:rFonts w:eastAsia="宋体"/>
                <w:sz w:val="24"/>
                <w:szCs w:val="24"/>
                <w:u w:val="single"/>
              </w:rPr>
              <w:t xml:space="preserve">          </w:t>
            </w:r>
            <w:r>
              <w:rPr>
                <w:rFonts w:eastAsia="宋体"/>
                <w:sz w:val="24"/>
                <w:szCs w:val="24"/>
              </w:rPr>
              <w:t>元，大写：人民币</w:t>
            </w:r>
            <w:r>
              <w:rPr>
                <w:rFonts w:eastAsia="宋体"/>
                <w:sz w:val="24"/>
                <w:szCs w:val="24"/>
                <w:u w:val="single"/>
              </w:rPr>
              <w:t xml:space="preserve">                    </w:t>
            </w:r>
            <w:r>
              <w:rPr>
                <w:rFonts w:eastAsia="宋体"/>
                <w:sz w:val="24"/>
                <w:szCs w:val="24"/>
              </w:rPr>
              <w:t xml:space="preserve"> 。</w:t>
            </w:r>
          </w:p>
        </w:tc>
      </w:tr>
    </w:tbl>
    <w:p w14:paraId="37161961">
      <w:pPr>
        <w:pStyle w:val="39"/>
        <w:rPr>
          <w:rFonts w:hint="eastAsia"/>
        </w:rPr>
      </w:pPr>
    </w:p>
    <w:p w14:paraId="01C87B3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本表式，可根据实际报价的明细需要自行添加。</w:t>
      </w:r>
    </w:p>
    <w:p w14:paraId="57E63507">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本表投标总报价（以人民币计价）应</w:t>
      </w:r>
      <w:r>
        <w:rPr>
          <w:rFonts w:hint="eastAsia" w:ascii="Times New Roman" w:hAnsi="Times New Roman" w:eastAsia="宋体"/>
          <w:bCs/>
          <w:sz w:val="24"/>
          <w:szCs w:val="24"/>
          <w:lang w:eastAsia="zh-CN"/>
        </w:rPr>
        <w:t>包含但不限于</w:t>
      </w:r>
      <w:r>
        <w:rPr>
          <w:rFonts w:hint="eastAsia" w:ascii="Times New Roman" w:hAnsi="Times New Roman" w:eastAsia="宋体" w:cs="宋体"/>
          <w:sz w:val="24"/>
          <w:szCs w:val="24"/>
          <w:lang w:eastAsia="zh-CN"/>
        </w:rPr>
        <w:t>测评</w:t>
      </w:r>
      <w:r>
        <w:rPr>
          <w:rFonts w:hint="eastAsia" w:ascii="Times New Roman" w:hAnsi="Times New Roman" w:eastAsia="宋体" w:cs="宋体"/>
          <w:sz w:val="24"/>
          <w:szCs w:val="24"/>
        </w:rPr>
        <w:t>服务费、</w:t>
      </w:r>
      <w:r>
        <w:rPr>
          <w:rFonts w:hint="eastAsia" w:ascii="Times New Roman" w:hAnsi="Times New Roman" w:eastAsia="宋体"/>
          <w:bCs/>
          <w:sz w:val="24"/>
          <w:szCs w:val="24"/>
        </w:rPr>
        <w:t>成本、利润、税金、开办费、政策性调整风险费等的所有费用；</w:t>
      </w:r>
      <w:r>
        <w:rPr>
          <w:rFonts w:hint="eastAsia" w:ascii="Times New Roman" w:hAnsi="Times New Roman" w:eastAsia="宋体" w:cs="宋体"/>
          <w:sz w:val="24"/>
          <w:szCs w:val="24"/>
        </w:rPr>
        <w:t>辅材费、</w:t>
      </w:r>
      <w:r>
        <w:rPr>
          <w:rFonts w:hint="eastAsia" w:ascii="Times New Roman" w:hAnsi="Times New Roman" w:eastAsia="宋体"/>
          <w:bCs/>
          <w:sz w:val="24"/>
          <w:szCs w:val="24"/>
        </w:rPr>
        <w:t>人工费、检测费、管理费；国家税务部门规定的各项税金；相关伴随服务以及售后服务等一切费用</w:t>
      </w:r>
      <w:r>
        <w:rPr>
          <w:rFonts w:hint="eastAsia" w:ascii="Times New Roman" w:hAnsi="Times New Roman" w:eastAsia="宋体"/>
          <w:bCs/>
          <w:sz w:val="24"/>
          <w:szCs w:val="24"/>
          <w:lang w:eastAsia="zh-CN"/>
        </w:rPr>
        <w:t>；</w:t>
      </w:r>
      <w:r>
        <w:rPr>
          <w:rFonts w:hint="eastAsia" w:ascii="宋体" w:hAnsi="宋体" w:eastAsia="宋体" w:cs="宋体"/>
          <w:sz w:val="24"/>
          <w:szCs w:val="24"/>
        </w:rPr>
        <w:t>即本项目采购的货物交付使用前的所有费用以及免费质保期内的服务费用等包含响应</w:t>
      </w:r>
      <w:r>
        <w:rPr>
          <w:rFonts w:hint="eastAsia" w:ascii="宋体" w:hAnsi="宋体" w:eastAsia="宋体" w:cs="宋体"/>
          <w:sz w:val="24"/>
          <w:szCs w:val="24"/>
          <w:lang w:eastAsia="zh-CN"/>
        </w:rPr>
        <w:t>磋商</w:t>
      </w:r>
      <w:r>
        <w:rPr>
          <w:rFonts w:hint="eastAsia" w:ascii="宋体" w:hAnsi="宋体" w:eastAsia="宋体" w:cs="宋体"/>
          <w:sz w:val="24"/>
          <w:szCs w:val="24"/>
        </w:rPr>
        <w:t>文件采购要求的所有费用。</w:t>
      </w:r>
      <w:r>
        <w:rPr>
          <w:rFonts w:hint="eastAsia" w:ascii="Times New Roman" w:hAnsi="Times New Roman" w:eastAsia="宋体" w:cs="宋体"/>
          <w:sz w:val="24"/>
          <w:szCs w:val="24"/>
        </w:rPr>
        <w:t>同时，报价也包含了合同履行过程中可能发生的一切风险</w:t>
      </w:r>
      <w:r>
        <w:rPr>
          <w:rFonts w:hint="eastAsia" w:ascii="Times New Roman" w:hAnsi="Times New Roman" w:eastAsia="宋体" w:cs="宋体"/>
          <w:sz w:val="24"/>
          <w:szCs w:val="24"/>
          <w:lang w:eastAsia="zh-CN"/>
        </w:rPr>
        <w:t>。</w:t>
      </w:r>
    </w:p>
    <w:p w14:paraId="243B4004">
      <w:pPr>
        <w:tabs>
          <w:tab w:val="left" w:pos="720"/>
        </w:tabs>
        <w:snapToGrid w:val="0"/>
        <w:spacing w:line="360" w:lineRule="auto"/>
        <w:jc w:val="left"/>
        <w:rPr>
          <w:rFonts w:hint="eastAsia" w:ascii="宋体" w:hAnsi="宋体" w:eastAsia="宋体" w:cs="宋体"/>
          <w:bCs/>
          <w:color w:val="000000"/>
          <w:sz w:val="24"/>
          <w:szCs w:val="24"/>
        </w:rPr>
      </w:pPr>
    </w:p>
    <w:p w14:paraId="0D46D2CA">
      <w:pPr>
        <w:keepNext w:val="0"/>
        <w:keepLines w:val="0"/>
        <w:pageBreakBefore w:val="0"/>
        <w:widowControl w:val="0"/>
        <w:tabs>
          <w:tab w:val="left" w:pos="7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供应商（盖章）：</w:t>
      </w:r>
      <w:r>
        <w:rPr>
          <w:rFonts w:hint="eastAsia" w:ascii="宋体" w:hAnsi="宋体" w:eastAsia="宋体" w:cs="宋体"/>
          <w:bCs/>
          <w:color w:val="000000"/>
          <w:sz w:val="24"/>
          <w:szCs w:val="24"/>
          <w:u w:val="single"/>
        </w:rPr>
        <w:t xml:space="preserve">                        </w:t>
      </w:r>
    </w:p>
    <w:p w14:paraId="7EA4319C">
      <w:pPr>
        <w:keepNext w:val="0"/>
        <w:keepLines w:val="0"/>
        <w:pageBreakBefore w:val="0"/>
        <w:widowControl w:val="0"/>
        <w:tabs>
          <w:tab w:val="left" w:pos="7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供应商代表签字或盖章：</w:t>
      </w:r>
      <w:r>
        <w:rPr>
          <w:rFonts w:hint="eastAsia" w:ascii="宋体" w:hAnsi="宋体" w:eastAsia="宋体" w:cs="宋体"/>
          <w:bCs/>
          <w:color w:val="000000"/>
          <w:sz w:val="24"/>
          <w:szCs w:val="24"/>
          <w:u w:val="single"/>
        </w:rPr>
        <w:t xml:space="preserve">                       </w:t>
      </w:r>
    </w:p>
    <w:p w14:paraId="19D0271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color w:val="000000"/>
          <w:sz w:val="24"/>
          <w:szCs w:val="24"/>
        </w:rPr>
        <w:t xml:space="preserve">日  期： </w:t>
      </w:r>
      <w:r>
        <w:rPr>
          <w:rFonts w:hint="eastAsia" w:ascii="宋体" w:hAnsi="宋体" w:eastAsia="宋体" w:cs="宋体"/>
          <w:bCs/>
          <w:color w:val="000000"/>
          <w:sz w:val="24"/>
          <w:szCs w:val="24"/>
          <w:u w:val="single"/>
        </w:rPr>
        <w:t xml:space="preserve">                            </w:t>
      </w:r>
    </w:p>
    <w:sectPr>
      <w:footerReference r:id="rId3" w:type="default"/>
      <w:pgSz w:w="11906" w:h="16838"/>
      <w:pgMar w:top="1418" w:right="1588" w:bottom="1418" w:left="1588"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E2BF">
    <w:pPr>
      <w:pStyle w:val="16"/>
      <w:jc w:val="center"/>
    </w:pPr>
    <w:r>
      <w:fldChar w:fldCharType="begin"/>
    </w:r>
    <w:r>
      <w:instrText xml:space="preserve"> PAGE   \* MERGEFORMAT </w:instrText>
    </w:r>
    <w:r>
      <w:fldChar w:fldCharType="separate"/>
    </w:r>
    <w:r>
      <w:rPr>
        <w:lang w:val="zh-CN"/>
      </w:rP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ZTQyNGY3NWY0ZTVkMDMxMDUwZGIwMTYzYTM2NTkifQ=="/>
  </w:docVars>
  <w:rsids>
    <w:rsidRoot w:val="0042773D"/>
    <w:rsid w:val="00005621"/>
    <w:rsid w:val="000105F3"/>
    <w:rsid w:val="000116CF"/>
    <w:rsid w:val="00011718"/>
    <w:rsid w:val="00030656"/>
    <w:rsid w:val="0004233B"/>
    <w:rsid w:val="00042E68"/>
    <w:rsid w:val="00045AD0"/>
    <w:rsid w:val="00045B8C"/>
    <w:rsid w:val="00062F66"/>
    <w:rsid w:val="000633EC"/>
    <w:rsid w:val="00066F50"/>
    <w:rsid w:val="0007689C"/>
    <w:rsid w:val="00076D60"/>
    <w:rsid w:val="0009698F"/>
    <w:rsid w:val="000B6C99"/>
    <w:rsid w:val="000D0AEE"/>
    <w:rsid w:val="000D3147"/>
    <w:rsid w:val="000D7335"/>
    <w:rsid w:val="000E2EB7"/>
    <w:rsid w:val="000F0E95"/>
    <w:rsid w:val="000F2D8B"/>
    <w:rsid w:val="000F3E59"/>
    <w:rsid w:val="000F42CA"/>
    <w:rsid w:val="00105B86"/>
    <w:rsid w:val="00111B21"/>
    <w:rsid w:val="00150A42"/>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10D4E"/>
    <w:rsid w:val="002219C9"/>
    <w:rsid w:val="00225C90"/>
    <w:rsid w:val="00231ACD"/>
    <w:rsid w:val="00234A6B"/>
    <w:rsid w:val="00236FC4"/>
    <w:rsid w:val="002375BD"/>
    <w:rsid w:val="00240734"/>
    <w:rsid w:val="0024626E"/>
    <w:rsid w:val="002468A6"/>
    <w:rsid w:val="00255AB3"/>
    <w:rsid w:val="002707F5"/>
    <w:rsid w:val="00271A2C"/>
    <w:rsid w:val="00285BC2"/>
    <w:rsid w:val="00286641"/>
    <w:rsid w:val="002A1341"/>
    <w:rsid w:val="002A415D"/>
    <w:rsid w:val="002A6A48"/>
    <w:rsid w:val="002B6511"/>
    <w:rsid w:val="002B7853"/>
    <w:rsid w:val="002C01E3"/>
    <w:rsid w:val="002E0B7C"/>
    <w:rsid w:val="002E1BA8"/>
    <w:rsid w:val="002E40A5"/>
    <w:rsid w:val="002F64D4"/>
    <w:rsid w:val="002F6EFE"/>
    <w:rsid w:val="002F7C52"/>
    <w:rsid w:val="002F7F56"/>
    <w:rsid w:val="003050C3"/>
    <w:rsid w:val="00307FF6"/>
    <w:rsid w:val="00315628"/>
    <w:rsid w:val="00331324"/>
    <w:rsid w:val="00335864"/>
    <w:rsid w:val="00362918"/>
    <w:rsid w:val="00363D22"/>
    <w:rsid w:val="00364AB1"/>
    <w:rsid w:val="00367528"/>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4EA1"/>
    <w:rsid w:val="004254FC"/>
    <w:rsid w:val="0042773D"/>
    <w:rsid w:val="00433AC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76289"/>
    <w:rsid w:val="005841A4"/>
    <w:rsid w:val="005A31EB"/>
    <w:rsid w:val="005C3634"/>
    <w:rsid w:val="005C5B61"/>
    <w:rsid w:val="005D1282"/>
    <w:rsid w:val="005D22F2"/>
    <w:rsid w:val="005D73C6"/>
    <w:rsid w:val="00603E35"/>
    <w:rsid w:val="00606BF2"/>
    <w:rsid w:val="00633A81"/>
    <w:rsid w:val="00645528"/>
    <w:rsid w:val="006543CA"/>
    <w:rsid w:val="006741C9"/>
    <w:rsid w:val="006822D2"/>
    <w:rsid w:val="006902A0"/>
    <w:rsid w:val="00693857"/>
    <w:rsid w:val="00694D70"/>
    <w:rsid w:val="00695A9F"/>
    <w:rsid w:val="006A5E64"/>
    <w:rsid w:val="006B4338"/>
    <w:rsid w:val="006C59BF"/>
    <w:rsid w:val="006D3A4D"/>
    <w:rsid w:val="006D5C68"/>
    <w:rsid w:val="006D7BE8"/>
    <w:rsid w:val="007172D8"/>
    <w:rsid w:val="00734530"/>
    <w:rsid w:val="00744D06"/>
    <w:rsid w:val="00751266"/>
    <w:rsid w:val="0077451C"/>
    <w:rsid w:val="007755C4"/>
    <w:rsid w:val="00777BDC"/>
    <w:rsid w:val="00785C7E"/>
    <w:rsid w:val="007B5ED6"/>
    <w:rsid w:val="007C0266"/>
    <w:rsid w:val="007C52C4"/>
    <w:rsid w:val="007D447F"/>
    <w:rsid w:val="007D4AD9"/>
    <w:rsid w:val="007D501E"/>
    <w:rsid w:val="007D7533"/>
    <w:rsid w:val="007E4882"/>
    <w:rsid w:val="007F782E"/>
    <w:rsid w:val="0082282D"/>
    <w:rsid w:val="008324DA"/>
    <w:rsid w:val="008369E9"/>
    <w:rsid w:val="00881F22"/>
    <w:rsid w:val="00884AF5"/>
    <w:rsid w:val="00891163"/>
    <w:rsid w:val="008913C5"/>
    <w:rsid w:val="008B1772"/>
    <w:rsid w:val="008B53C9"/>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823DF"/>
    <w:rsid w:val="009948AB"/>
    <w:rsid w:val="0099591F"/>
    <w:rsid w:val="009A4AAF"/>
    <w:rsid w:val="009B0414"/>
    <w:rsid w:val="009D17F8"/>
    <w:rsid w:val="009D3858"/>
    <w:rsid w:val="009D3B57"/>
    <w:rsid w:val="009E025D"/>
    <w:rsid w:val="009F3280"/>
    <w:rsid w:val="00A00280"/>
    <w:rsid w:val="00A00693"/>
    <w:rsid w:val="00A25E3A"/>
    <w:rsid w:val="00A46B05"/>
    <w:rsid w:val="00A65118"/>
    <w:rsid w:val="00A75D59"/>
    <w:rsid w:val="00A775B1"/>
    <w:rsid w:val="00AA53A1"/>
    <w:rsid w:val="00AB3858"/>
    <w:rsid w:val="00AB397A"/>
    <w:rsid w:val="00AC0645"/>
    <w:rsid w:val="00AC1356"/>
    <w:rsid w:val="00AC167D"/>
    <w:rsid w:val="00AD0E54"/>
    <w:rsid w:val="00AD3170"/>
    <w:rsid w:val="00AE32E5"/>
    <w:rsid w:val="00AF67B7"/>
    <w:rsid w:val="00B06015"/>
    <w:rsid w:val="00B1621D"/>
    <w:rsid w:val="00B24F83"/>
    <w:rsid w:val="00B36A38"/>
    <w:rsid w:val="00B50963"/>
    <w:rsid w:val="00B5131F"/>
    <w:rsid w:val="00B523EC"/>
    <w:rsid w:val="00B54D9A"/>
    <w:rsid w:val="00B555BD"/>
    <w:rsid w:val="00B65DE5"/>
    <w:rsid w:val="00B76D85"/>
    <w:rsid w:val="00B97CDB"/>
    <w:rsid w:val="00BA0DE5"/>
    <w:rsid w:val="00BA502C"/>
    <w:rsid w:val="00BB48A3"/>
    <w:rsid w:val="00BC3246"/>
    <w:rsid w:val="00BC6EEB"/>
    <w:rsid w:val="00C02F17"/>
    <w:rsid w:val="00C047C7"/>
    <w:rsid w:val="00C16047"/>
    <w:rsid w:val="00C4189B"/>
    <w:rsid w:val="00C514FC"/>
    <w:rsid w:val="00C74113"/>
    <w:rsid w:val="00C74551"/>
    <w:rsid w:val="00C87961"/>
    <w:rsid w:val="00C96A7A"/>
    <w:rsid w:val="00CA125B"/>
    <w:rsid w:val="00CA3A6E"/>
    <w:rsid w:val="00CB2559"/>
    <w:rsid w:val="00CC7436"/>
    <w:rsid w:val="00CD1E8F"/>
    <w:rsid w:val="00CF0C61"/>
    <w:rsid w:val="00CF19FE"/>
    <w:rsid w:val="00CF4BAE"/>
    <w:rsid w:val="00D1283C"/>
    <w:rsid w:val="00D14736"/>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6D63"/>
    <w:rsid w:val="00E90F14"/>
    <w:rsid w:val="00E91EDF"/>
    <w:rsid w:val="00EF525C"/>
    <w:rsid w:val="00F02280"/>
    <w:rsid w:val="00F04F82"/>
    <w:rsid w:val="00F1322E"/>
    <w:rsid w:val="00F16606"/>
    <w:rsid w:val="00F357CB"/>
    <w:rsid w:val="00F5137C"/>
    <w:rsid w:val="00F5357B"/>
    <w:rsid w:val="00F5462E"/>
    <w:rsid w:val="00F574E3"/>
    <w:rsid w:val="00F63459"/>
    <w:rsid w:val="00F63B31"/>
    <w:rsid w:val="00F825EC"/>
    <w:rsid w:val="00FA0374"/>
    <w:rsid w:val="00FB003F"/>
    <w:rsid w:val="00FC398C"/>
    <w:rsid w:val="00FD3CFD"/>
    <w:rsid w:val="00FD532E"/>
    <w:rsid w:val="00FD737A"/>
    <w:rsid w:val="00FE35B6"/>
    <w:rsid w:val="00FF3681"/>
    <w:rsid w:val="015C4CBF"/>
    <w:rsid w:val="02117D9A"/>
    <w:rsid w:val="0232372D"/>
    <w:rsid w:val="02F619EC"/>
    <w:rsid w:val="032341C5"/>
    <w:rsid w:val="03A83A42"/>
    <w:rsid w:val="03E379A2"/>
    <w:rsid w:val="041E22FB"/>
    <w:rsid w:val="0475016D"/>
    <w:rsid w:val="05D721F2"/>
    <w:rsid w:val="0A2543E3"/>
    <w:rsid w:val="0A2830AC"/>
    <w:rsid w:val="0A5D1C72"/>
    <w:rsid w:val="0A727010"/>
    <w:rsid w:val="0B462863"/>
    <w:rsid w:val="0BE5207C"/>
    <w:rsid w:val="0CD77836"/>
    <w:rsid w:val="0DEA1BCB"/>
    <w:rsid w:val="0E6C4D9F"/>
    <w:rsid w:val="0FB9436E"/>
    <w:rsid w:val="10E548CC"/>
    <w:rsid w:val="10EF15A7"/>
    <w:rsid w:val="113F1AEE"/>
    <w:rsid w:val="115B540E"/>
    <w:rsid w:val="133E3283"/>
    <w:rsid w:val="139A7BF0"/>
    <w:rsid w:val="14EA7E81"/>
    <w:rsid w:val="151421A8"/>
    <w:rsid w:val="15253159"/>
    <w:rsid w:val="155F3D53"/>
    <w:rsid w:val="157C1E87"/>
    <w:rsid w:val="159468C1"/>
    <w:rsid w:val="15C2217E"/>
    <w:rsid w:val="15D63BCC"/>
    <w:rsid w:val="15F6320B"/>
    <w:rsid w:val="16593DC0"/>
    <w:rsid w:val="17BF578A"/>
    <w:rsid w:val="17F32EE2"/>
    <w:rsid w:val="18117D55"/>
    <w:rsid w:val="18263421"/>
    <w:rsid w:val="197565C6"/>
    <w:rsid w:val="1A18186E"/>
    <w:rsid w:val="1B4F155D"/>
    <w:rsid w:val="1C503906"/>
    <w:rsid w:val="1DE432AC"/>
    <w:rsid w:val="1E163551"/>
    <w:rsid w:val="1F0C4400"/>
    <w:rsid w:val="1F8E2FE8"/>
    <w:rsid w:val="203A77C4"/>
    <w:rsid w:val="21450846"/>
    <w:rsid w:val="21B43D41"/>
    <w:rsid w:val="224E366C"/>
    <w:rsid w:val="22D402FC"/>
    <w:rsid w:val="2335285B"/>
    <w:rsid w:val="252E676F"/>
    <w:rsid w:val="272A0E68"/>
    <w:rsid w:val="274D0351"/>
    <w:rsid w:val="27DE22E9"/>
    <w:rsid w:val="286D194F"/>
    <w:rsid w:val="28885E11"/>
    <w:rsid w:val="28F53B49"/>
    <w:rsid w:val="29C97C61"/>
    <w:rsid w:val="2B9F25ED"/>
    <w:rsid w:val="2BD6675A"/>
    <w:rsid w:val="2C5A6960"/>
    <w:rsid w:val="2C6E5A4D"/>
    <w:rsid w:val="2CA1696C"/>
    <w:rsid w:val="2CC8252C"/>
    <w:rsid w:val="2CCE28B7"/>
    <w:rsid w:val="2D0068BE"/>
    <w:rsid w:val="2D547055"/>
    <w:rsid w:val="2DD824AC"/>
    <w:rsid w:val="2E672C1C"/>
    <w:rsid w:val="2F837332"/>
    <w:rsid w:val="30A401EF"/>
    <w:rsid w:val="322E658F"/>
    <w:rsid w:val="32347FCD"/>
    <w:rsid w:val="32593CE2"/>
    <w:rsid w:val="32D85BE7"/>
    <w:rsid w:val="3329796B"/>
    <w:rsid w:val="34700A2F"/>
    <w:rsid w:val="358D4A67"/>
    <w:rsid w:val="35CA34F6"/>
    <w:rsid w:val="35CB4299"/>
    <w:rsid w:val="35EB4569"/>
    <w:rsid w:val="36161DCC"/>
    <w:rsid w:val="366867C2"/>
    <w:rsid w:val="38594DC9"/>
    <w:rsid w:val="388D2136"/>
    <w:rsid w:val="396E11A3"/>
    <w:rsid w:val="3A3E6499"/>
    <w:rsid w:val="3AAB1168"/>
    <w:rsid w:val="3AEC4906"/>
    <w:rsid w:val="3C2C44E9"/>
    <w:rsid w:val="3CA14B12"/>
    <w:rsid w:val="3DA05553"/>
    <w:rsid w:val="3DEA6E32"/>
    <w:rsid w:val="3DF31169"/>
    <w:rsid w:val="3E246184"/>
    <w:rsid w:val="3EF274D2"/>
    <w:rsid w:val="3EFD4AE8"/>
    <w:rsid w:val="3F13120C"/>
    <w:rsid w:val="3F696AF2"/>
    <w:rsid w:val="3FBC10C9"/>
    <w:rsid w:val="401C35B7"/>
    <w:rsid w:val="40423602"/>
    <w:rsid w:val="4080750E"/>
    <w:rsid w:val="42024E02"/>
    <w:rsid w:val="420764B5"/>
    <w:rsid w:val="422B5D33"/>
    <w:rsid w:val="425D1C65"/>
    <w:rsid w:val="42672AE3"/>
    <w:rsid w:val="440A15A0"/>
    <w:rsid w:val="442B555F"/>
    <w:rsid w:val="448734FB"/>
    <w:rsid w:val="44972DA7"/>
    <w:rsid w:val="4561465A"/>
    <w:rsid w:val="45983BDF"/>
    <w:rsid w:val="459E47A7"/>
    <w:rsid w:val="46CD07F9"/>
    <w:rsid w:val="47693BAF"/>
    <w:rsid w:val="482C45B3"/>
    <w:rsid w:val="486E3206"/>
    <w:rsid w:val="48FE0BAD"/>
    <w:rsid w:val="49727F94"/>
    <w:rsid w:val="49DC3654"/>
    <w:rsid w:val="4A324B44"/>
    <w:rsid w:val="4ACD5C5A"/>
    <w:rsid w:val="4B840262"/>
    <w:rsid w:val="4BE75A2A"/>
    <w:rsid w:val="4C510AF8"/>
    <w:rsid w:val="4E46218F"/>
    <w:rsid w:val="4EBA73A4"/>
    <w:rsid w:val="4FA520EA"/>
    <w:rsid w:val="4FC139BA"/>
    <w:rsid w:val="502E6EFE"/>
    <w:rsid w:val="5035522F"/>
    <w:rsid w:val="515F3303"/>
    <w:rsid w:val="5291359A"/>
    <w:rsid w:val="53A23A14"/>
    <w:rsid w:val="54120D39"/>
    <w:rsid w:val="542A6B2C"/>
    <w:rsid w:val="544F229E"/>
    <w:rsid w:val="55385BD7"/>
    <w:rsid w:val="56400311"/>
    <w:rsid w:val="56E5418D"/>
    <w:rsid w:val="584274DB"/>
    <w:rsid w:val="585A4B1B"/>
    <w:rsid w:val="599B1D79"/>
    <w:rsid w:val="5A4C01FF"/>
    <w:rsid w:val="5A8F2AFB"/>
    <w:rsid w:val="5A91106B"/>
    <w:rsid w:val="5AD25AC4"/>
    <w:rsid w:val="5B02520C"/>
    <w:rsid w:val="5BD838E7"/>
    <w:rsid w:val="5BD91F04"/>
    <w:rsid w:val="5C855626"/>
    <w:rsid w:val="5EE01142"/>
    <w:rsid w:val="60032852"/>
    <w:rsid w:val="60480F23"/>
    <w:rsid w:val="61946007"/>
    <w:rsid w:val="61BD1D0E"/>
    <w:rsid w:val="633D4A8B"/>
    <w:rsid w:val="640E3A9F"/>
    <w:rsid w:val="64191A38"/>
    <w:rsid w:val="64ED5461"/>
    <w:rsid w:val="64FB113D"/>
    <w:rsid w:val="658F2EA6"/>
    <w:rsid w:val="659772A6"/>
    <w:rsid w:val="6742329A"/>
    <w:rsid w:val="675F7512"/>
    <w:rsid w:val="68A31FFC"/>
    <w:rsid w:val="68A84122"/>
    <w:rsid w:val="68AD6BF3"/>
    <w:rsid w:val="696E2E35"/>
    <w:rsid w:val="6A585565"/>
    <w:rsid w:val="6A721EA2"/>
    <w:rsid w:val="6AB53F04"/>
    <w:rsid w:val="6AE32C8B"/>
    <w:rsid w:val="6C1132E7"/>
    <w:rsid w:val="6D600F61"/>
    <w:rsid w:val="6E9616EC"/>
    <w:rsid w:val="6F3A3EBA"/>
    <w:rsid w:val="700D0A38"/>
    <w:rsid w:val="70541114"/>
    <w:rsid w:val="707A560C"/>
    <w:rsid w:val="70B054D2"/>
    <w:rsid w:val="712D5BF6"/>
    <w:rsid w:val="71AD12AD"/>
    <w:rsid w:val="71EA5EF0"/>
    <w:rsid w:val="720C2DA1"/>
    <w:rsid w:val="72BF1288"/>
    <w:rsid w:val="73392B0C"/>
    <w:rsid w:val="74266144"/>
    <w:rsid w:val="75363ACC"/>
    <w:rsid w:val="75652356"/>
    <w:rsid w:val="762F76F3"/>
    <w:rsid w:val="76372D83"/>
    <w:rsid w:val="76876CD5"/>
    <w:rsid w:val="76B22FC1"/>
    <w:rsid w:val="76DF48EB"/>
    <w:rsid w:val="787C19CC"/>
    <w:rsid w:val="79173AC2"/>
    <w:rsid w:val="798C7570"/>
    <w:rsid w:val="7A0B19CB"/>
    <w:rsid w:val="7B0A1E99"/>
    <w:rsid w:val="7B85422E"/>
    <w:rsid w:val="7C1A2204"/>
    <w:rsid w:val="7C462374"/>
    <w:rsid w:val="7D5A2578"/>
    <w:rsid w:val="7DFB122D"/>
    <w:rsid w:val="7E633C7C"/>
    <w:rsid w:val="7EFD39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7"/>
    <w:autoRedefine/>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4">
    <w:name w:val="heading 2"/>
    <w:basedOn w:val="1"/>
    <w:next w:val="1"/>
    <w:link w:val="48"/>
    <w:autoRedefine/>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paragraph" w:styleId="5">
    <w:name w:val="heading 4"/>
    <w:basedOn w:val="1"/>
    <w:next w:val="1"/>
    <w:autoRedefine/>
    <w:semiHidden/>
    <w:qFormat/>
    <w:uiPriority w:val="9"/>
    <w:pPr>
      <w:keepNext/>
      <w:keepLines/>
      <w:spacing w:before="280" w:after="290" w:line="372" w:lineRule="auto"/>
      <w:outlineLvl w:val="3"/>
    </w:pPr>
    <w:rPr>
      <w:rFonts w:ascii="Cambria" w:hAnsi="Cambria"/>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index 4"/>
    <w:basedOn w:val="1"/>
    <w:next w:val="1"/>
    <w:autoRedefine/>
    <w:qFormat/>
    <w:uiPriority w:val="0"/>
    <w:pPr>
      <w:ind w:left="1260"/>
    </w:pPr>
    <w:rPr>
      <w:rFonts w:ascii="Calibri" w:hAnsi="Calibri" w:eastAsia="宋体" w:cs="Times New Roman"/>
      <w:szCs w:val="20"/>
    </w:rPr>
  </w:style>
  <w:style w:type="paragraph" w:styleId="6">
    <w:name w:val="Normal Indent"/>
    <w:basedOn w:val="1"/>
    <w:link w:val="46"/>
    <w:autoRedefine/>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7">
    <w:name w:val="Document Map"/>
    <w:basedOn w:val="1"/>
    <w:link w:val="49"/>
    <w:autoRedefine/>
    <w:semiHidden/>
    <w:unhideWhenUsed/>
    <w:qFormat/>
    <w:uiPriority w:val="99"/>
    <w:rPr>
      <w:rFonts w:ascii="宋体" w:eastAsia="宋体"/>
      <w:sz w:val="18"/>
      <w:szCs w:val="18"/>
    </w:rPr>
  </w:style>
  <w:style w:type="paragraph" w:styleId="8">
    <w:name w:val="toa heading"/>
    <w:basedOn w:val="1"/>
    <w:next w:val="1"/>
    <w:autoRedefine/>
    <w:qFormat/>
    <w:uiPriority w:val="0"/>
    <w:rPr>
      <w:rFonts w:ascii="Arial" w:hAnsi="Arial" w:eastAsia="宋体" w:cs="Times New Roman"/>
      <w:sz w:val="24"/>
      <w:szCs w:val="21"/>
    </w:rPr>
  </w:style>
  <w:style w:type="paragraph" w:styleId="9">
    <w:name w:val="annotation text"/>
    <w:basedOn w:val="1"/>
    <w:link w:val="52"/>
    <w:autoRedefine/>
    <w:semiHidden/>
    <w:unhideWhenUsed/>
    <w:qFormat/>
    <w:uiPriority w:val="99"/>
    <w:pPr>
      <w:jc w:val="left"/>
    </w:pPr>
  </w:style>
  <w:style w:type="paragraph" w:styleId="10">
    <w:name w:val="Body Text"/>
    <w:basedOn w:val="1"/>
    <w:autoRedefine/>
    <w:qFormat/>
    <w:uiPriority w:val="0"/>
    <w:rPr>
      <w:rFonts w:ascii="楷体_GB2312" w:hAnsi="Arial" w:eastAsia="楷体_GB2312"/>
      <w:sz w:val="28"/>
      <w:szCs w:val="28"/>
    </w:rPr>
  </w:style>
  <w:style w:type="paragraph" w:styleId="11">
    <w:name w:val="Body Text Indent"/>
    <w:basedOn w:val="1"/>
    <w:next w:val="12"/>
    <w:autoRedefine/>
    <w:semiHidden/>
    <w:unhideWhenUsed/>
    <w:qFormat/>
    <w:uiPriority w:val="99"/>
    <w:pPr>
      <w:spacing w:after="120"/>
      <w:ind w:left="420" w:leftChars="200"/>
    </w:pPr>
  </w:style>
  <w:style w:type="paragraph" w:styleId="12">
    <w:name w:val="envelope return"/>
    <w:basedOn w:val="1"/>
    <w:autoRedefine/>
    <w:unhideWhenUsed/>
    <w:qFormat/>
    <w:uiPriority w:val="99"/>
    <w:pPr>
      <w:snapToGrid w:val="0"/>
    </w:pPr>
    <w:rPr>
      <w:rFonts w:ascii="Arial" w:hAnsi="Arial" w:eastAsia="楷体_GB2312" w:cs="Times New Roman"/>
      <w:sz w:val="26"/>
      <w:szCs w:val="20"/>
    </w:rPr>
  </w:style>
  <w:style w:type="paragraph" w:styleId="13">
    <w:name w:val="toc 3"/>
    <w:basedOn w:val="1"/>
    <w:next w:val="1"/>
    <w:autoRedefine/>
    <w:qFormat/>
    <w:uiPriority w:val="0"/>
    <w:pPr>
      <w:ind w:left="840" w:leftChars="400"/>
    </w:pPr>
    <w:rPr>
      <w:rFonts w:ascii="Calibri" w:hAnsi="Calibri" w:eastAsia="宋体" w:cs="Times New Roman"/>
      <w:szCs w:val="20"/>
    </w:rPr>
  </w:style>
  <w:style w:type="paragraph" w:styleId="14">
    <w:name w:val="Plain Text"/>
    <w:basedOn w:val="1"/>
    <w:link w:val="58"/>
    <w:autoRedefine/>
    <w:qFormat/>
    <w:uiPriority w:val="99"/>
    <w:rPr>
      <w:rFonts w:ascii="宋体" w:hAnsi="Courier New" w:eastAsia="宋体" w:cs="Times New Roman"/>
      <w:szCs w:val="20"/>
    </w:rPr>
  </w:style>
  <w:style w:type="paragraph" w:styleId="15">
    <w:name w:val="Balloon Text"/>
    <w:basedOn w:val="1"/>
    <w:link w:val="51"/>
    <w:autoRedefine/>
    <w:semiHidden/>
    <w:unhideWhenUsed/>
    <w:qFormat/>
    <w:uiPriority w:val="99"/>
    <w:rPr>
      <w:sz w:val="18"/>
      <w:szCs w:val="18"/>
    </w:rPr>
  </w:style>
  <w:style w:type="paragraph" w:styleId="16">
    <w:name w:val="footer"/>
    <w:basedOn w:val="1"/>
    <w:link w:val="45"/>
    <w:autoRedefine/>
    <w:unhideWhenUsed/>
    <w:qFormat/>
    <w:uiPriority w:val="99"/>
    <w:pPr>
      <w:tabs>
        <w:tab w:val="center" w:pos="4153"/>
        <w:tab w:val="right" w:pos="8306"/>
      </w:tabs>
      <w:snapToGrid w:val="0"/>
      <w:jc w:val="left"/>
    </w:pPr>
    <w:rPr>
      <w:sz w:val="18"/>
      <w:szCs w:val="18"/>
    </w:rPr>
  </w:style>
  <w:style w:type="paragraph" w:styleId="17">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adjustRightInd w:val="0"/>
      <w:jc w:val="left"/>
      <w:textAlignment w:val="baseline"/>
    </w:pPr>
    <w:rPr>
      <w:rFonts w:ascii="Calibri" w:hAnsi="Calibri" w:eastAsia="楷体_GB2312" w:cs="Times New Roman"/>
      <w:sz w:val="24"/>
      <w:szCs w:val="20"/>
    </w:rPr>
  </w:style>
  <w:style w:type="paragraph" w:styleId="19">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20">
    <w:name w:val="Title"/>
    <w:basedOn w:val="1"/>
    <w:next w:val="1"/>
    <w:autoRedefine/>
    <w:qFormat/>
    <w:uiPriority w:val="10"/>
    <w:pPr>
      <w:autoSpaceDE/>
      <w:autoSpaceDN/>
      <w:adjustRightInd/>
      <w:spacing w:before="240" w:beforeLines="0" w:after="60" w:afterLines="0" w:line="360" w:lineRule="auto"/>
      <w:ind w:firstLine="643"/>
      <w:jc w:val="center"/>
      <w:outlineLvl w:val="0"/>
    </w:pPr>
    <w:rPr>
      <w:rFonts w:hint="eastAsia" w:ascii="Cambria" w:hAnsi="Cambria" w:cs="Times New Roman"/>
      <w:b/>
      <w:kern w:val="2"/>
      <w:sz w:val="44"/>
      <w:szCs w:val="32"/>
    </w:rPr>
  </w:style>
  <w:style w:type="paragraph" w:styleId="21">
    <w:name w:val="annotation subject"/>
    <w:basedOn w:val="9"/>
    <w:next w:val="9"/>
    <w:link w:val="53"/>
    <w:autoRedefine/>
    <w:semiHidden/>
    <w:unhideWhenUsed/>
    <w:qFormat/>
    <w:uiPriority w:val="99"/>
    <w:rPr>
      <w:b/>
      <w:bCs/>
    </w:rPr>
  </w:style>
  <w:style w:type="paragraph" w:styleId="22">
    <w:name w:val="Body Text First Indent"/>
    <w:basedOn w:val="1"/>
    <w:next w:val="1"/>
    <w:autoRedefine/>
    <w:unhideWhenUsed/>
    <w:qFormat/>
    <w:uiPriority w:val="99"/>
    <w:pPr>
      <w:ind w:firstLine="420" w:firstLineChars="100"/>
    </w:pPr>
  </w:style>
  <w:style w:type="paragraph" w:styleId="23">
    <w:name w:val="Body Text First Indent 2"/>
    <w:basedOn w:val="11"/>
    <w:autoRedefine/>
    <w:unhideWhenUsed/>
    <w:qFormat/>
    <w:uiPriority w:val="99"/>
    <w:pPr>
      <w:ind w:firstLine="420" w:firstLineChars="200"/>
    </w:pPr>
  </w:style>
  <w:style w:type="table" w:styleId="25">
    <w:name w:val="Table Grid"/>
    <w:basedOn w:val="2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autoRedefine/>
    <w:semiHidden/>
    <w:unhideWhenUsed/>
    <w:qFormat/>
    <w:uiPriority w:val="99"/>
    <w:rPr>
      <w:color w:val="800080"/>
      <w:u w:val="none"/>
    </w:rPr>
  </w:style>
  <w:style w:type="character" w:styleId="28">
    <w:name w:val="HTML Definition"/>
    <w:basedOn w:val="26"/>
    <w:autoRedefine/>
    <w:semiHidden/>
    <w:unhideWhenUsed/>
    <w:qFormat/>
    <w:uiPriority w:val="99"/>
  </w:style>
  <w:style w:type="character" w:styleId="29">
    <w:name w:val="HTML Typewriter"/>
    <w:basedOn w:val="26"/>
    <w:autoRedefine/>
    <w:semiHidden/>
    <w:unhideWhenUsed/>
    <w:qFormat/>
    <w:uiPriority w:val="99"/>
    <w:rPr>
      <w:rFonts w:ascii="monospace" w:hAnsi="monospace" w:eastAsia="monospace" w:cs="monospace"/>
      <w:sz w:val="20"/>
    </w:rPr>
  </w:style>
  <w:style w:type="character" w:styleId="30">
    <w:name w:val="HTML Acronym"/>
    <w:basedOn w:val="26"/>
    <w:autoRedefine/>
    <w:semiHidden/>
    <w:unhideWhenUsed/>
    <w:qFormat/>
    <w:uiPriority w:val="99"/>
  </w:style>
  <w:style w:type="character" w:styleId="31">
    <w:name w:val="HTML Variable"/>
    <w:basedOn w:val="26"/>
    <w:autoRedefine/>
    <w:semiHidden/>
    <w:unhideWhenUsed/>
    <w:qFormat/>
    <w:uiPriority w:val="99"/>
  </w:style>
  <w:style w:type="character" w:styleId="32">
    <w:name w:val="Hyperlink"/>
    <w:basedOn w:val="26"/>
    <w:autoRedefine/>
    <w:unhideWhenUsed/>
    <w:qFormat/>
    <w:uiPriority w:val="99"/>
    <w:rPr>
      <w:color w:val="0000FF" w:themeColor="hyperlink"/>
      <w:u w:val="single"/>
      <w14:textFill>
        <w14:solidFill>
          <w14:schemeClr w14:val="hlink"/>
        </w14:solidFill>
      </w14:textFill>
    </w:rPr>
  </w:style>
  <w:style w:type="character" w:styleId="33">
    <w:name w:val="HTML Code"/>
    <w:basedOn w:val="26"/>
    <w:autoRedefine/>
    <w:semiHidden/>
    <w:unhideWhenUsed/>
    <w:qFormat/>
    <w:uiPriority w:val="99"/>
    <w:rPr>
      <w:rFonts w:hint="default" w:ascii="monospace" w:hAnsi="monospace" w:eastAsia="monospace" w:cs="monospace"/>
      <w:sz w:val="20"/>
    </w:rPr>
  </w:style>
  <w:style w:type="character" w:styleId="34">
    <w:name w:val="annotation reference"/>
    <w:basedOn w:val="26"/>
    <w:autoRedefine/>
    <w:semiHidden/>
    <w:unhideWhenUsed/>
    <w:qFormat/>
    <w:uiPriority w:val="99"/>
    <w:rPr>
      <w:sz w:val="21"/>
      <w:szCs w:val="21"/>
    </w:rPr>
  </w:style>
  <w:style w:type="character" w:styleId="35">
    <w:name w:val="HTML Cite"/>
    <w:basedOn w:val="26"/>
    <w:autoRedefine/>
    <w:semiHidden/>
    <w:unhideWhenUsed/>
    <w:qFormat/>
    <w:uiPriority w:val="99"/>
  </w:style>
  <w:style w:type="character" w:styleId="36">
    <w:name w:val="HTML Keyboard"/>
    <w:basedOn w:val="26"/>
    <w:autoRedefine/>
    <w:semiHidden/>
    <w:unhideWhenUsed/>
    <w:qFormat/>
    <w:uiPriority w:val="99"/>
    <w:rPr>
      <w:rFonts w:hint="default" w:ascii="monospace" w:hAnsi="monospace" w:eastAsia="monospace" w:cs="monospace"/>
      <w:sz w:val="20"/>
    </w:rPr>
  </w:style>
  <w:style w:type="character" w:styleId="37">
    <w:name w:val="HTML Sample"/>
    <w:basedOn w:val="26"/>
    <w:autoRedefine/>
    <w:semiHidden/>
    <w:unhideWhenUsed/>
    <w:qFormat/>
    <w:uiPriority w:val="99"/>
    <w:rPr>
      <w:rFonts w:hint="default" w:ascii="monospace" w:hAnsi="monospace" w:eastAsia="monospace" w:cs="monospace"/>
    </w:rPr>
  </w:style>
  <w:style w:type="paragraph" w:customStyle="1" w:styleId="38">
    <w:name w:val="首行缩进"/>
    <w:basedOn w:val="1"/>
    <w:qFormat/>
    <w:uiPriority w:val="0"/>
    <w:pPr>
      <w:ind w:firstLine="480" w:firstLineChars="200"/>
    </w:pPr>
    <w:rPr>
      <w:lang w:val="zh-CN"/>
    </w:rPr>
  </w:style>
  <w:style w:type="paragraph" w:customStyle="1" w:styleId="39">
    <w:name w:val="无间隔1"/>
    <w:qFormat/>
    <w:uiPriority w:val="0"/>
    <w:pPr>
      <w:spacing w:line="300" w:lineRule="auto"/>
    </w:pPr>
    <w:rPr>
      <w:rFonts w:ascii="Times New Roman" w:hAnsi="Times New Roman" w:eastAsia="华文仿宋" w:cs="Times New Roman"/>
      <w:sz w:val="24"/>
      <w:szCs w:val="24"/>
      <w:lang w:val="en-US" w:eastAsia="zh-CN" w:bidi="ar-SA"/>
    </w:rPr>
  </w:style>
  <w:style w:type="paragraph" w:customStyle="1" w:styleId="40">
    <w:name w:val="Default"/>
    <w:autoRedefine/>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41">
    <w:name w:val="正文首行缩进 21"/>
    <w:basedOn w:val="11"/>
    <w:autoRedefine/>
    <w:unhideWhenUsed/>
    <w:qFormat/>
    <w:uiPriority w:val="0"/>
    <w:pPr>
      <w:ind w:firstLine="420"/>
    </w:pPr>
    <w:rPr>
      <w:lang w:val="en-US" w:eastAsia="en-US"/>
    </w:rPr>
  </w:style>
  <w:style w:type="paragraph" w:customStyle="1" w:styleId="42">
    <w:name w:val="正文文本缩进1"/>
    <w:basedOn w:val="1"/>
    <w:next w:val="43"/>
    <w:autoRedefine/>
    <w:unhideWhenUsed/>
    <w:qFormat/>
    <w:uiPriority w:val="0"/>
    <w:pPr>
      <w:spacing w:after="120"/>
      <w:ind w:left="420"/>
    </w:pPr>
    <w:rPr>
      <w:rFonts w:ascii="Times New Roman" w:hAnsi="Times New Roman"/>
      <w:lang w:val="en-US" w:eastAsia="en-US"/>
    </w:rPr>
  </w:style>
  <w:style w:type="paragraph" w:customStyle="1" w:styleId="43">
    <w:name w:val="寄信人地址1"/>
    <w:basedOn w:val="1"/>
    <w:autoRedefine/>
    <w:unhideWhenUsed/>
    <w:qFormat/>
    <w:uiPriority w:val="99"/>
    <w:rPr>
      <w:rFonts w:ascii="Arial" w:hAnsi="Arial" w:eastAsia="楷体_GB2312" w:cs="Times New Roman"/>
      <w:sz w:val="26"/>
      <w:szCs w:val="20"/>
    </w:rPr>
  </w:style>
  <w:style w:type="character" w:customStyle="1" w:styleId="44">
    <w:name w:val="页眉 Char"/>
    <w:basedOn w:val="26"/>
    <w:link w:val="17"/>
    <w:autoRedefine/>
    <w:qFormat/>
    <w:uiPriority w:val="99"/>
    <w:rPr>
      <w:sz w:val="18"/>
      <w:szCs w:val="18"/>
    </w:rPr>
  </w:style>
  <w:style w:type="character" w:customStyle="1" w:styleId="45">
    <w:name w:val="页脚 Char"/>
    <w:basedOn w:val="26"/>
    <w:link w:val="16"/>
    <w:autoRedefine/>
    <w:qFormat/>
    <w:uiPriority w:val="99"/>
    <w:rPr>
      <w:sz w:val="18"/>
      <w:szCs w:val="18"/>
    </w:rPr>
  </w:style>
  <w:style w:type="character" w:customStyle="1" w:styleId="46">
    <w:name w:val="正文缩进 Char"/>
    <w:link w:val="6"/>
    <w:autoRedefine/>
    <w:qFormat/>
    <w:uiPriority w:val="0"/>
    <w:rPr>
      <w:rFonts w:ascii="Calibri" w:hAnsi="Calibri" w:eastAsia="楷体_GB2312" w:cs="Times New Roman"/>
      <w:kern w:val="0"/>
      <w:sz w:val="24"/>
      <w:szCs w:val="20"/>
    </w:rPr>
  </w:style>
  <w:style w:type="character" w:customStyle="1" w:styleId="47">
    <w:name w:val="标题 1 Char"/>
    <w:basedOn w:val="26"/>
    <w:link w:val="3"/>
    <w:autoRedefine/>
    <w:qFormat/>
    <w:uiPriority w:val="0"/>
    <w:rPr>
      <w:rFonts w:ascii="Calibri" w:hAnsi="Calibri" w:eastAsia="楷体_GB2312" w:cs="Times New Roman"/>
      <w:b/>
      <w:kern w:val="44"/>
      <w:sz w:val="44"/>
      <w:szCs w:val="20"/>
    </w:rPr>
  </w:style>
  <w:style w:type="character" w:customStyle="1" w:styleId="48">
    <w:name w:val="标题 2 Char"/>
    <w:basedOn w:val="26"/>
    <w:link w:val="4"/>
    <w:autoRedefine/>
    <w:qFormat/>
    <w:uiPriority w:val="9"/>
    <w:rPr>
      <w:rFonts w:asciiTheme="majorHAnsi" w:hAnsiTheme="majorHAnsi" w:eastAsiaTheme="majorEastAsia" w:cstheme="majorBidi"/>
      <w:b/>
      <w:bCs/>
      <w:sz w:val="32"/>
      <w:szCs w:val="32"/>
    </w:rPr>
  </w:style>
  <w:style w:type="character" w:customStyle="1" w:styleId="49">
    <w:name w:val="文档结构图 Char"/>
    <w:basedOn w:val="26"/>
    <w:link w:val="7"/>
    <w:autoRedefine/>
    <w:semiHidden/>
    <w:qFormat/>
    <w:uiPriority w:val="99"/>
    <w:rPr>
      <w:rFonts w:ascii="宋体" w:eastAsia="宋体"/>
      <w:sz w:val="18"/>
      <w:szCs w:val="18"/>
    </w:rPr>
  </w:style>
  <w:style w:type="character" w:customStyle="1" w:styleId="50">
    <w:name w:val="NormalCharacter"/>
    <w:autoRedefine/>
    <w:qFormat/>
    <w:uiPriority w:val="0"/>
    <w:rPr>
      <w:rFonts w:ascii="Times New Roman" w:hAnsi="Times New Roman" w:eastAsia="宋体" w:cs="Times New Roman"/>
    </w:rPr>
  </w:style>
  <w:style w:type="character" w:customStyle="1" w:styleId="51">
    <w:name w:val="批注框文本 Char"/>
    <w:basedOn w:val="26"/>
    <w:link w:val="15"/>
    <w:autoRedefine/>
    <w:semiHidden/>
    <w:qFormat/>
    <w:uiPriority w:val="99"/>
    <w:rPr>
      <w:kern w:val="2"/>
      <w:sz w:val="18"/>
      <w:szCs w:val="18"/>
    </w:rPr>
  </w:style>
  <w:style w:type="character" w:customStyle="1" w:styleId="52">
    <w:name w:val="批注文字 Char"/>
    <w:basedOn w:val="26"/>
    <w:link w:val="9"/>
    <w:autoRedefine/>
    <w:semiHidden/>
    <w:qFormat/>
    <w:uiPriority w:val="99"/>
    <w:rPr>
      <w:kern w:val="2"/>
      <w:sz w:val="21"/>
      <w:szCs w:val="22"/>
    </w:rPr>
  </w:style>
  <w:style w:type="character" w:customStyle="1" w:styleId="53">
    <w:name w:val="批注主题 Char"/>
    <w:basedOn w:val="52"/>
    <w:link w:val="21"/>
    <w:autoRedefine/>
    <w:semiHidden/>
    <w:qFormat/>
    <w:uiPriority w:val="99"/>
    <w:rPr>
      <w:b/>
      <w:bCs/>
      <w:kern w:val="2"/>
      <w:sz w:val="21"/>
      <w:szCs w:val="22"/>
    </w:rPr>
  </w:style>
  <w:style w:type="character" w:customStyle="1" w:styleId="54">
    <w:name w:val="普通正文 Char"/>
    <w:link w:val="55"/>
    <w:autoRedefine/>
    <w:qFormat/>
    <w:uiPriority w:val="0"/>
    <w:rPr>
      <w:rFonts w:ascii="Arial" w:hAnsi="Arial"/>
      <w:sz w:val="24"/>
      <w:szCs w:val="24"/>
    </w:rPr>
  </w:style>
  <w:style w:type="paragraph" w:customStyle="1" w:styleId="55">
    <w:name w:val="普通正文"/>
    <w:basedOn w:val="1"/>
    <w:link w:val="54"/>
    <w:autoRedefine/>
    <w:qFormat/>
    <w:uiPriority w:val="99"/>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56">
    <w:name w:val="Normal_6"/>
    <w:autoRedefine/>
    <w:qFormat/>
    <w:uiPriority w:val="0"/>
    <w:rPr>
      <w:rFonts w:ascii="Times New Roman" w:hAnsi="Times New Roman" w:eastAsia="Times New Roman" w:cs="Times New Roman"/>
      <w:sz w:val="24"/>
      <w:szCs w:val="24"/>
      <w:lang w:val="en-US" w:eastAsia="zh-CN" w:bidi="ar-SA"/>
    </w:rPr>
  </w:style>
  <w:style w:type="paragraph" w:customStyle="1" w:styleId="57">
    <w:name w:val="Normal_5"/>
    <w:autoRedefine/>
    <w:qFormat/>
    <w:uiPriority w:val="0"/>
    <w:rPr>
      <w:rFonts w:ascii="Times New Roman" w:hAnsi="Times New Roman" w:eastAsia="Times New Roman" w:cs="Times New Roman"/>
      <w:sz w:val="24"/>
      <w:szCs w:val="24"/>
      <w:lang w:val="en-US" w:eastAsia="zh-CN" w:bidi="ar-SA"/>
    </w:rPr>
  </w:style>
  <w:style w:type="character" w:customStyle="1" w:styleId="58">
    <w:name w:val="纯文本 Char"/>
    <w:basedOn w:val="26"/>
    <w:link w:val="14"/>
    <w:autoRedefine/>
    <w:qFormat/>
    <w:locked/>
    <w:uiPriority w:val="0"/>
    <w:rPr>
      <w:rFonts w:ascii="宋体" w:hAnsi="Courier New" w:eastAsia="宋体" w:cs="Times New Roman"/>
      <w:kern w:val="2"/>
      <w:sz w:val="21"/>
    </w:rPr>
  </w:style>
  <w:style w:type="paragraph" w:styleId="59">
    <w:name w:val="List Paragraph"/>
    <w:basedOn w:val="1"/>
    <w:autoRedefine/>
    <w:qFormat/>
    <w:uiPriority w:val="34"/>
    <w:pPr>
      <w:ind w:firstLine="420" w:firstLineChars="200"/>
    </w:pPr>
    <w:rPr>
      <w:rFonts w:ascii="Times New Roman" w:hAnsi="Times New Roman" w:eastAsia="宋体" w:cs="Times New Roman"/>
      <w:szCs w:val="21"/>
    </w:rPr>
  </w:style>
  <w:style w:type="paragraph" w:customStyle="1" w:styleId="60">
    <w:name w:val="正文1"/>
    <w:autoRedefine/>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61">
    <w:name w:val="列出段落2"/>
    <w:basedOn w:val="1"/>
    <w:autoRedefine/>
    <w:qFormat/>
    <w:uiPriority w:val="99"/>
    <w:pPr>
      <w:ind w:firstLine="420" w:firstLineChars="200"/>
    </w:pPr>
    <w:rPr>
      <w:rFonts w:ascii="Times New Roman" w:hAnsi="Times New Roman"/>
      <w:szCs w:val="24"/>
    </w:rPr>
  </w:style>
  <w:style w:type="character" w:customStyle="1" w:styleId="62">
    <w:name w:val="样式 小四 加粗"/>
    <w:basedOn w:val="26"/>
    <w:autoRedefine/>
    <w:qFormat/>
    <w:uiPriority w:val="0"/>
    <w:rPr>
      <w:rFonts w:eastAsia="黑体"/>
      <w:b/>
      <w:bCs/>
      <w:sz w:val="24"/>
    </w:rPr>
  </w:style>
  <w:style w:type="character" w:customStyle="1" w:styleId="63">
    <w:name w:val="first-child"/>
    <w:basedOn w:val="26"/>
    <w:autoRedefine/>
    <w:qFormat/>
    <w:uiPriority w:val="0"/>
  </w:style>
  <w:style w:type="character" w:customStyle="1" w:styleId="64">
    <w:name w:val="hover3"/>
    <w:basedOn w:val="26"/>
    <w:autoRedefine/>
    <w:qFormat/>
    <w:uiPriority w:val="0"/>
    <w:rPr>
      <w:color w:val="5FB878"/>
    </w:rPr>
  </w:style>
  <w:style w:type="character" w:customStyle="1" w:styleId="65">
    <w:name w:val="hover4"/>
    <w:basedOn w:val="26"/>
    <w:autoRedefine/>
    <w:qFormat/>
    <w:uiPriority w:val="0"/>
    <w:rPr>
      <w:color w:val="5FB878"/>
    </w:rPr>
  </w:style>
  <w:style w:type="character" w:customStyle="1" w:styleId="66">
    <w:name w:val="hover5"/>
    <w:basedOn w:val="26"/>
    <w:autoRedefine/>
    <w:qFormat/>
    <w:uiPriority w:val="0"/>
    <w:rPr>
      <w:color w:val="FFFFFF"/>
    </w:rPr>
  </w:style>
  <w:style w:type="character" w:customStyle="1" w:styleId="67">
    <w:name w:val="layui-this"/>
    <w:basedOn w:val="26"/>
    <w:autoRedefine/>
    <w:qFormat/>
    <w:uiPriority w:val="0"/>
    <w:rPr>
      <w:bdr w:val="single" w:color="EEEEEE" w:sz="6" w:space="0"/>
      <w:shd w:val="clear" w:fill="FFFFFF"/>
    </w:rPr>
  </w:style>
  <w:style w:type="paragraph" w:customStyle="1" w:styleId="68">
    <w:name w:val="正文缩进2格"/>
    <w:basedOn w:val="1"/>
    <w:qFormat/>
    <w:uiPriority w:val="0"/>
    <w:pPr>
      <w:spacing w:line="600" w:lineRule="exact"/>
      <w:ind w:firstLine="206"/>
    </w:pPr>
    <w:rPr>
      <w:rFonts w:ascii="仿宋_GB2312" w:hAnsi="宋体" w:eastAsia="仿宋_GB2312"/>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DD749-82EB-4CF5-A9C1-4770C2D469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16696</Words>
  <Characters>17117</Characters>
  <Lines>120</Lines>
  <Paragraphs>33</Paragraphs>
  <TotalTime>4</TotalTime>
  <ScaleCrop>false</ScaleCrop>
  <LinksUpToDate>false</LinksUpToDate>
  <CharactersWithSpaces>17385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2023-06-15T08:52:00Z</dcterms:created>
  <dc:creator>Administrator</dc:creator>
  <cp:lastModifiedBy>Administrator</cp:lastModifiedBy>
  <dcterms:modified xsi:type="dcterms:W3CDTF">2024-11-07T03:23:59Z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079A696EDF02486BB848DA2AE0392408_13</vt:lpwstr>
  </property>
</Properties>
</file>