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D073">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color w:val="auto"/>
          <w:sz w:val="44"/>
          <w:szCs w:val="44"/>
          <w:highlight w:val="none"/>
        </w:rPr>
      </w:pPr>
    </w:p>
    <w:p w14:paraId="18194507">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color w:val="auto"/>
          <w:sz w:val="44"/>
          <w:szCs w:val="44"/>
          <w:highlight w:val="none"/>
        </w:rPr>
      </w:pPr>
      <w:r>
        <w:rPr>
          <w:rFonts w:ascii="Times New Roman" w:hAnsi="Times New Roman" w:eastAsia="宋体"/>
          <w:color w:val="auto"/>
          <w:sz w:val="44"/>
          <w:szCs w:val="44"/>
          <w:highlight w:val="none"/>
        </w:rPr>
        <w:tab/>
      </w:r>
    </w:p>
    <w:p w14:paraId="256A3111">
      <w:pPr>
        <w:pStyle w:val="58"/>
        <w:keepNext w:val="0"/>
        <w:keepLines w:val="0"/>
        <w:pageBreakBefore w:val="0"/>
        <w:widowControl w:val="0"/>
        <w:kinsoku/>
        <w:wordWrap/>
        <w:topLinePunct w:val="0"/>
        <w:autoSpaceDE/>
        <w:autoSpaceDN/>
        <w:bidi w:val="0"/>
        <w:spacing w:before="0" w:after="0" w:line="360" w:lineRule="auto"/>
        <w:ind w:firstLine="0"/>
        <w:rPr>
          <w:rFonts w:hint="eastAsia" w:ascii="Times New Roman" w:hAnsi="Times New Roman" w:eastAsia="宋体"/>
          <w:b/>
          <w:color w:val="auto"/>
          <w:sz w:val="56"/>
          <w:szCs w:val="56"/>
          <w:highlight w:val="none"/>
          <w:lang w:eastAsia="zh-CN"/>
        </w:rPr>
      </w:pPr>
      <w:r>
        <w:rPr>
          <w:rFonts w:hint="eastAsia" w:ascii="Times New Roman" w:hAnsi="Times New Roman" w:eastAsia="宋体"/>
          <w:b/>
          <w:color w:val="auto"/>
          <w:sz w:val="56"/>
          <w:szCs w:val="56"/>
          <w:highlight w:val="none"/>
          <w:lang w:eastAsia="zh-CN"/>
        </w:rPr>
        <w:t>南通市第三人民医院传染病智能检测预警前置软件服务及设备项目</w:t>
      </w:r>
    </w:p>
    <w:p w14:paraId="3B9B7B9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72"/>
          <w:szCs w:val="56"/>
          <w:highlight w:val="none"/>
        </w:rPr>
      </w:pPr>
    </w:p>
    <w:p w14:paraId="05910CD9">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56"/>
          <w:szCs w:val="56"/>
          <w:highlight w:val="none"/>
        </w:rPr>
      </w:pPr>
    </w:p>
    <w:p w14:paraId="05DDC48D">
      <w:pPr>
        <w:keepNext w:val="0"/>
        <w:keepLines w:val="0"/>
        <w:pageBreakBefore w:val="0"/>
        <w:widowControl w:val="0"/>
        <w:kinsoku/>
        <w:wordWrap/>
        <w:topLinePunct w:val="0"/>
        <w:autoSpaceDE/>
        <w:autoSpaceDN/>
        <w:bidi w:val="0"/>
        <w:spacing w:line="360" w:lineRule="auto"/>
        <w:jc w:val="both"/>
        <w:textAlignment w:val="baseline"/>
        <w:rPr>
          <w:rFonts w:ascii="Times New Roman" w:hAnsi="Times New Roman" w:eastAsia="宋体"/>
          <w:b/>
          <w:color w:val="auto"/>
          <w:sz w:val="72"/>
          <w:szCs w:val="56"/>
          <w:highlight w:val="none"/>
        </w:rPr>
      </w:pPr>
    </w:p>
    <w:p w14:paraId="627049D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72"/>
          <w:szCs w:val="56"/>
          <w:highlight w:val="none"/>
        </w:rPr>
      </w:pPr>
      <w:r>
        <w:rPr>
          <w:rFonts w:ascii="Times New Roman" w:hAnsi="Times New Roman" w:eastAsia="宋体"/>
          <w:b/>
          <w:color w:val="auto"/>
          <w:sz w:val="72"/>
          <w:szCs w:val="56"/>
          <w:highlight w:val="none"/>
        </w:rPr>
        <w:t>竞争性磋商文件</w:t>
      </w:r>
    </w:p>
    <w:p w14:paraId="6A1AA93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44"/>
          <w:szCs w:val="44"/>
          <w:highlight w:val="none"/>
        </w:rPr>
      </w:pPr>
      <w:r>
        <w:rPr>
          <w:rFonts w:hint="eastAsia" w:ascii="Times New Roman" w:hAnsi="Times New Roman" w:eastAsia="宋体"/>
          <w:b/>
          <w:color w:val="auto"/>
          <w:sz w:val="44"/>
          <w:szCs w:val="44"/>
          <w:highlight w:val="none"/>
        </w:rPr>
        <w:t>（资格后审）</w:t>
      </w:r>
    </w:p>
    <w:p w14:paraId="2496116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43AF1A53">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598111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36"/>
          <w:highlight w:val="none"/>
        </w:rPr>
      </w:pPr>
    </w:p>
    <w:p w14:paraId="4B1DF84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55E9D7B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color w:val="auto"/>
          <w:sz w:val="30"/>
          <w:szCs w:val="30"/>
          <w:highlight w:val="none"/>
        </w:rPr>
      </w:pPr>
    </w:p>
    <w:p w14:paraId="5169DFD1">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color w:val="auto"/>
          <w:sz w:val="30"/>
          <w:szCs w:val="30"/>
          <w:highlight w:val="none"/>
        </w:rPr>
      </w:pPr>
    </w:p>
    <w:p w14:paraId="1724E4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color w:val="auto"/>
          <w:sz w:val="30"/>
          <w:szCs w:val="30"/>
          <w:highlight w:val="none"/>
        </w:rPr>
      </w:pPr>
      <w:r>
        <w:rPr>
          <w:rFonts w:hint="eastAsia" w:ascii="Times New Roman" w:hAnsi="Times New Roman" w:eastAsia="宋体" w:cs="宋体"/>
          <w:b/>
          <w:color w:val="auto"/>
          <w:sz w:val="30"/>
          <w:szCs w:val="30"/>
          <w:highlight w:val="none"/>
        </w:rPr>
        <w:t>采购单位：南通市第三人民医院</w:t>
      </w:r>
    </w:p>
    <w:p w14:paraId="60B36CCE">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color w:val="auto"/>
          <w:sz w:val="30"/>
          <w:szCs w:val="30"/>
          <w:highlight w:val="none"/>
        </w:rPr>
      </w:pPr>
      <w:r>
        <w:rPr>
          <w:rFonts w:hint="eastAsia" w:ascii="Times New Roman" w:hAnsi="Times New Roman" w:eastAsia="宋体" w:cs="宋体"/>
          <w:b/>
          <w:color w:val="auto"/>
          <w:sz w:val="30"/>
          <w:szCs w:val="30"/>
          <w:highlight w:val="none"/>
        </w:rPr>
        <w:t>代理机构：宏信天德工程顾问有限公司</w:t>
      </w:r>
    </w:p>
    <w:p w14:paraId="689D664C">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color w:val="auto"/>
          <w:sz w:val="30"/>
          <w:szCs w:val="30"/>
          <w:highlight w:val="none"/>
          <w:lang w:eastAsia="zh-CN"/>
        </w:rPr>
      </w:pPr>
      <w:r>
        <w:rPr>
          <w:rFonts w:hint="eastAsia" w:ascii="Times New Roman" w:hAnsi="Times New Roman" w:eastAsia="宋体" w:cs="宋体"/>
          <w:b/>
          <w:color w:val="auto"/>
          <w:sz w:val="30"/>
          <w:szCs w:val="30"/>
          <w:highlight w:val="none"/>
        </w:rPr>
        <w:t>二○二</w:t>
      </w:r>
      <w:r>
        <w:rPr>
          <w:rFonts w:hint="eastAsia" w:ascii="Times New Roman" w:hAnsi="Times New Roman" w:eastAsia="宋体" w:cs="宋体"/>
          <w:b/>
          <w:color w:val="auto"/>
          <w:sz w:val="30"/>
          <w:szCs w:val="30"/>
          <w:highlight w:val="none"/>
          <w:lang w:eastAsia="zh-CN"/>
        </w:rPr>
        <w:t>四</w:t>
      </w:r>
      <w:r>
        <w:rPr>
          <w:rFonts w:hint="eastAsia" w:ascii="Times New Roman" w:hAnsi="Times New Roman" w:eastAsia="宋体" w:cs="宋体"/>
          <w:b/>
          <w:color w:val="auto"/>
          <w:sz w:val="30"/>
          <w:szCs w:val="30"/>
          <w:highlight w:val="none"/>
        </w:rPr>
        <w:t>年</w:t>
      </w:r>
      <w:r>
        <w:rPr>
          <w:rFonts w:hint="eastAsia" w:ascii="Times New Roman" w:hAnsi="Times New Roman" w:eastAsia="宋体" w:cs="宋体"/>
          <w:b/>
          <w:color w:val="auto"/>
          <w:sz w:val="30"/>
          <w:szCs w:val="30"/>
          <w:highlight w:val="none"/>
          <w:lang w:eastAsia="zh-CN"/>
        </w:rPr>
        <w:t>十一月</w:t>
      </w:r>
    </w:p>
    <w:p w14:paraId="716420A6">
      <w:pPr>
        <w:keepNext w:val="0"/>
        <w:keepLines w:val="0"/>
        <w:pageBreakBefore w:val="0"/>
        <w:widowControl w:val="0"/>
        <w:kinsoku/>
        <w:wordWrap/>
        <w:topLinePunct w:val="0"/>
        <w:autoSpaceDE/>
        <w:autoSpaceDN/>
        <w:bidi w:val="0"/>
        <w:spacing w:line="360" w:lineRule="auto"/>
        <w:rPr>
          <w:rFonts w:hint="eastAsia" w:ascii="Times New Roman" w:hAnsi="Times New Roman" w:eastAsia="宋体" w:cs="仿宋"/>
          <w:b/>
          <w:color w:val="auto"/>
          <w:sz w:val="32"/>
          <w:szCs w:val="32"/>
          <w:highlight w:val="none"/>
          <w:lang w:eastAsia="zh-CN"/>
        </w:rPr>
      </w:pPr>
      <w:r>
        <w:rPr>
          <w:rFonts w:hint="eastAsia" w:ascii="Times New Roman" w:hAnsi="Times New Roman" w:eastAsia="宋体" w:cs="仿宋"/>
          <w:b/>
          <w:color w:val="auto"/>
          <w:sz w:val="32"/>
          <w:szCs w:val="32"/>
          <w:highlight w:val="none"/>
          <w:lang w:eastAsia="zh-CN"/>
        </w:rPr>
        <w:br w:type="page"/>
      </w:r>
    </w:p>
    <w:p w14:paraId="5172A593">
      <w:pPr>
        <w:pStyle w:val="7"/>
        <w:keepNext w:val="0"/>
        <w:keepLines w:val="0"/>
        <w:pageBreakBefore w:val="0"/>
        <w:widowControl w:val="0"/>
        <w:kinsoku/>
        <w:wordWrap/>
        <w:topLinePunct w:val="0"/>
        <w:autoSpaceDE/>
        <w:autoSpaceDN/>
        <w:bidi w:val="0"/>
        <w:spacing w:line="360" w:lineRule="auto"/>
        <w:rPr>
          <w:rFonts w:hint="eastAsia" w:ascii="Times New Roman" w:hAnsi="Times New Roman" w:eastAsia="宋体"/>
          <w:color w:val="auto"/>
          <w:highlight w:val="none"/>
        </w:rPr>
      </w:pPr>
    </w:p>
    <w:p w14:paraId="2AED9958">
      <w:pPr>
        <w:keepNext w:val="0"/>
        <w:keepLines w:val="0"/>
        <w:pageBreakBefore w:val="0"/>
        <w:widowControl w:val="0"/>
        <w:kinsoku/>
        <w:wordWrap/>
        <w:topLinePunct w:val="0"/>
        <w:autoSpaceDE/>
        <w:autoSpaceDN/>
        <w:bidi w:val="0"/>
        <w:adjustRightInd w:val="0"/>
        <w:snapToGrid w:val="0"/>
        <w:spacing w:line="360" w:lineRule="auto"/>
        <w:jc w:val="center"/>
        <w:rPr>
          <w:rFonts w:ascii="Times New Roman" w:hAnsi="Times New Roman" w:eastAsia="宋体"/>
          <w:b/>
          <w:color w:val="auto"/>
          <w:sz w:val="30"/>
          <w:szCs w:val="30"/>
          <w:highlight w:val="none"/>
        </w:rPr>
      </w:pPr>
      <w:r>
        <w:rPr>
          <w:rFonts w:hint="eastAsia" w:ascii="Times New Roman" w:hAnsi="Times New Roman" w:eastAsia="宋体"/>
          <w:b/>
          <w:color w:val="auto"/>
          <w:sz w:val="44"/>
          <w:szCs w:val="44"/>
          <w:highlight w:val="none"/>
        </w:rPr>
        <w:t>目  录</w:t>
      </w:r>
    </w:p>
    <w:p w14:paraId="45A64792">
      <w:pPr>
        <w:pStyle w:val="5"/>
        <w:keepNext w:val="0"/>
        <w:keepLines w:val="0"/>
        <w:pageBreakBefore w:val="0"/>
        <w:widowControl w:val="0"/>
        <w:kinsoku/>
        <w:wordWrap/>
        <w:overflowPunct w:val="0"/>
        <w:topLinePunct w:val="0"/>
        <w:autoSpaceDE/>
        <w:autoSpaceDN/>
        <w:bidi w:val="0"/>
        <w:spacing w:line="360" w:lineRule="auto"/>
        <w:ind w:firstLine="0"/>
        <w:jc w:val="center"/>
        <w:rPr>
          <w:rFonts w:ascii="Times New Roman" w:hAnsi="Times New Roman" w:eastAsia="宋体"/>
          <w:color w:val="auto"/>
          <w:sz w:val="30"/>
          <w:highlight w:val="none"/>
        </w:rPr>
      </w:pPr>
    </w:p>
    <w:p w14:paraId="590627D2">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b/>
          <w:bCs/>
          <w:color w:val="auto"/>
          <w:sz w:val="36"/>
          <w:szCs w:val="36"/>
          <w:highlight w:val="none"/>
        </w:rPr>
        <w:fldChar w:fldCharType="begin"/>
      </w:r>
      <w:r>
        <w:rPr>
          <w:rFonts w:ascii="Times New Roman" w:hAnsi="Times New Roman" w:eastAsia="宋体"/>
          <w:b/>
          <w:bCs/>
          <w:color w:val="auto"/>
          <w:sz w:val="36"/>
          <w:szCs w:val="36"/>
          <w:highlight w:val="none"/>
        </w:rPr>
        <w:instrText xml:space="preserve"> TOC \o "1-1"</w:instrText>
      </w:r>
      <w:r>
        <w:rPr>
          <w:rFonts w:ascii="Times New Roman" w:hAnsi="Times New Roman" w:eastAsia="宋体"/>
          <w:b/>
          <w:bCs/>
          <w:color w:val="auto"/>
          <w:sz w:val="36"/>
          <w:szCs w:val="36"/>
          <w:highlight w:val="none"/>
        </w:rPr>
        <w:fldChar w:fldCharType="separate"/>
      </w:r>
      <w:r>
        <w:rPr>
          <w:rFonts w:ascii="Times New Roman" w:hAnsi="Times New Roman" w:eastAsia="宋体"/>
          <w:color w:val="auto"/>
          <w:sz w:val="32"/>
          <w:szCs w:val="32"/>
          <w:highlight w:val="none"/>
        </w:rPr>
        <w:t xml:space="preserve">第一章 </w:t>
      </w:r>
      <w:r>
        <w:rPr>
          <w:rFonts w:hint="eastAsia" w:ascii="Times New Roman" w:hAnsi="Times New Roman" w:eastAsia="宋体"/>
          <w:color w:val="auto"/>
          <w:sz w:val="32"/>
          <w:szCs w:val="32"/>
          <w:highlight w:val="none"/>
        </w:rPr>
        <w:t>竞争性磋商公告</w:t>
      </w:r>
    </w:p>
    <w:p w14:paraId="5D64F6C0">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第二章 投标</w:t>
      </w:r>
      <w:r>
        <w:rPr>
          <w:rFonts w:hint="eastAsia" w:ascii="Times New Roman" w:hAnsi="Times New Roman" w:eastAsia="宋体"/>
          <w:color w:val="auto"/>
          <w:sz w:val="32"/>
          <w:szCs w:val="32"/>
          <w:highlight w:val="none"/>
        </w:rPr>
        <w:t>供应商</w:t>
      </w:r>
      <w:r>
        <w:rPr>
          <w:rFonts w:ascii="Times New Roman" w:hAnsi="Times New Roman" w:eastAsia="宋体"/>
          <w:color w:val="auto"/>
          <w:sz w:val="32"/>
          <w:szCs w:val="32"/>
          <w:highlight w:val="none"/>
        </w:rPr>
        <w:t>须知</w:t>
      </w:r>
    </w:p>
    <w:p w14:paraId="114A1FAA">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第三章 项目需求</w:t>
      </w:r>
    </w:p>
    <w:p w14:paraId="2BC05041">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四</w:t>
      </w:r>
      <w:r>
        <w:rPr>
          <w:rFonts w:ascii="Times New Roman" w:hAnsi="Times New Roman" w:eastAsia="宋体"/>
          <w:color w:val="auto"/>
          <w:sz w:val="32"/>
          <w:szCs w:val="32"/>
          <w:highlight w:val="none"/>
        </w:rPr>
        <w:t xml:space="preserve">章 </w:t>
      </w:r>
      <w:r>
        <w:rPr>
          <w:rFonts w:hint="eastAsia" w:ascii="Times New Roman" w:hAnsi="Times New Roman" w:eastAsia="宋体"/>
          <w:color w:val="auto"/>
          <w:sz w:val="32"/>
          <w:szCs w:val="32"/>
          <w:highlight w:val="none"/>
        </w:rPr>
        <w:t>评审方法和程序</w:t>
      </w:r>
    </w:p>
    <w:p w14:paraId="451A8294">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第五章 合同授予</w:t>
      </w:r>
    </w:p>
    <w:p w14:paraId="6AD71410">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六</w:t>
      </w:r>
      <w:r>
        <w:rPr>
          <w:rFonts w:ascii="Times New Roman" w:hAnsi="Times New Roman" w:eastAsia="宋体"/>
          <w:color w:val="auto"/>
          <w:sz w:val="32"/>
          <w:szCs w:val="32"/>
          <w:highlight w:val="none"/>
        </w:rPr>
        <w:t>章</w:t>
      </w:r>
      <w:r>
        <w:rPr>
          <w:rFonts w:hint="eastAsia" w:ascii="Times New Roman" w:hAnsi="Times New Roman" w:eastAsia="宋体"/>
          <w:color w:val="auto"/>
          <w:sz w:val="32"/>
          <w:szCs w:val="32"/>
          <w:highlight w:val="none"/>
        </w:rPr>
        <w:t xml:space="preserve"> 质疑提出和处理</w:t>
      </w:r>
    </w:p>
    <w:p w14:paraId="07FF2F6F">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sz w:val="36"/>
          <w:szCs w:val="36"/>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七</w:t>
      </w:r>
      <w:r>
        <w:rPr>
          <w:rFonts w:ascii="Times New Roman" w:hAnsi="Times New Roman" w:eastAsia="宋体"/>
          <w:color w:val="auto"/>
          <w:sz w:val="32"/>
          <w:szCs w:val="32"/>
          <w:highlight w:val="none"/>
        </w:rPr>
        <w:t>章</w:t>
      </w:r>
      <w:r>
        <w:rPr>
          <w:rFonts w:hint="eastAsia" w:ascii="Times New Roman" w:hAnsi="Times New Roman" w:eastAsia="宋体"/>
          <w:color w:val="auto"/>
          <w:sz w:val="32"/>
          <w:szCs w:val="32"/>
          <w:highlight w:val="none"/>
        </w:rPr>
        <w:t xml:space="preserve"> 响应文件组成及格式</w:t>
      </w:r>
    </w:p>
    <w:p w14:paraId="69EB694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bCs/>
          <w:color w:val="auto"/>
          <w:sz w:val="36"/>
          <w:szCs w:val="36"/>
          <w:highlight w:val="none"/>
        </w:rPr>
      </w:pPr>
      <w:r>
        <w:rPr>
          <w:rFonts w:ascii="Times New Roman" w:hAnsi="Times New Roman" w:eastAsia="宋体"/>
          <w:b/>
          <w:bCs/>
          <w:color w:val="auto"/>
          <w:sz w:val="36"/>
          <w:szCs w:val="36"/>
          <w:highlight w:val="none"/>
        </w:rPr>
        <w:fldChar w:fldCharType="end"/>
      </w:r>
    </w:p>
    <w:p w14:paraId="1B0AB7D1">
      <w:pPr>
        <w:pStyle w:val="24"/>
        <w:keepNext w:val="0"/>
        <w:keepLines w:val="0"/>
        <w:pageBreakBefore w:val="0"/>
        <w:widowControl w:val="0"/>
        <w:kinsoku/>
        <w:wordWrap/>
        <w:topLinePunct w:val="0"/>
        <w:autoSpaceDE/>
        <w:autoSpaceDN/>
        <w:bidi w:val="0"/>
        <w:spacing w:after="0" w:line="360" w:lineRule="auto"/>
        <w:rPr>
          <w:rFonts w:ascii="Times New Roman" w:hAnsi="Times New Roman" w:eastAsia="宋体" w:cs="宋体"/>
          <w:b/>
          <w:color w:val="auto"/>
          <w:sz w:val="24"/>
          <w:szCs w:val="24"/>
          <w:highlight w:val="none"/>
        </w:rPr>
      </w:pPr>
      <w:r>
        <w:rPr>
          <w:rFonts w:ascii="Times New Roman" w:hAnsi="Times New Roman" w:eastAsia="宋体"/>
          <w:color w:val="auto"/>
          <w:highlight w:val="none"/>
        </w:rPr>
        <w:br w:type="page"/>
      </w:r>
    </w:p>
    <w:p w14:paraId="5D35E548">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olor w:val="auto"/>
          <w:w w:val="80"/>
          <w:sz w:val="48"/>
          <w:szCs w:val="44"/>
          <w:highlight w:val="none"/>
        </w:rPr>
      </w:pPr>
      <w:r>
        <w:rPr>
          <w:rFonts w:hint="eastAsia" w:ascii="Times New Roman" w:hAnsi="Times New Roman" w:eastAsia="宋体"/>
          <w:color w:val="auto"/>
          <w:w w:val="80"/>
          <w:sz w:val="48"/>
          <w:szCs w:val="44"/>
          <w:highlight w:val="none"/>
        </w:rPr>
        <w:t>第一章 竞争性磋商公告</w:t>
      </w:r>
    </w:p>
    <w:p w14:paraId="0F9410F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项目概况</w:t>
      </w:r>
    </w:p>
    <w:p w14:paraId="1E81CC4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宋体"/>
          <w:bCs/>
          <w:color w:val="auto"/>
          <w:sz w:val="24"/>
          <w:szCs w:val="24"/>
          <w:highlight w:val="none"/>
          <w:u w:val="single"/>
        </w:rPr>
      </w:pPr>
      <w:r>
        <w:rPr>
          <w:rFonts w:hint="eastAsia" w:ascii="Times New Roman" w:hAnsi="Times New Roman" w:eastAsia="宋体" w:cs="Times New Roman"/>
          <w:color w:val="auto"/>
          <w:sz w:val="24"/>
          <w:szCs w:val="24"/>
          <w:highlight w:val="none"/>
          <w:u w:val="single"/>
          <w:lang w:eastAsia="zh-CN"/>
        </w:rPr>
        <w:t>南通市第三人民医院传染病智能检测预警前置软件服务及设备项目</w:t>
      </w:r>
      <w:r>
        <w:rPr>
          <w:rFonts w:hint="eastAsia" w:ascii="Times New Roman" w:hAnsi="Times New Roman" w:eastAsia="宋体" w:cs="Times New Roman"/>
          <w:color w:val="auto"/>
          <w:sz w:val="24"/>
          <w:szCs w:val="24"/>
          <w:highlight w:val="none"/>
        </w:rPr>
        <w:t>的潜在供应商应在</w:t>
      </w:r>
      <w:r>
        <w:rPr>
          <w:rFonts w:hint="eastAsia" w:ascii="Times New Roman" w:hAnsi="Times New Roman" w:eastAsia="宋体" w:cs="Times New Roman"/>
          <w:color w:val="auto"/>
          <w:sz w:val="24"/>
          <w:szCs w:val="24"/>
          <w:highlight w:val="none"/>
          <w:u w:val="single"/>
        </w:rPr>
        <w:t>南通市第三人民医院</w:t>
      </w:r>
      <w:r>
        <w:rPr>
          <w:rFonts w:hint="eastAsia" w:ascii="Times New Roman" w:hAnsi="Times New Roman" w:eastAsia="宋体" w:cs="Times New Roman"/>
          <w:color w:val="auto"/>
          <w:sz w:val="24"/>
          <w:szCs w:val="24"/>
          <w:highlight w:val="none"/>
        </w:rPr>
        <w:t>官网获取采购文件，并于</w:t>
      </w:r>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bCs/>
          <w:color w:val="auto"/>
          <w:sz w:val="24"/>
          <w:szCs w:val="24"/>
          <w:highlight w:val="none"/>
        </w:rPr>
        <w:t>（北京时间）</w:t>
      </w:r>
      <w:r>
        <w:rPr>
          <w:rFonts w:hint="eastAsia" w:ascii="Times New Roman" w:hAnsi="Times New Roman" w:eastAsia="宋体" w:cs="Times New Roman"/>
          <w:color w:val="auto"/>
          <w:sz w:val="24"/>
          <w:szCs w:val="24"/>
          <w:highlight w:val="none"/>
        </w:rPr>
        <w:t>前提交响应文件。</w:t>
      </w:r>
    </w:p>
    <w:p w14:paraId="49A9D39B">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一、项目基本情况</w:t>
      </w:r>
    </w:p>
    <w:p w14:paraId="54920BA7">
      <w:pPr>
        <w:keepNext w:val="0"/>
        <w:keepLines w:val="0"/>
        <w:pageBreakBefore w:val="0"/>
        <w:widowControl w:val="0"/>
        <w:kinsoku/>
        <w:wordWrap/>
        <w:topLinePunct w:val="0"/>
        <w:autoSpaceDE/>
        <w:autoSpaceDN/>
        <w:bidi w:val="0"/>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rPr>
        <w:t>1、项目编号：</w:t>
      </w:r>
      <w:r>
        <w:rPr>
          <w:rFonts w:hint="eastAsia" w:ascii="Times New Roman" w:hAnsi="Times New Roman" w:eastAsia="宋体" w:cs="宋体"/>
          <w:color w:val="auto"/>
          <w:sz w:val="24"/>
          <w:szCs w:val="24"/>
          <w:highlight w:val="none"/>
          <w:lang w:val="en-US" w:eastAsia="zh-CN"/>
        </w:rPr>
        <w:t>SY-HXTDCRB241002</w:t>
      </w:r>
    </w:p>
    <w:p w14:paraId="1A2D13C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2、项目名称：</w:t>
      </w:r>
      <w:r>
        <w:rPr>
          <w:rFonts w:hint="eastAsia" w:ascii="Times New Roman" w:hAnsi="Times New Roman" w:eastAsia="宋体" w:cs="Times New Roman"/>
          <w:color w:val="auto"/>
          <w:sz w:val="24"/>
          <w:szCs w:val="24"/>
          <w:highlight w:val="none"/>
          <w:lang w:eastAsia="zh-CN"/>
        </w:rPr>
        <w:t>南通市第三人民医院传染病智能检测预警前置软件服务及设备项目</w:t>
      </w:r>
    </w:p>
    <w:p w14:paraId="099776D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3、采购</w:t>
      </w:r>
      <w:r>
        <w:rPr>
          <w:rFonts w:hint="eastAsia" w:ascii="Times New Roman" w:hAnsi="Times New Roman" w:eastAsia="宋体" w:cs="宋体"/>
          <w:color w:val="auto"/>
          <w:sz w:val="24"/>
          <w:szCs w:val="24"/>
          <w:highlight w:val="none"/>
          <w:lang w:eastAsia="zh-CN"/>
        </w:rPr>
        <w:t>方式</w:t>
      </w:r>
      <w:r>
        <w:rPr>
          <w:rFonts w:hint="eastAsia" w:ascii="Times New Roman" w:hAnsi="Times New Roman" w:eastAsia="宋体" w:cs="宋体"/>
          <w:color w:val="auto"/>
          <w:sz w:val="24"/>
          <w:szCs w:val="24"/>
          <w:highlight w:val="none"/>
        </w:rPr>
        <w:t xml:space="preserve">：□竞争性谈判 </w:t>
      </w:r>
      <w:r>
        <w:rPr>
          <w:rFonts w:hint="eastAsia" w:ascii="Times New Roman" w:hAnsi="Times New Roman" w:eastAsia="宋体" w:cs="MS Mincho"/>
          <w:color w:val="auto"/>
          <w:sz w:val="24"/>
          <w:szCs w:val="24"/>
          <w:highlight w:val="none"/>
        </w:rPr>
        <w:t>☑</w:t>
      </w:r>
      <w:r>
        <w:rPr>
          <w:rFonts w:hint="eastAsia" w:ascii="Times New Roman" w:hAnsi="Times New Roman" w:eastAsia="宋体" w:cs="宋体"/>
          <w:color w:val="auto"/>
          <w:sz w:val="24"/>
          <w:szCs w:val="24"/>
          <w:highlight w:val="none"/>
        </w:rPr>
        <w:t>竞争性磋商 □询价</w:t>
      </w:r>
    </w:p>
    <w:p w14:paraId="0BFB2248">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4、预算金额：</w:t>
      </w:r>
      <w:r>
        <w:rPr>
          <w:rFonts w:hint="eastAsia" w:ascii="Times New Roman" w:hAnsi="Times New Roman" w:eastAsia="宋体" w:cs="宋体"/>
          <w:color w:val="auto"/>
          <w:sz w:val="24"/>
          <w:szCs w:val="24"/>
          <w:highlight w:val="none"/>
          <w:lang w:val="en-US" w:eastAsia="zh-CN"/>
        </w:rPr>
        <w:t>16万</w:t>
      </w:r>
      <w:r>
        <w:rPr>
          <w:rFonts w:hint="eastAsia" w:ascii="Times New Roman" w:hAnsi="Times New Roman" w:eastAsia="宋体" w:cs="宋体"/>
          <w:color w:val="auto"/>
          <w:sz w:val="24"/>
          <w:szCs w:val="24"/>
          <w:highlight w:val="none"/>
        </w:rPr>
        <w:t>元</w:t>
      </w:r>
    </w:p>
    <w:p w14:paraId="236EEE6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5、</w:t>
      </w:r>
      <w:r>
        <w:rPr>
          <w:rFonts w:hint="eastAsia" w:ascii="Times New Roman" w:hAnsi="Times New Roman" w:eastAsia="宋体" w:cs="宋体"/>
          <w:b/>
          <w:bCs/>
          <w:color w:val="auto"/>
          <w:sz w:val="24"/>
          <w:szCs w:val="24"/>
          <w:highlight w:val="none"/>
        </w:rPr>
        <w:t>最高限价：</w:t>
      </w:r>
      <w:r>
        <w:rPr>
          <w:rFonts w:hint="eastAsia" w:ascii="宋体" w:hAnsi="宋体" w:eastAsia="宋体" w:cs="Times New Roman"/>
          <w:b/>
          <w:bCs/>
          <w:color w:val="auto"/>
          <w:sz w:val="24"/>
          <w:highlight w:val="none"/>
          <w:lang w:val="en-US" w:eastAsia="zh-CN"/>
        </w:rPr>
        <w:t>16万</w:t>
      </w:r>
      <w:r>
        <w:rPr>
          <w:rFonts w:hint="eastAsia" w:ascii="Times New Roman" w:hAnsi="Times New Roman" w:eastAsia="宋体" w:cs="宋体"/>
          <w:b/>
          <w:bCs/>
          <w:color w:val="auto"/>
          <w:sz w:val="24"/>
          <w:szCs w:val="24"/>
          <w:highlight w:val="none"/>
        </w:rPr>
        <w:t>元</w:t>
      </w:r>
      <w:r>
        <w:rPr>
          <w:rFonts w:hint="eastAsia" w:ascii="Times New Roman" w:hAnsi="Times New Roman" w:eastAsia="宋体" w:cs="仿宋"/>
          <w:b/>
          <w:bCs/>
          <w:color w:val="auto"/>
          <w:sz w:val="24"/>
          <w:szCs w:val="20"/>
          <w:highlight w:val="none"/>
        </w:rPr>
        <w:t>，报价超过最高限价的为无效响应文件；</w:t>
      </w:r>
    </w:p>
    <w:p w14:paraId="2783644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6、采购需求：</w:t>
      </w:r>
      <w:r>
        <w:rPr>
          <w:rFonts w:hint="eastAsia" w:ascii="Times New Roman" w:hAnsi="Times New Roman" w:eastAsia="宋体" w:cs="Times New Roman"/>
          <w:color w:val="auto"/>
          <w:sz w:val="24"/>
          <w:szCs w:val="24"/>
          <w:highlight w:val="none"/>
          <w:lang w:eastAsia="zh-CN"/>
        </w:rPr>
        <w:t>南通市第三人民医院传染病智能检测预警前置软件服务及设备项目</w:t>
      </w:r>
      <w:r>
        <w:rPr>
          <w:rFonts w:hint="eastAsia" w:ascii="Times New Roman" w:hAnsi="Times New Roman" w:eastAsia="宋体" w:cs="宋体"/>
          <w:color w:val="auto"/>
          <w:sz w:val="24"/>
          <w:szCs w:val="24"/>
          <w:highlight w:val="none"/>
          <w:lang w:eastAsia="zh-CN"/>
        </w:rPr>
        <w:t>，具体内容详见竞争性磋商文件第三章项目需求。</w:t>
      </w:r>
    </w:p>
    <w:p w14:paraId="2BE8C299">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val="0"/>
          <w:bCs w:val="0"/>
          <w:color w:val="auto"/>
          <w:sz w:val="24"/>
          <w:szCs w:val="24"/>
          <w:highlight w:val="none"/>
          <w:lang w:val="zh-CN" w:eastAsia="zh-CN"/>
        </w:rPr>
      </w:pPr>
      <w:r>
        <w:rPr>
          <w:rFonts w:hint="eastAsia" w:ascii="Times New Roman" w:hAnsi="Times New Roman" w:eastAsia="宋体" w:cs="宋体"/>
          <w:b/>
          <w:bCs/>
          <w:color w:val="auto"/>
          <w:sz w:val="24"/>
          <w:szCs w:val="24"/>
          <w:highlight w:val="none"/>
        </w:rPr>
        <w:t>7、</w:t>
      </w:r>
      <w:r>
        <w:rPr>
          <w:rFonts w:hint="eastAsia" w:ascii="Times New Roman" w:hAnsi="Times New Roman" w:eastAsia="宋体" w:cs="宋体"/>
          <w:b/>
          <w:bCs/>
          <w:color w:val="auto"/>
          <w:sz w:val="24"/>
          <w:szCs w:val="24"/>
          <w:highlight w:val="none"/>
          <w:lang w:eastAsia="zh-CN"/>
        </w:rPr>
        <w:t>合同履行期限</w:t>
      </w:r>
      <w:r>
        <w:rPr>
          <w:rFonts w:hint="eastAsia" w:ascii="Times New Roman" w:hAnsi="Times New Roman" w:eastAsia="宋体" w:cs="宋体"/>
          <w:b w:val="0"/>
          <w:bCs w:val="0"/>
          <w:color w:val="auto"/>
          <w:sz w:val="24"/>
          <w:szCs w:val="24"/>
          <w:highlight w:val="none"/>
        </w:rPr>
        <w:t>：合同签订之日起60个工作日内安装调试完成。</w:t>
      </w:r>
    </w:p>
    <w:p w14:paraId="5FDE01E6">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8、本项目不接受联合体。</w:t>
      </w:r>
    </w:p>
    <w:p w14:paraId="3680559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二、申请人的资格要求</w:t>
      </w:r>
    </w:p>
    <w:p w14:paraId="50454A6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1、符合《中华人民共和国政府采购法》第二十二条规定，并提供声明函：</w:t>
      </w:r>
    </w:p>
    <w:p w14:paraId="240208D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（1）具有独立承担民事责任的能力；</w:t>
      </w:r>
    </w:p>
    <w:p w14:paraId="51A1B4B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（2）具有良好的商业信誉和健全的财务会计制度；</w:t>
      </w:r>
    </w:p>
    <w:p w14:paraId="0E28A25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（3）具有履行合同所必需的设备和专业技术能力；</w:t>
      </w:r>
    </w:p>
    <w:p w14:paraId="12591A9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（4）有依法缴纳税收和社会保障资金的良好记录；</w:t>
      </w:r>
    </w:p>
    <w:p w14:paraId="0BC7FBF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（5）参加政府采购活动前三年内，在经营活动中没有重大违法记录；</w:t>
      </w:r>
    </w:p>
    <w:p w14:paraId="2AC9B18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（6）法律、行政法规规定的其他条件。</w:t>
      </w:r>
    </w:p>
    <w:p w14:paraId="04229FCD">
      <w:pPr>
        <w:keepNext w:val="0"/>
        <w:keepLines w:val="0"/>
        <w:pageBreakBefore w:val="0"/>
        <w:widowControl w:val="0"/>
        <w:kinsoku/>
        <w:wordWrap/>
        <w:topLinePunct w:val="0"/>
        <w:autoSpaceDE/>
        <w:autoSpaceDN/>
        <w:bidi w:val="0"/>
        <w:spacing w:line="360" w:lineRule="auto"/>
        <w:ind w:firstLine="482"/>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2、落实政府采购政策需满足的资格要求：</w:t>
      </w:r>
      <w:r>
        <w:rPr>
          <w:rFonts w:hint="eastAsia" w:ascii="Times New Roman" w:hAnsi="Times New Roman" w:eastAsia="宋体" w:cs="宋体"/>
          <w:color w:val="auto"/>
          <w:sz w:val="24"/>
          <w:szCs w:val="24"/>
          <w:highlight w:val="none"/>
          <w:u w:val="single"/>
          <w:lang w:eastAsia="zh-CN"/>
        </w:rPr>
        <w:t>无</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lang w:eastAsia="zh-CN"/>
        </w:rPr>
        <w:t>。</w:t>
      </w:r>
    </w:p>
    <w:p w14:paraId="5A400B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3、本项目的特定资格要求：</w:t>
      </w:r>
    </w:p>
    <w:p w14:paraId="3810257C">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hint="eastAsia" w:ascii="Times New Roman" w:hAnsi="Times New Roman" w:eastAsia="宋体"/>
          <w:bCs/>
          <w:sz w:val="24"/>
          <w:szCs w:val="24"/>
        </w:rPr>
        <w:t>供应商</w:t>
      </w:r>
      <w:r>
        <w:rPr>
          <w:rFonts w:hint="eastAsia" w:ascii="Times New Roman" w:hAnsi="Times New Roman" w:eastAsia="宋体"/>
          <w:bCs/>
          <w:sz w:val="24"/>
          <w:szCs w:val="24"/>
          <w:lang w:eastAsia="zh-CN"/>
        </w:rPr>
        <w:t>须</w:t>
      </w:r>
      <w:r>
        <w:rPr>
          <w:rFonts w:hint="eastAsia" w:ascii="Times New Roman" w:hAnsi="Times New Roman" w:eastAsia="宋体"/>
          <w:bCs/>
          <w:sz w:val="24"/>
          <w:szCs w:val="24"/>
        </w:rPr>
        <w:t>具有独立承担民事责任的能力</w:t>
      </w:r>
      <w:r>
        <w:rPr>
          <w:rFonts w:hint="eastAsia" w:eastAsia="宋体"/>
          <w:bCs/>
          <w:color w:val="auto"/>
          <w:sz w:val="24"/>
          <w:szCs w:val="24"/>
          <w:highlight w:val="none"/>
        </w:rPr>
        <w:t>，具有有效的营业执照，</w:t>
      </w:r>
      <w:r>
        <w:rPr>
          <w:rFonts w:hint="eastAsia" w:ascii="Times New Roman" w:hAnsi="Times New Roman" w:eastAsia="宋体"/>
          <w:sz w:val="24"/>
          <w:szCs w:val="24"/>
        </w:rPr>
        <w:t>有能力按本</w:t>
      </w:r>
      <w:r>
        <w:rPr>
          <w:rFonts w:hint="eastAsia" w:ascii="Times New Roman" w:hAnsi="Times New Roman" w:eastAsia="宋体"/>
          <w:sz w:val="24"/>
          <w:szCs w:val="24"/>
          <w:lang w:eastAsia="zh-CN"/>
        </w:rPr>
        <w:t>采购</w:t>
      </w:r>
      <w:r>
        <w:rPr>
          <w:rFonts w:hint="eastAsia" w:ascii="Times New Roman" w:hAnsi="Times New Roman" w:eastAsia="宋体"/>
          <w:sz w:val="24"/>
          <w:szCs w:val="24"/>
        </w:rPr>
        <w:t>文件规定的要求提供相关服务</w:t>
      </w:r>
      <w:r>
        <w:rPr>
          <w:rFonts w:hint="eastAsia" w:cs="Arial"/>
          <w:bCs/>
          <w:color w:val="auto"/>
          <w:kern w:val="0"/>
          <w:sz w:val="24"/>
          <w:highlight w:val="none"/>
        </w:rPr>
        <w:t>；</w:t>
      </w:r>
    </w:p>
    <w:p w14:paraId="00035F5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rPr>
        <w:t>（2）法定代表人参加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的，必须提供法定代表人身份证明及法定代表人本人身份证两项复印件（须加盖单位公章）；非法定代表人参加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的，必须提供法定代表人签字或印章的授权委托书及被授权人本人身份证两项复印件</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（须加盖单位公章）</w:t>
      </w:r>
      <w:r>
        <w:rPr>
          <w:rFonts w:hint="eastAsia" w:ascii="Times New Roman" w:hAnsi="Times New Roman" w:eastAsia="宋体"/>
          <w:color w:val="auto"/>
          <w:sz w:val="24"/>
          <w:szCs w:val="24"/>
          <w:highlight w:val="none"/>
          <w:lang w:val="en-US" w:eastAsia="zh-CN"/>
        </w:rPr>
        <w:t xml:space="preserve">   </w:t>
      </w:r>
    </w:p>
    <w:p w14:paraId="60884909">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4、未被“信用中国”网站（www.creditchina.gov.cn）列入失信被执行人、重大税收违法案件当事人名单、政府采购严重失信行为记录名单。</w:t>
      </w:r>
    </w:p>
    <w:p w14:paraId="4EE0DDC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lang w:val="zh-CN"/>
        </w:rPr>
      </w:pPr>
      <w:r>
        <w:rPr>
          <w:rFonts w:hint="eastAsia" w:ascii="Times New Roman" w:hAnsi="Times New Roman" w:eastAsia="宋体"/>
          <w:b/>
          <w:color w:val="auto"/>
          <w:sz w:val="24"/>
          <w:szCs w:val="24"/>
          <w:highlight w:val="none"/>
          <w:lang w:val="zh-CN"/>
        </w:rPr>
        <w:t>具体资格要求详见第</w:t>
      </w:r>
      <w:r>
        <w:rPr>
          <w:rFonts w:hint="eastAsia" w:ascii="Times New Roman" w:hAnsi="Times New Roman" w:eastAsia="宋体"/>
          <w:b/>
          <w:color w:val="auto"/>
          <w:sz w:val="24"/>
          <w:szCs w:val="24"/>
          <w:highlight w:val="none"/>
        </w:rPr>
        <w:t>七</w:t>
      </w:r>
      <w:r>
        <w:rPr>
          <w:rFonts w:hint="eastAsia" w:ascii="Times New Roman" w:hAnsi="Times New Roman" w:eastAsia="宋体"/>
          <w:b/>
          <w:color w:val="auto"/>
          <w:sz w:val="24"/>
          <w:szCs w:val="24"/>
          <w:highlight w:val="none"/>
          <w:lang w:val="zh-CN"/>
        </w:rPr>
        <w:t>章中的“资格审查文件”。</w:t>
      </w:r>
    </w:p>
    <w:p w14:paraId="666DDEE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bookmarkStart w:id="0" w:name="_Toc35393623"/>
      <w:bookmarkStart w:id="1" w:name="_Toc35393792"/>
      <w:r>
        <w:rPr>
          <w:rFonts w:hint="eastAsia" w:ascii="Times New Roman" w:hAnsi="Times New Roman" w:eastAsia="宋体" w:cs="宋体"/>
          <w:b/>
          <w:color w:val="auto"/>
          <w:kern w:val="0"/>
          <w:sz w:val="24"/>
          <w:szCs w:val="24"/>
          <w:highlight w:val="none"/>
        </w:rPr>
        <w:t>三、获取采购文件</w:t>
      </w:r>
      <w:bookmarkEnd w:id="0"/>
      <w:bookmarkEnd w:id="1"/>
      <w:r>
        <w:rPr>
          <w:rFonts w:hint="eastAsia" w:ascii="Times New Roman" w:hAnsi="Times New Roman" w:eastAsia="宋体" w:cs="宋体"/>
          <w:b/>
          <w:color w:val="auto"/>
          <w:kern w:val="0"/>
          <w:sz w:val="24"/>
          <w:szCs w:val="24"/>
          <w:highlight w:val="none"/>
        </w:rPr>
        <w:t>及</w:t>
      </w:r>
      <w:r>
        <w:rPr>
          <w:rFonts w:hint="eastAsia" w:ascii="Times New Roman" w:hAnsi="Times New Roman" w:eastAsia="宋体" w:cs="宋体"/>
          <w:b/>
          <w:color w:val="auto"/>
          <w:kern w:val="0"/>
          <w:sz w:val="24"/>
          <w:szCs w:val="24"/>
          <w:highlight w:val="none"/>
          <w:lang w:eastAsia="zh-CN"/>
        </w:rPr>
        <w:t>响应</w:t>
      </w:r>
      <w:r>
        <w:rPr>
          <w:rFonts w:hint="eastAsia" w:ascii="Times New Roman" w:hAnsi="Times New Roman" w:eastAsia="宋体" w:cs="宋体"/>
          <w:b/>
          <w:color w:val="auto"/>
          <w:kern w:val="0"/>
          <w:sz w:val="24"/>
          <w:szCs w:val="24"/>
          <w:highlight w:val="none"/>
        </w:rPr>
        <w:t>报名</w:t>
      </w:r>
    </w:p>
    <w:p w14:paraId="2DB55DC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bookmarkStart w:id="2" w:name="_Toc28359005"/>
      <w:bookmarkStart w:id="3" w:name="_Toc35393793"/>
      <w:bookmarkStart w:id="4" w:name="_Toc35393624"/>
      <w:bookmarkStart w:id="5" w:name="_Toc28359082"/>
      <w:r>
        <w:rPr>
          <w:rFonts w:hint="eastAsia" w:ascii="Times New Roman" w:hAnsi="Times New Roman" w:eastAsia="宋体" w:cs="宋体"/>
          <w:color w:val="auto"/>
          <w:sz w:val="24"/>
          <w:szCs w:val="24"/>
          <w:highlight w:val="none"/>
        </w:rPr>
        <w:t>1、时间：</w:t>
      </w:r>
      <w:r>
        <w:rPr>
          <w:rFonts w:hint="eastAsia" w:ascii="Times New Roman" w:hAnsi="Times New Roman" w:eastAsia="宋体" w:cs="宋体"/>
          <w:color w:val="auto"/>
          <w:sz w:val="24"/>
          <w:szCs w:val="24"/>
          <w:highlight w:val="none"/>
          <w:u w:val="single"/>
        </w:rPr>
        <w:t>自本磋商公告发布之日起至202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color w:val="auto"/>
          <w:sz w:val="24"/>
          <w:szCs w:val="24"/>
          <w:highlight w:val="none"/>
        </w:rPr>
        <w:t>（北京时间）。</w:t>
      </w:r>
    </w:p>
    <w:p w14:paraId="3C3B874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2、方式：在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南通市第三人民医院</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官网自行下载采购文件。</w:t>
      </w:r>
    </w:p>
    <w:p w14:paraId="3D01948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3、售价：300元/份，</w:t>
      </w:r>
      <w:r>
        <w:rPr>
          <w:rFonts w:hint="eastAsia" w:ascii="Times New Roman" w:hAnsi="Times New Roman" w:eastAsia="宋体" w:cs="宋体"/>
          <w:color w:val="auto"/>
          <w:sz w:val="24"/>
          <w:szCs w:val="24"/>
          <w:highlight w:val="none"/>
          <w:lang w:eastAsia="zh-CN"/>
        </w:rPr>
        <w:t>报名时递交给采购代理机构</w:t>
      </w:r>
      <w:r>
        <w:rPr>
          <w:rFonts w:hint="eastAsia" w:ascii="Times New Roman" w:hAnsi="Times New Roman" w:eastAsia="宋体" w:cs="宋体"/>
          <w:color w:val="auto"/>
          <w:sz w:val="24"/>
          <w:szCs w:val="24"/>
          <w:highlight w:val="none"/>
        </w:rPr>
        <w:t>，售后不退。</w:t>
      </w:r>
    </w:p>
    <w:p w14:paraId="2D1C10D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4、报名方式：请有意参与本项目</w:t>
      </w:r>
      <w:r>
        <w:rPr>
          <w:rFonts w:hint="eastAsia" w:ascii="Times New Roman" w:hAnsi="Times New Roman" w:eastAsia="宋体" w:cs="宋体"/>
          <w:b/>
          <w:color w:val="auto"/>
          <w:sz w:val="24"/>
          <w:szCs w:val="24"/>
          <w:highlight w:val="none"/>
          <w:lang w:eastAsia="zh-CN"/>
        </w:rPr>
        <w:t>响应</w:t>
      </w:r>
      <w:r>
        <w:rPr>
          <w:rFonts w:hint="eastAsia" w:ascii="Times New Roman" w:hAnsi="Times New Roman" w:eastAsia="宋体" w:cs="宋体"/>
          <w:b/>
          <w:color w:val="auto"/>
          <w:sz w:val="24"/>
          <w:szCs w:val="24"/>
          <w:highlight w:val="none"/>
        </w:rPr>
        <w:t>的供应商于202</w:t>
      </w:r>
      <w:r>
        <w:rPr>
          <w:rFonts w:hint="eastAsia" w:ascii="Times New Roman" w:hAnsi="Times New Roman" w:eastAsia="宋体" w:cs="宋体"/>
          <w:b/>
          <w:color w:val="auto"/>
          <w:sz w:val="24"/>
          <w:szCs w:val="24"/>
          <w:highlight w:val="none"/>
          <w:lang w:val="en-US" w:eastAsia="zh-CN"/>
        </w:rPr>
        <w:t>4</w:t>
      </w:r>
      <w:r>
        <w:rPr>
          <w:rFonts w:hint="eastAsia" w:ascii="Times New Roman" w:hAnsi="Times New Roman" w:eastAsia="宋体" w:cs="宋体"/>
          <w:b/>
          <w:color w:val="auto"/>
          <w:sz w:val="24"/>
          <w:szCs w:val="24"/>
          <w:highlight w:val="none"/>
        </w:rPr>
        <w:t>年</w:t>
      </w:r>
      <w:r>
        <w:rPr>
          <w:rFonts w:hint="eastAsia" w:ascii="Times New Roman" w:hAnsi="Times New Roman" w:eastAsia="宋体" w:cs="宋体"/>
          <w:b/>
          <w:color w:val="auto"/>
          <w:sz w:val="24"/>
          <w:szCs w:val="24"/>
          <w:highlight w:val="none"/>
          <w:lang w:val="en-US" w:eastAsia="zh-CN"/>
        </w:rPr>
        <w:t>11</w:t>
      </w:r>
      <w:r>
        <w:rPr>
          <w:rFonts w:hint="eastAsia" w:ascii="Times New Roman" w:hAnsi="Times New Roman" w:eastAsia="宋体" w:cs="宋体"/>
          <w:b/>
          <w:color w:val="auto"/>
          <w:sz w:val="24"/>
          <w:szCs w:val="24"/>
          <w:highlight w:val="none"/>
        </w:rPr>
        <w:t>月</w:t>
      </w:r>
      <w:r>
        <w:rPr>
          <w:rFonts w:hint="eastAsia" w:ascii="Times New Roman" w:hAnsi="Times New Roman" w:eastAsia="宋体" w:cs="宋体"/>
          <w:b/>
          <w:color w:val="auto"/>
          <w:sz w:val="24"/>
          <w:szCs w:val="24"/>
          <w:highlight w:val="none"/>
          <w:lang w:val="en-US" w:eastAsia="zh-CN"/>
        </w:rPr>
        <w:t>19</w:t>
      </w:r>
      <w:r>
        <w:rPr>
          <w:rFonts w:hint="eastAsia" w:ascii="Times New Roman" w:hAnsi="Times New Roman" w:eastAsia="宋体" w:cs="宋体"/>
          <w:b/>
          <w:color w:val="auto"/>
          <w:sz w:val="24"/>
          <w:szCs w:val="24"/>
          <w:highlight w:val="none"/>
        </w:rPr>
        <w:t>日</w:t>
      </w:r>
      <w:r>
        <w:rPr>
          <w:rFonts w:hint="eastAsia" w:ascii="Times New Roman" w:hAnsi="Times New Roman" w:eastAsia="宋体" w:cs="宋体"/>
          <w:b/>
          <w:color w:val="auto"/>
          <w:sz w:val="24"/>
          <w:szCs w:val="24"/>
          <w:highlight w:val="none"/>
          <w:lang w:val="en-US" w:eastAsia="zh-CN"/>
        </w:rPr>
        <w:t>11</w:t>
      </w:r>
      <w:r>
        <w:rPr>
          <w:rFonts w:hint="eastAsia" w:ascii="Times New Roman" w:hAnsi="Times New Roman" w:eastAsia="宋体" w:cs="宋体"/>
          <w:b/>
          <w:color w:val="auto"/>
          <w:sz w:val="24"/>
          <w:szCs w:val="24"/>
          <w:highlight w:val="none"/>
        </w:rPr>
        <w:t>时00分前</w:t>
      </w:r>
      <w:r>
        <w:rPr>
          <w:rFonts w:hint="eastAsia" w:ascii="Times New Roman" w:hAnsi="Times New Roman" w:eastAsia="宋体" w:cs="宋体"/>
          <w:b/>
          <w:color w:val="auto"/>
          <w:sz w:val="24"/>
          <w:szCs w:val="24"/>
          <w:highlight w:val="none"/>
          <w:lang w:eastAsia="zh-CN"/>
        </w:rPr>
        <w:t>联系</w:t>
      </w:r>
      <w:r>
        <w:rPr>
          <w:rFonts w:hint="eastAsia" w:ascii="Times New Roman" w:hAnsi="Times New Roman" w:eastAsia="宋体" w:cs="宋体"/>
          <w:b/>
          <w:color w:val="auto"/>
          <w:sz w:val="24"/>
          <w:szCs w:val="24"/>
          <w:highlight w:val="none"/>
        </w:rPr>
        <w:t>代理机构报名</w:t>
      </w:r>
      <w:r>
        <w:rPr>
          <w:rFonts w:hint="eastAsia" w:ascii="Times New Roman" w:hAnsi="Times New Roman" w:eastAsia="宋体" w:cs="宋体"/>
          <w:b/>
          <w:bCs w:val="0"/>
          <w:color w:val="auto"/>
          <w:sz w:val="24"/>
          <w:szCs w:val="24"/>
          <w:highlight w:val="none"/>
          <w:lang w:eastAsia="zh-CN"/>
        </w:rPr>
        <w:t>（联系人：</w:t>
      </w:r>
      <w:r>
        <w:rPr>
          <w:rFonts w:hint="eastAsia" w:ascii="Times New Roman" w:hAnsi="Times New Roman" w:eastAsia="宋体"/>
          <w:b/>
          <w:bCs w:val="0"/>
          <w:color w:val="auto"/>
          <w:sz w:val="24"/>
          <w:szCs w:val="24"/>
          <w:highlight w:val="none"/>
        </w:rPr>
        <w:t>董安国</w:t>
      </w:r>
      <w:r>
        <w:rPr>
          <w:rFonts w:hint="eastAsia" w:ascii="Times New Roman" w:hAnsi="Times New Roman" w:eastAsia="宋体"/>
          <w:b/>
          <w:bCs w:val="0"/>
          <w:color w:val="auto"/>
          <w:sz w:val="24"/>
          <w:szCs w:val="24"/>
          <w:highlight w:val="none"/>
          <w:lang w:eastAsia="zh-CN"/>
        </w:rPr>
        <w:t>，</w:t>
      </w:r>
      <w:r>
        <w:rPr>
          <w:rFonts w:hint="eastAsia" w:ascii="Times New Roman" w:hAnsi="Times New Roman" w:eastAsia="宋体"/>
          <w:b/>
          <w:bCs w:val="0"/>
          <w:color w:val="auto"/>
          <w:sz w:val="24"/>
          <w:szCs w:val="24"/>
          <w:highlight w:val="none"/>
        </w:rPr>
        <w:t>联系电话：</w:t>
      </w:r>
      <w:r>
        <w:rPr>
          <w:rFonts w:hint="eastAsia" w:ascii="Times New Roman" w:hAnsi="Times New Roman" w:eastAsia="宋体" w:cs="宋体"/>
          <w:b/>
          <w:bCs w:val="0"/>
          <w:color w:val="auto"/>
          <w:kern w:val="0"/>
          <w:sz w:val="24"/>
          <w:highlight w:val="none"/>
        </w:rPr>
        <w:t>18912299056</w:t>
      </w:r>
      <w:r>
        <w:rPr>
          <w:rFonts w:hint="eastAsia" w:ascii="Times New Roman" w:hAnsi="Times New Roman" w:eastAsia="宋体" w:cs="宋体"/>
          <w:b/>
          <w:bCs w:val="0"/>
          <w:color w:val="auto"/>
          <w:kern w:val="0"/>
          <w:sz w:val="24"/>
          <w:highlight w:val="none"/>
          <w:lang w:eastAsia="zh-CN"/>
        </w:rPr>
        <w:t>，</w:t>
      </w:r>
      <w:r>
        <w:rPr>
          <w:rFonts w:hint="eastAsia" w:ascii="Times New Roman" w:hAnsi="Times New Roman" w:eastAsia="宋体" w:cs="宋体"/>
          <w:b/>
          <w:bCs w:val="0"/>
          <w:color w:val="auto"/>
          <w:kern w:val="0"/>
          <w:sz w:val="24"/>
          <w:highlight w:val="none"/>
        </w:rPr>
        <w:t>邮箱：812298892@qq.com</w:t>
      </w:r>
      <w:r>
        <w:rPr>
          <w:rFonts w:hint="eastAsia" w:ascii="Times New Roman" w:hAnsi="Times New Roman" w:eastAsia="宋体" w:cs="宋体"/>
          <w:b/>
          <w:bCs w:val="0"/>
          <w:color w:val="auto"/>
          <w:sz w:val="24"/>
          <w:szCs w:val="24"/>
          <w:highlight w:val="none"/>
          <w:lang w:eastAsia="zh-CN"/>
        </w:rPr>
        <w:t>）</w:t>
      </w:r>
      <w:r>
        <w:rPr>
          <w:rFonts w:hint="eastAsia" w:ascii="Times New Roman" w:hAnsi="Times New Roman" w:eastAsia="宋体" w:cs="宋体"/>
          <w:b/>
          <w:color w:val="auto"/>
          <w:sz w:val="24"/>
          <w:szCs w:val="24"/>
          <w:highlight w:val="none"/>
        </w:rPr>
        <w:t>，未报名单位不得参加本项目的</w:t>
      </w:r>
      <w:r>
        <w:rPr>
          <w:rFonts w:hint="eastAsia" w:ascii="Times New Roman" w:hAnsi="Times New Roman" w:eastAsia="宋体" w:cs="宋体"/>
          <w:b/>
          <w:color w:val="auto"/>
          <w:sz w:val="24"/>
          <w:szCs w:val="24"/>
          <w:highlight w:val="none"/>
          <w:lang w:eastAsia="zh-CN"/>
        </w:rPr>
        <w:t>响应</w:t>
      </w:r>
      <w:r>
        <w:rPr>
          <w:rFonts w:hint="eastAsia" w:ascii="Times New Roman" w:hAnsi="Times New Roman" w:eastAsia="宋体" w:cs="宋体"/>
          <w:b/>
          <w:color w:val="auto"/>
          <w:sz w:val="24"/>
          <w:szCs w:val="24"/>
          <w:highlight w:val="none"/>
        </w:rPr>
        <w:t>。</w:t>
      </w:r>
    </w:p>
    <w:bookmarkEnd w:id="2"/>
    <w:bookmarkEnd w:id="3"/>
    <w:bookmarkEnd w:id="4"/>
    <w:bookmarkEnd w:id="5"/>
    <w:p w14:paraId="3D073BB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bookmarkStart w:id="6" w:name="_Toc35393625"/>
      <w:bookmarkStart w:id="7" w:name="_Toc35393794"/>
      <w:bookmarkStart w:id="8" w:name="_Toc28359084"/>
      <w:bookmarkStart w:id="9" w:name="_Toc28359007"/>
      <w:r>
        <w:rPr>
          <w:rFonts w:hint="eastAsia" w:ascii="Times New Roman" w:hAnsi="Times New Roman" w:eastAsia="宋体" w:cs="宋体"/>
          <w:b/>
          <w:color w:val="auto"/>
          <w:kern w:val="0"/>
          <w:sz w:val="24"/>
          <w:szCs w:val="24"/>
          <w:highlight w:val="none"/>
        </w:rPr>
        <w:t>四、响应文件提交</w:t>
      </w:r>
    </w:p>
    <w:p w14:paraId="206C519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1、提交响应文件截止时间：</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color w:val="auto"/>
          <w:sz w:val="24"/>
          <w:szCs w:val="24"/>
          <w:highlight w:val="none"/>
        </w:rPr>
        <w:t>（北京时间）。</w:t>
      </w:r>
      <w:r>
        <w:rPr>
          <w:rFonts w:hint="eastAsia" w:ascii="Times New Roman" w:hAnsi="Times New Roman" w:eastAsia="宋体"/>
          <w:color w:val="auto"/>
          <w:sz w:val="24"/>
          <w:highlight w:val="none"/>
        </w:rPr>
        <w:t>逾时，采购人将拒绝接受响应文件纸质文档。</w:t>
      </w:r>
    </w:p>
    <w:p w14:paraId="31FA91AD">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2、提交响应文件地点：</w:t>
      </w:r>
      <w:r>
        <w:rPr>
          <w:rFonts w:hint="eastAsia" w:ascii="Times New Roman" w:hAnsi="Times New Roman" w:eastAsia="宋体" w:cs="Times New Roman"/>
          <w:color w:val="auto"/>
          <w:sz w:val="24"/>
          <w:szCs w:val="24"/>
          <w:highlight w:val="none"/>
          <w:u w:val="single"/>
          <w:lang w:eastAsia="zh-CN"/>
        </w:rPr>
        <w:t>南通市崇川区江海大道488号金贸国际25楼（宏信天德工程顾问有限公司开标室）</w:t>
      </w:r>
      <w:r>
        <w:rPr>
          <w:rFonts w:hint="eastAsia" w:ascii="Times New Roman" w:hAnsi="Times New Roman" w:eastAsia="宋体" w:cs="宋体"/>
          <w:color w:val="auto"/>
          <w:sz w:val="24"/>
          <w:szCs w:val="24"/>
          <w:highlight w:val="none"/>
        </w:rPr>
        <w:t>，如有变动另行通知。</w:t>
      </w:r>
    </w:p>
    <w:p w14:paraId="0CFEAE89">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五、开启</w:t>
      </w:r>
    </w:p>
    <w:p w14:paraId="5849BDD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1、时间：</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color w:val="auto"/>
          <w:sz w:val="24"/>
          <w:szCs w:val="24"/>
          <w:highlight w:val="none"/>
        </w:rPr>
        <w:t>（北京时间）。</w:t>
      </w:r>
    </w:p>
    <w:p w14:paraId="1C27D16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2、开启文件及开标地点：</w:t>
      </w:r>
      <w:r>
        <w:rPr>
          <w:rFonts w:hint="eastAsia" w:ascii="Times New Roman" w:hAnsi="Times New Roman" w:eastAsia="宋体" w:cs="Times New Roman"/>
          <w:color w:val="auto"/>
          <w:sz w:val="24"/>
          <w:szCs w:val="24"/>
          <w:highlight w:val="none"/>
          <w:u w:val="single"/>
          <w:lang w:eastAsia="zh-CN"/>
        </w:rPr>
        <w:t>南通市崇川区江海大道488号金贸国际25楼（宏信天德工程顾问有限公司开标室）</w:t>
      </w:r>
      <w:r>
        <w:rPr>
          <w:rFonts w:hint="eastAsia" w:ascii="Times New Roman" w:hAnsi="Times New Roman" w:eastAsia="宋体" w:cs="宋体"/>
          <w:color w:val="auto"/>
          <w:sz w:val="24"/>
          <w:szCs w:val="24"/>
          <w:highlight w:val="none"/>
        </w:rPr>
        <w:t>。</w:t>
      </w:r>
    </w:p>
    <w:p w14:paraId="01BC8F7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六、公告期限</w:t>
      </w:r>
      <w:bookmarkEnd w:id="6"/>
      <w:bookmarkEnd w:id="7"/>
      <w:bookmarkEnd w:id="8"/>
      <w:bookmarkEnd w:id="9"/>
    </w:p>
    <w:p w14:paraId="1A25B28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自本公告发布之日起3个工作日。</w:t>
      </w:r>
    </w:p>
    <w:p w14:paraId="1063B434">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
          <w:bCs/>
          <w:color w:val="auto"/>
          <w:sz w:val="24"/>
          <w:szCs w:val="24"/>
          <w:highlight w:val="none"/>
        </w:rPr>
        <w:t>七、</w:t>
      </w:r>
      <w:r>
        <w:rPr>
          <w:rFonts w:hint="eastAsia" w:ascii="Times New Roman" w:hAnsi="Times New Roman" w:eastAsia="宋体" w:cs="宋体"/>
          <w:b/>
          <w:color w:val="auto"/>
          <w:sz w:val="24"/>
          <w:szCs w:val="24"/>
          <w:highlight w:val="none"/>
        </w:rPr>
        <w:t>其他补充事宜</w:t>
      </w:r>
    </w:p>
    <w:p w14:paraId="31763BC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1、</w:t>
      </w:r>
      <w:r>
        <w:rPr>
          <w:rFonts w:hint="eastAsia" w:ascii="Times New Roman" w:hAnsi="Times New Roman" w:eastAsia="宋体" w:cs="宋体"/>
          <w:color w:val="auto"/>
          <w:kern w:val="0"/>
          <w:sz w:val="24"/>
          <w:szCs w:val="24"/>
          <w:highlight w:val="none"/>
          <w:lang w:val="en-US" w:eastAsia="zh-CN"/>
        </w:rPr>
        <w:t>磋商保证金：免收。</w:t>
      </w:r>
      <w:r>
        <w:rPr>
          <w:rFonts w:hint="eastAsia" w:ascii="Times New Roman" w:hAnsi="Times New Roman" w:eastAsia="宋体" w:cs="宋体"/>
          <w:color w:val="auto"/>
          <w:kern w:val="0"/>
          <w:sz w:val="24"/>
          <w:szCs w:val="24"/>
          <w:highlight w:val="none"/>
        </w:rPr>
        <w:t>本项目不收取磋商保证金，采购文件中涉及磋商保证金的事项，均按免收保证金执行。</w:t>
      </w:r>
    </w:p>
    <w:p w14:paraId="45ECEFF1">
      <w:pPr>
        <w:keepNext w:val="0"/>
        <w:keepLines w:val="0"/>
        <w:pageBreakBefore w:val="0"/>
        <w:kinsoku/>
        <w:topLinePunct w:val="0"/>
        <w:autoSpaceDE/>
        <w:autoSpaceDN/>
        <w:bidi w:val="0"/>
        <w:spacing w:line="360" w:lineRule="auto"/>
        <w:ind w:firstLine="480" w:firstLineChars="200"/>
        <w:rPr>
          <w:rFonts w:cs="宋体"/>
          <w:color w:val="auto"/>
          <w:kern w:val="0"/>
          <w:sz w:val="24"/>
          <w:szCs w:val="24"/>
          <w:highlight w:val="none"/>
        </w:rPr>
      </w:pPr>
      <w:r>
        <w:rPr>
          <w:rFonts w:hint="eastAsia" w:cs="宋体"/>
          <w:bCs/>
          <w:color w:val="auto"/>
          <w:sz w:val="24"/>
          <w:szCs w:val="24"/>
          <w:highlight w:val="none"/>
          <w:lang w:val="en-US" w:eastAsia="zh-CN"/>
        </w:rPr>
        <w:t>2</w:t>
      </w:r>
      <w:r>
        <w:rPr>
          <w:rFonts w:hint="eastAsia" w:cs="宋体"/>
          <w:bCs/>
          <w:color w:val="auto"/>
          <w:sz w:val="24"/>
          <w:szCs w:val="24"/>
          <w:highlight w:val="none"/>
        </w:rPr>
        <w:t>、</w:t>
      </w:r>
      <w:r>
        <w:rPr>
          <w:rFonts w:cs="宋体"/>
          <w:color w:val="auto"/>
          <w:kern w:val="0"/>
          <w:sz w:val="24"/>
          <w:szCs w:val="24"/>
          <w:highlight w:val="none"/>
        </w:rPr>
        <w:t>项目</w:t>
      </w:r>
      <w:r>
        <w:rPr>
          <w:rFonts w:hint="eastAsia" w:cs="宋体"/>
          <w:color w:val="auto"/>
          <w:kern w:val="0"/>
          <w:sz w:val="24"/>
          <w:szCs w:val="24"/>
          <w:highlight w:val="none"/>
        </w:rPr>
        <w:t>磋商</w:t>
      </w:r>
      <w:r>
        <w:rPr>
          <w:rFonts w:cs="宋体"/>
          <w:color w:val="auto"/>
          <w:kern w:val="0"/>
          <w:sz w:val="24"/>
          <w:szCs w:val="24"/>
          <w:highlight w:val="none"/>
        </w:rPr>
        <w:t>活动模式：</w:t>
      </w:r>
      <w:r>
        <w:rPr>
          <w:rFonts w:hint="eastAsia" w:cs="宋体"/>
          <w:color w:val="auto"/>
          <w:kern w:val="0"/>
          <w:sz w:val="24"/>
          <w:szCs w:val="24"/>
          <w:highlight w:val="none"/>
        </w:rPr>
        <w:t>现场磋商模式</w:t>
      </w:r>
      <w:r>
        <w:rPr>
          <w:rFonts w:cs="宋体"/>
          <w:color w:val="auto"/>
          <w:kern w:val="0"/>
          <w:sz w:val="24"/>
          <w:szCs w:val="24"/>
          <w:highlight w:val="none"/>
        </w:rPr>
        <w:t>。</w:t>
      </w:r>
    </w:p>
    <w:p w14:paraId="62022B04">
      <w:pPr>
        <w:keepNext w:val="0"/>
        <w:keepLines w:val="0"/>
        <w:pageBreakBefore w:val="0"/>
        <w:kinsoku/>
        <w:topLinePunct w:val="0"/>
        <w:autoSpaceDE/>
        <w:autoSpaceDN/>
        <w:bidi w:val="0"/>
        <w:spacing w:line="360" w:lineRule="auto"/>
        <w:ind w:firstLine="480" w:firstLineChars="200"/>
        <w:rPr>
          <w:color w:val="auto"/>
          <w:highlight w:val="none"/>
        </w:rPr>
      </w:pPr>
      <w:r>
        <w:rPr>
          <w:rFonts w:hint="eastAsia" w:cs="宋体"/>
          <w:color w:val="auto"/>
          <w:kern w:val="0"/>
          <w:sz w:val="24"/>
          <w:szCs w:val="24"/>
          <w:highlight w:val="none"/>
          <w:lang w:val="en-US" w:eastAsia="zh-CN"/>
        </w:rPr>
        <w:t>3</w:t>
      </w:r>
      <w:r>
        <w:rPr>
          <w:rFonts w:cs="宋体"/>
          <w:color w:val="auto"/>
          <w:kern w:val="0"/>
          <w:sz w:val="24"/>
          <w:szCs w:val="24"/>
          <w:highlight w:val="none"/>
        </w:rPr>
        <w:t>、项目演示、样品、答辩等：无</w:t>
      </w:r>
      <w:r>
        <w:rPr>
          <w:rFonts w:hint="eastAsia" w:cs="宋体"/>
          <w:color w:val="auto"/>
          <w:kern w:val="0"/>
          <w:sz w:val="24"/>
          <w:szCs w:val="24"/>
          <w:highlight w:val="none"/>
        </w:rPr>
        <w:t>。</w:t>
      </w:r>
    </w:p>
    <w:p w14:paraId="05019CFE">
      <w:pPr>
        <w:keepNext w:val="0"/>
        <w:keepLines w:val="0"/>
        <w:pageBreakBefore w:val="0"/>
        <w:kinsoku/>
        <w:topLinePunct w:val="0"/>
        <w:autoSpaceDE/>
        <w:autoSpaceDN/>
        <w:bidi w:val="0"/>
        <w:spacing w:line="360" w:lineRule="auto"/>
        <w:ind w:firstLine="480" w:firstLineChars="200"/>
        <w:textAlignment w:val="baseline"/>
        <w:rPr>
          <w:color w:val="auto"/>
          <w:sz w:val="24"/>
          <w:szCs w:val="24"/>
          <w:highlight w:val="none"/>
        </w:rPr>
      </w:pPr>
      <w:r>
        <w:rPr>
          <w:rFonts w:hint="eastAsia" w:cs="宋体"/>
          <w:color w:val="auto"/>
          <w:sz w:val="24"/>
          <w:highlight w:val="none"/>
          <w:lang w:val="en-US" w:eastAsia="zh-CN"/>
        </w:rPr>
        <w:t>4</w:t>
      </w:r>
      <w:r>
        <w:rPr>
          <w:rFonts w:hint="eastAsia" w:cs="宋体"/>
          <w:color w:val="auto"/>
          <w:sz w:val="24"/>
          <w:highlight w:val="none"/>
        </w:rPr>
        <w:t>、</w:t>
      </w:r>
      <w:r>
        <w:rPr>
          <w:rFonts w:hint="eastAsia"/>
          <w:color w:val="auto"/>
          <w:sz w:val="24"/>
          <w:szCs w:val="24"/>
          <w:highlight w:val="none"/>
        </w:rPr>
        <w:t>对项目需求部分（供应商其他资格要求、项目需求、评分标准）的询问、质疑请向采购人提出，由采购人负责答复；对项目磋商文件其它部分的询问请向采购人或招标代理提出。</w:t>
      </w:r>
    </w:p>
    <w:p w14:paraId="125A902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5</w:t>
      </w:r>
      <w:r>
        <w:rPr>
          <w:rFonts w:hint="eastAsia"/>
          <w:color w:val="auto"/>
          <w:sz w:val="24"/>
          <w:szCs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r>
        <w:rPr>
          <w:rFonts w:hint="eastAsia"/>
          <w:color w:val="auto"/>
          <w:sz w:val="24"/>
          <w:szCs w:val="24"/>
          <w:highlight w:val="none"/>
          <w:lang w:val="en-US" w:eastAsia="zh-CN"/>
        </w:rPr>
        <w:t xml:space="preserve">     </w:t>
      </w:r>
    </w:p>
    <w:p w14:paraId="49BD68DE">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八、凡对本次采购提出询问，请按以下方式联系</w:t>
      </w:r>
    </w:p>
    <w:p w14:paraId="7DF947D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1、采购人信息</w:t>
      </w:r>
    </w:p>
    <w:p w14:paraId="632D16B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名称：南通市第三人民医院</w:t>
      </w:r>
    </w:p>
    <w:p w14:paraId="1827BC18">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地址：江苏省南通市青年中路</w:t>
      </w:r>
      <w:r>
        <w:rPr>
          <w:rFonts w:hint="eastAsia" w:ascii="Times New Roman" w:hAnsi="Times New Roman" w:eastAsia="宋体"/>
          <w:color w:val="auto"/>
          <w:sz w:val="24"/>
          <w:szCs w:val="24"/>
          <w:highlight w:val="none"/>
          <w:lang w:val="en-US" w:eastAsia="zh-CN"/>
        </w:rPr>
        <w:t>60</w:t>
      </w:r>
      <w:r>
        <w:rPr>
          <w:rFonts w:hint="eastAsia" w:ascii="Times New Roman" w:hAnsi="Times New Roman" w:eastAsia="宋体"/>
          <w:color w:val="auto"/>
          <w:sz w:val="24"/>
          <w:szCs w:val="24"/>
          <w:highlight w:val="none"/>
        </w:rPr>
        <w:t>号</w:t>
      </w:r>
    </w:p>
    <w:p w14:paraId="2092EE77">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bCs/>
          <w:color w:val="auto"/>
          <w:sz w:val="24"/>
          <w:highlight w:val="none"/>
          <w:lang w:eastAsia="zh-CN"/>
        </w:rPr>
      </w:pPr>
      <w:r>
        <w:rPr>
          <w:rFonts w:hint="eastAsia" w:ascii="Times New Roman" w:hAnsi="Times New Roman" w:eastAsia="宋体" w:cs="宋体"/>
          <w:bCs/>
          <w:color w:val="auto"/>
          <w:sz w:val="24"/>
          <w:highlight w:val="none"/>
        </w:rPr>
        <w:t>联系人：钱</w:t>
      </w:r>
      <w:r>
        <w:rPr>
          <w:rFonts w:hint="eastAsia" w:ascii="Times New Roman" w:hAnsi="Times New Roman" w:eastAsia="宋体" w:cs="宋体"/>
          <w:bCs/>
          <w:color w:val="auto"/>
          <w:sz w:val="24"/>
          <w:highlight w:val="none"/>
          <w:lang w:eastAsia="zh-CN"/>
        </w:rPr>
        <w:t>先生</w:t>
      </w:r>
    </w:p>
    <w:p w14:paraId="4E618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联系电话：0513-85116168</w:t>
      </w:r>
    </w:p>
    <w:p w14:paraId="5F705B3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2、采购代理机构信息</w:t>
      </w:r>
    </w:p>
    <w:p w14:paraId="445C7E5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名称：宏信天德工程顾问有限公司</w:t>
      </w:r>
    </w:p>
    <w:p w14:paraId="70CFEE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地址：南通市崇川区江海大道488号金贸国际25楼</w:t>
      </w:r>
    </w:p>
    <w:p w14:paraId="345F879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联系人：董安国</w:t>
      </w:r>
    </w:p>
    <w:p w14:paraId="6EAD7A8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olor w:val="auto"/>
          <w:sz w:val="24"/>
          <w:szCs w:val="24"/>
          <w:highlight w:val="none"/>
        </w:rPr>
        <w:t>联系电话：</w:t>
      </w:r>
      <w:r>
        <w:rPr>
          <w:rFonts w:hint="eastAsia" w:ascii="Times New Roman" w:hAnsi="Times New Roman" w:eastAsia="宋体" w:cs="宋体"/>
          <w:color w:val="auto"/>
          <w:kern w:val="0"/>
          <w:sz w:val="24"/>
          <w:highlight w:val="none"/>
        </w:rPr>
        <w:t>18912299056</w:t>
      </w:r>
    </w:p>
    <w:p w14:paraId="2D2133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邮箱：812298892@qq.com</w:t>
      </w:r>
    </w:p>
    <w:p w14:paraId="4D54756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3、项目联系方式</w:t>
      </w:r>
    </w:p>
    <w:p w14:paraId="530951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项目联系人：董安国</w:t>
      </w:r>
    </w:p>
    <w:p w14:paraId="7B9698F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kern w:val="0"/>
          <w:sz w:val="24"/>
          <w:highlight w:val="none"/>
        </w:rPr>
      </w:pPr>
      <w:r>
        <w:rPr>
          <w:rFonts w:hint="eastAsia" w:ascii="Times New Roman" w:hAnsi="Times New Roman" w:eastAsia="宋体"/>
          <w:color w:val="auto"/>
          <w:sz w:val="24"/>
          <w:szCs w:val="24"/>
          <w:highlight w:val="none"/>
        </w:rPr>
        <w:t>电　话：</w:t>
      </w:r>
      <w:r>
        <w:rPr>
          <w:rFonts w:hint="eastAsia" w:ascii="Times New Roman" w:hAnsi="Times New Roman" w:eastAsia="宋体" w:cs="宋体"/>
          <w:color w:val="auto"/>
          <w:kern w:val="0"/>
          <w:sz w:val="24"/>
          <w:highlight w:val="none"/>
        </w:rPr>
        <w:t>18912299056</w:t>
      </w:r>
    </w:p>
    <w:p w14:paraId="7878B4C5">
      <w:pPr>
        <w:pStyle w:val="9"/>
        <w:keepNext w:val="0"/>
        <w:keepLines w:val="0"/>
        <w:pageBreakBefore w:val="0"/>
        <w:widowControl w:val="0"/>
        <w:kinsoku/>
        <w:wordWrap/>
        <w:topLinePunct w:val="0"/>
        <w:autoSpaceDE/>
        <w:autoSpaceDN/>
        <w:bidi w:val="0"/>
        <w:spacing w:line="360" w:lineRule="auto"/>
        <w:rPr>
          <w:rFonts w:ascii="Times New Roman" w:hAnsi="Times New Roman" w:eastAsia="宋体"/>
          <w:color w:val="auto"/>
          <w:kern w:val="0"/>
          <w:highlight w:val="none"/>
        </w:rPr>
      </w:pPr>
      <w:r>
        <w:rPr>
          <w:rFonts w:ascii="Times New Roman" w:hAnsi="Times New Roman" w:eastAsia="宋体"/>
          <w:color w:val="auto"/>
          <w:kern w:val="0"/>
          <w:highlight w:val="none"/>
        </w:rPr>
        <w:br w:type="page"/>
      </w:r>
    </w:p>
    <w:p w14:paraId="2AA378F3">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olor w:val="auto"/>
          <w:w w:val="80"/>
          <w:sz w:val="48"/>
          <w:szCs w:val="44"/>
          <w:highlight w:val="none"/>
        </w:rPr>
      </w:pPr>
      <w:r>
        <w:rPr>
          <w:rFonts w:hint="eastAsia" w:ascii="Times New Roman" w:hAnsi="Times New Roman" w:eastAsia="宋体"/>
          <w:color w:val="auto"/>
          <w:w w:val="80"/>
          <w:sz w:val="48"/>
          <w:szCs w:val="44"/>
          <w:highlight w:val="none"/>
        </w:rPr>
        <w:t>第二章 投标供应商须知</w:t>
      </w:r>
    </w:p>
    <w:p w14:paraId="5586FE3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一、说明</w:t>
      </w:r>
    </w:p>
    <w:p w14:paraId="42DBB24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1、本竞争性磋商文件仅适用于采购人组织的竞争性磋商采购活动。</w:t>
      </w:r>
    </w:p>
    <w:p w14:paraId="191377F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2、竞争性磋商活动及因本次磋商产生的合同受中国法律制约和保护。</w:t>
      </w:r>
    </w:p>
    <w:p w14:paraId="0F581CB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3、竞争性磋商文件的解释权属于采购人。</w:t>
      </w:r>
    </w:p>
    <w:p w14:paraId="222F883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color w:val="auto"/>
          <w:sz w:val="24"/>
          <w:szCs w:val="24"/>
          <w:highlight w:val="none"/>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b/>
          <w:color w:val="auto"/>
          <w:sz w:val="24"/>
          <w:szCs w:val="24"/>
          <w:highlight w:val="none"/>
        </w:rPr>
        <w:t>非书面形式的不作为日后质疑提出的依据。</w:t>
      </w:r>
    </w:p>
    <w:p w14:paraId="53B8395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1620B33A">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二、本项目涉及到的现场勘察</w:t>
      </w:r>
    </w:p>
    <w:p w14:paraId="590F4E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1、根据自身需要，供应商可在响应文件递交之日前对有关现场和周围环境进行勘察，以获取编制响应文件和签署合同所需的信息。勘察现场所发生的费用由供应商自己承担。</w:t>
      </w:r>
    </w:p>
    <w:p w14:paraId="76ABF4E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2、采购人向供应商提供的有关现场的资料和数据，是采购人现有的并认为能使供应商可利用的资料。采购人对供应商由此而做出的推论、理解和结论概不负责。</w:t>
      </w:r>
    </w:p>
    <w:p w14:paraId="09A6E0D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3、经采购人允许，供应商可为勘察目的进入采购人的项目现场，但供应商不得因此使采购人承担有关的责任和蒙受损失。供应商应承担勘察现场的责任和风险。</w:t>
      </w:r>
    </w:p>
    <w:p w14:paraId="773D6EEB">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14:paraId="08F1E32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三、磋商文件的澄清、修改、答疑</w:t>
      </w:r>
    </w:p>
    <w:p w14:paraId="687F5B3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1、代理机构有权对发出的磋商文件进行必要的澄清、修改或补充。</w:t>
      </w:r>
    </w:p>
    <w:p w14:paraId="755CEFF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2、磋商文件的澄清、修改、补充等内容均以书面明确的形式发布，并以南通市第三人民医院官网发布的信息为准。</w:t>
      </w:r>
    </w:p>
    <w:p w14:paraId="3631A0C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3、代理机构对磋商文件的澄清、修改将构成磋商文件的一部分，对响应磋商的供应商具有约束力。</w:t>
      </w:r>
    </w:p>
    <w:p w14:paraId="712FA2E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4、澄清或者修改的内容可能影响到响应文件编制的，代理机构应当在提交响应文件接收截止之日3个工作日前，发布澄清或者修改公告，不足3个工作日的，当顺延提交响应文件接收截止时间。</w:t>
      </w:r>
    </w:p>
    <w:p w14:paraId="767CF4F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5、除非代理机构以书面的形式对磋商文件作出澄清、修改及补充，供应商对涉及磋商文件的任何推论、理解和结论所造成的结果，均由供应商自负。</w:t>
      </w:r>
    </w:p>
    <w:p w14:paraId="38D9FA6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6、采购单位视情组织答疑会。如有产生答疑且对磋商文件内容有修改，代理机构将按照本须知有关规定，以补充通知（公告）的方式发出。</w:t>
      </w:r>
    </w:p>
    <w:p w14:paraId="05D64943">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四、响应文件的编制及装订</w:t>
      </w:r>
    </w:p>
    <w:p w14:paraId="474761A5">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供应商按磋商文件要求编写响应文件，并牢固装订成册。响应文件均需采用A4纸（图纸等除外）装订。响应文件不得行间插字、涂改、增删，如修改错漏处，须经响应文件签署人签字并加盖公章。</w:t>
      </w:r>
    </w:p>
    <w:p w14:paraId="055F8A0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五、响应文件的份数和签署</w:t>
      </w:r>
    </w:p>
    <w:p w14:paraId="113B25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1、响应文件由：</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资格审查文件、</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技术响应文件、③报价响应文件共3部分组成（以下由文件序号代称）。</w:t>
      </w:r>
    </w:p>
    <w:p w14:paraId="4EAC643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color w:val="auto"/>
          <w:sz w:val="24"/>
          <w:szCs w:val="24"/>
          <w:highlight w:val="none"/>
          <w:u w:val="singl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b/>
          <w:color w:val="auto"/>
          <w:sz w:val="24"/>
          <w:szCs w:val="24"/>
          <w:highlight w:val="none"/>
        </w:rPr>
        <w:t>响应文件均为一式</w:t>
      </w:r>
      <w:r>
        <w:rPr>
          <w:rFonts w:hint="eastAsia" w:ascii="Times New Roman" w:hAnsi="Times New Roman" w:eastAsia="宋体" w:cs="宋体"/>
          <w:b/>
          <w:color w:val="auto"/>
          <w:sz w:val="24"/>
          <w:szCs w:val="24"/>
          <w:highlight w:val="none"/>
          <w:lang w:eastAsia="zh-CN"/>
        </w:rPr>
        <w:t>叁</w:t>
      </w:r>
      <w:r>
        <w:rPr>
          <w:rFonts w:hint="eastAsia" w:ascii="Times New Roman" w:hAnsi="Times New Roman" w:eastAsia="宋体" w:cs="宋体"/>
          <w:b/>
          <w:color w:val="auto"/>
          <w:sz w:val="24"/>
          <w:szCs w:val="24"/>
          <w:highlight w:val="none"/>
        </w:rPr>
        <w:t>份，其中</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正本</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壹份和</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副本</w:t>
      </w:r>
      <w:r>
        <w:rPr>
          <w:rFonts w:hint="eastAsia" w:ascii="Times New Roman" w:hAnsi="Times New Roman" w:eastAsia="宋体" w:cs="宋体"/>
          <w:b/>
          <w:color w:val="auto"/>
          <w:sz w:val="24"/>
          <w:szCs w:val="24"/>
          <w:highlight w:val="none"/>
          <w:lang w:eastAsia="zh-CN"/>
        </w:rPr>
        <w:t>”贰</w:t>
      </w:r>
      <w:r>
        <w:rPr>
          <w:rFonts w:hint="eastAsia" w:ascii="Times New Roman" w:hAnsi="Times New Roman" w:eastAsia="宋体" w:cs="宋体"/>
          <w:b/>
          <w:color w:val="auto"/>
          <w:sz w:val="24"/>
          <w:szCs w:val="24"/>
          <w:highlight w:val="none"/>
        </w:rPr>
        <w:t>份。</w:t>
      </w:r>
    </w:p>
    <w:p w14:paraId="4FACA949">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3、在每份响应文件上要明确标注项目名称、对应的响应文件名称、供应商的全称、日期、</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字样。</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和</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若有差异，概以</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为准。</w:t>
      </w:r>
    </w:p>
    <w:p w14:paraId="462B9602">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4、供应商可将响应文件正副本统一密封或分别密封，如正本和副本分别密封的，应在封袋上标明正、副本字样。</w:t>
      </w:r>
    </w:p>
    <w:p w14:paraId="10A8B01A">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5、响应文件中的所有</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，其正文内容须按磋商文件要求由供应商法定代表人或被授权人签字（或盖章）并加盖单位公章。</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可复印，但须加盖单位公章。</w:t>
      </w:r>
    </w:p>
    <w:p w14:paraId="6830A851">
      <w:pPr>
        <w:keepNext w:val="0"/>
        <w:keepLines w:val="0"/>
        <w:pageBreakBefore w:val="0"/>
        <w:widowControl w:val="0"/>
        <w:kinsoku/>
        <w:wordWrap/>
        <w:topLinePunct w:val="0"/>
        <w:autoSpaceDE/>
        <w:autoSpaceDN/>
        <w:bidi w:val="0"/>
        <w:spacing w:line="360" w:lineRule="auto"/>
        <w:ind w:firstLine="472" w:firstLineChars="19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六、响应文件的密封及标记</w:t>
      </w:r>
    </w:p>
    <w:p w14:paraId="7A047CA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1、供应商须将本项目响应文件：</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3 \* GB3</w:instrText>
      </w:r>
      <w:r>
        <w:rPr>
          <w:rFonts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③</w:t>
      </w:r>
      <w:r>
        <w:rPr>
          <w:rFonts w:ascii="Times New Roman" w:hAnsi="Times New Roman" w:eastAsia="宋体" w:cs="宋体"/>
          <w:color w:val="auto"/>
          <w:sz w:val="20"/>
          <w:szCs w:val="24"/>
          <w:highlight w:val="none"/>
        </w:rPr>
        <w:fldChar w:fldCharType="end"/>
      </w:r>
      <w:r>
        <w:rPr>
          <w:rFonts w:hint="eastAsia" w:ascii="Times New Roman" w:hAnsi="Times New Roman" w:eastAsia="宋体" w:cs="宋体"/>
          <w:b/>
          <w:color w:val="auto"/>
          <w:sz w:val="24"/>
          <w:szCs w:val="24"/>
          <w:highlight w:val="none"/>
        </w:rPr>
        <w:t>单独密封</w:t>
      </w:r>
      <w:r>
        <w:rPr>
          <w:rFonts w:hint="eastAsia" w:ascii="Times New Roman" w:hAnsi="Times New Roman" w:eastAsia="宋体" w:cs="宋体"/>
          <w:color w:val="auto"/>
          <w:sz w:val="24"/>
          <w:szCs w:val="24"/>
          <w:highlight w:val="none"/>
        </w:rPr>
        <w:t>。</w:t>
      </w:r>
    </w:p>
    <w:p w14:paraId="5DBB13A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2、密封后，应在每一份密封的响应文件上明确标注磋商项目名称、响应文件各自对应的名称、供应商的全称及日期并加盖供应商公章。</w:t>
      </w:r>
    </w:p>
    <w:p w14:paraId="6651779D">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【特别提醒】</w:t>
      </w:r>
      <w:r>
        <w:rPr>
          <w:rFonts w:hint="eastAsia" w:ascii="Times New Roman" w:hAnsi="Times New Roman" w:eastAsia="宋体" w:cs="宋体"/>
          <w:color w:val="auto"/>
          <w:sz w:val="24"/>
          <w:szCs w:val="24"/>
          <w:highlight w:val="none"/>
        </w:rPr>
        <w:t>响应文件中的</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和</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的</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或</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中，均不得含有报价响应文件中报价表（报价单）内的任何项目价格，否则作无效</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处理。</w:t>
      </w:r>
    </w:p>
    <w:p w14:paraId="56EC8E2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七、磋商报价</w:t>
      </w:r>
    </w:p>
    <w:p w14:paraId="752A621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highlight w:val="none"/>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color w:val="auto"/>
          <w:sz w:val="24"/>
          <w:szCs w:val="24"/>
          <w:highlight w:val="none"/>
        </w:rPr>
        <w:t>。</w:t>
      </w:r>
    </w:p>
    <w:p w14:paraId="467FDC3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2、磋商报价均以人民币为报价的币种。</w:t>
      </w:r>
    </w:p>
    <w:p w14:paraId="08E7542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53B59C29">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4、本项目报价为</w:t>
      </w:r>
      <w:r>
        <w:rPr>
          <w:rFonts w:hint="eastAsia" w:ascii="Times New Roman" w:hAnsi="Times New Roman" w:eastAsia="宋体" w:cs="宋体"/>
          <w:b/>
          <w:bCs/>
          <w:color w:val="auto"/>
          <w:sz w:val="24"/>
          <w:szCs w:val="24"/>
          <w:highlight w:val="none"/>
        </w:rPr>
        <w:t>固定价格</w:t>
      </w:r>
      <w:r>
        <w:rPr>
          <w:rFonts w:hint="eastAsia" w:ascii="Times New Roman" w:hAnsi="Times New Roman" w:eastAsia="宋体" w:cs="宋体"/>
          <w:color w:val="auto"/>
          <w:sz w:val="24"/>
          <w:szCs w:val="24"/>
          <w:highlight w:val="none"/>
        </w:rPr>
        <w:t>报价，供应商应充分考虑服务实施期间各类市场价格和政策性价格调整因素，确定价格风险计入总报价，今后不作调整。（</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报价应包括完成本项目所需的一切费用，包括但不限于</w:t>
      </w:r>
      <w:r>
        <w:rPr>
          <w:rFonts w:hint="eastAsia" w:ascii="Times New Roman" w:hAnsi="Times New Roman" w:eastAsia="宋体"/>
          <w:bCs/>
          <w:color w:val="auto"/>
          <w:sz w:val="24"/>
          <w:szCs w:val="24"/>
          <w:highlight w:val="none"/>
        </w:rPr>
        <w:t>成本、利润、税金、开办费、政策性调整风险费等的所有费用；</w:t>
      </w:r>
      <w:r>
        <w:rPr>
          <w:rFonts w:hint="eastAsia" w:ascii="Times New Roman" w:hAnsi="Times New Roman" w:eastAsia="宋体" w:cs="宋体"/>
          <w:color w:val="auto"/>
          <w:sz w:val="24"/>
          <w:szCs w:val="24"/>
          <w:highlight w:val="none"/>
        </w:rPr>
        <w:t>辅材费、</w:t>
      </w:r>
      <w:r>
        <w:rPr>
          <w:rFonts w:hint="eastAsia" w:ascii="Times New Roman" w:hAnsi="Times New Roman" w:eastAsia="宋体"/>
          <w:bCs/>
          <w:color w:val="auto"/>
          <w:sz w:val="24"/>
          <w:szCs w:val="24"/>
          <w:highlight w:val="none"/>
        </w:rPr>
        <w:t>人工费、检测费、管理费；国家税务部门规定的各项税金；相关伴随服务以及售后服务等一切费用</w:t>
      </w:r>
      <w:r>
        <w:rPr>
          <w:rFonts w:hint="eastAsia" w:ascii="Times New Roman" w:hAnsi="Times New Roman" w:eastAsia="宋体" w:cs="宋体"/>
          <w:color w:val="auto"/>
          <w:sz w:val="24"/>
          <w:szCs w:val="24"/>
          <w:highlight w:val="none"/>
        </w:rPr>
        <w:t>。同时，报价也应包含合同履行过程中可能发生的一切风险。）</w:t>
      </w:r>
    </w:p>
    <w:p w14:paraId="1176815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2787124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w:t>
      </w:r>
      <w:r>
        <w:rPr>
          <w:rFonts w:hint="eastAsia" w:ascii="Times New Roman" w:hAnsi="Times New Roman" w:eastAsia="宋体" w:cs="宋体"/>
          <w:color w:val="auto"/>
          <w:sz w:val="24"/>
          <w:highlight w:val="none"/>
        </w:rPr>
        <w:t>除非在磋商中磋商小组对采购单位需求内容作了调整增加，或对采购内容作了实质性变更，否则</w:t>
      </w:r>
      <w:r>
        <w:rPr>
          <w:rFonts w:hint="eastAsia" w:ascii="Times New Roman" w:hAnsi="Times New Roman" w:eastAsia="宋体" w:cs="宋体"/>
          <w:b/>
          <w:color w:val="auto"/>
          <w:sz w:val="24"/>
          <w:highlight w:val="none"/>
        </w:rPr>
        <w:t>采购单位不接受供应商高于自己前一轮的磋商报价。</w:t>
      </w:r>
    </w:p>
    <w:p w14:paraId="1C2798E4">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7、竞争性磋商的最终报价为成交价。同时，供应商的最终成交价在合同实施期间不因市场变化因素而变动。</w:t>
      </w:r>
    </w:p>
    <w:p w14:paraId="3C2E314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w:t>
      </w:r>
      <w:r>
        <w:rPr>
          <w:rFonts w:hint="eastAsia" w:ascii="Times New Roman" w:hAnsi="Times New Roman" w:eastAsia="宋体" w:cs="宋体"/>
          <w:color w:val="auto"/>
          <w:sz w:val="24"/>
          <w:highlight w:val="none"/>
        </w:rPr>
        <w:t>最终报价将作为磋商小组评定成交供应商的依据</w:t>
      </w:r>
      <w:r>
        <w:rPr>
          <w:rFonts w:hint="eastAsia" w:ascii="Times New Roman" w:hAnsi="Times New Roman" w:eastAsia="宋体" w:cs="宋体"/>
          <w:color w:val="auto"/>
          <w:sz w:val="24"/>
          <w:szCs w:val="24"/>
          <w:highlight w:val="none"/>
        </w:rPr>
        <w:t>。</w:t>
      </w:r>
    </w:p>
    <w:p w14:paraId="722C767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八、联合体参与磋商</w:t>
      </w:r>
    </w:p>
    <w:p w14:paraId="27D212B7">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不接受任何形式的联合体参与本项目的竞争性磋商。</w:t>
      </w:r>
    </w:p>
    <w:p w14:paraId="35B465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rPr>
        <w:t>九、响应文件及</w:t>
      </w:r>
      <w:r>
        <w:rPr>
          <w:rFonts w:hint="eastAsia" w:ascii="Times New Roman" w:hAnsi="Times New Roman" w:eastAsia="宋体" w:cs="宋体"/>
          <w:b/>
          <w:color w:val="auto"/>
          <w:kern w:val="0"/>
          <w:sz w:val="24"/>
          <w:szCs w:val="24"/>
          <w:highlight w:val="none"/>
        </w:rPr>
        <w:t>磋商</w:t>
      </w:r>
      <w:r>
        <w:rPr>
          <w:rFonts w:hint="eastAsia" w:ascii="Times New Roman" w:hAnsi="Times New Roman" w:eastAsia="宋体" w:cs="宋体"/>
          <w:b/>
          <w:bCs/>
          <w:color w:val="auto"/>
          <w:sz w:val="24"/>
          <w:szCs w:val="24"/>
          <w:highlight w:val="none"/>
        </w:rPr>
        <w:t>费用</w:t>
      </w:r>
    </w:p>
    <w:p w14:paraId="71871DA7">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1、磋商文件每套售价300元，在</w:t>
      </w:r>
      <w:r>
        <w:rPr>
          <w:rFonts w:hint="eastAsia" w:ascii="Times New Roman" w:hAnsi="Times New Roman" w:eastAsia="宋体" w:cs="宋体"/>
          <w:color w:val="auto"/>
          <w:sz w:val="24"/>
          <w:szCs w:val="24"/>
          <w:highlight w:val="none"/>
          <w:lang w:eastAsia="zh-CN"/>
        </w:rPr>
        <w:t>报名</w:t>
      </w:r>
      <w:r>
        <w:rPr>
          <w:rFonts w:hint="eastAsia" w:ascii="Times New Roman" w:hAnsi="Times New Roman" w:eastAsia="宋体" w:cs="宋体"/>
          <w:color w:val="auto"/>
          <w:sz w:val="24"/>
          <w:szCs w:val="24"/>
          <w:highlight w:val="none"/>
        </w:rPr>
        <w:t>的同时提交给</w:t>
      </w:r>
      <w:r>
        <w:rPr>
          <w:rFonts w:hint="eastAsia" w:ascii="Times New Roman" w:hAnsi="Times New Roman" w:eastAsia="宋体" w:cs="宋体"/>
          <w:color w:val="auto"/>
          <w:sz w:val="24"/>
          <w:szCs w:val="24"/>
          <w:highlight w:val="none"/>
          <w:lang w:eastAsia="zh-CN"/>
        </w:rPr>
        <w:t>采购</w:t>
      </w:r>
      <w:r>
        <w:rPr>
          <w:rFonts w:hint="eastAsia" w:ascii="Times New Roman" w:hAnsi="Times New Roman" w:eastAsia="宋体" w:cs="宋体"/>
          <w:color w:val="auto"/>
          <w:sz w:val="24"/>
          <w:szCs w:val="24"/>
          <w:highlight w:val="none"/>
        </w:rPr>
        <w:t>代理机构。</w:t>
      </w:r>
    </w:p>
    <w:p w14:paraId="7E0385F4">
      <w:pPr>
        <w:keepNext w:val="0"/>
        <w:keepLines w:val="0"/>
        <w:pageBreakBefore w:val="0"/>
        <w:widowControl w:val="0"/>
        <w:kinsoku/>
        <w:wordWrap/>
        <w:topLinePunct w:val="0"/>
        <w:autoSpaceDE/>
        <w:autoSpaceDN/>
        <w:bidi w:val="0"/>
        <w:spacing w:line="360" w:lineRule="auto"/>
        <w:ind w:firstLine="460" w:firstLineChars="192"/>
        <w:textAlignment w:val="baseline"/>
        <w:rPr>
          <w:rFonts w:hint="eastAsia" w:ascii="Times New Roman" w:hAnsi="Times New Roman" w:cs="宋体" w:eastAsiaTheme="minorEastAsia"/>
          <w:color w:val="auto"/>
          <w:sz w:val="24"/>
          <w:szCs w:val="24"/>
          <w:highlight w:val="none"/>
          <w:lang w:eastAsia="zh-CN"/>
        </w:rPr>
      </w:pPr>
      <w:r>
        <w:rPr>
          <w:rFonts w:hint="eastAsia" w:ascii="Times New Roman" w:hAnsi="Times New Roman" w:eastAsia="宋体" w:cs="宋体"/>
          <w:color w:val="auto"/>
          <w:sz w:val="24"/>
          <w:szCs w:val="24"/>
          <w:highlight w:val="none"/>
        </w:rPr>
        <w:t>2、本次</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向成交供应商收取代理服务费，按国家发改委颁发的[2011]534号文《国家发改委关于降低部分建设项目收费标准规范收费行为等有关问题的通知》的有关规定执行，具体如下：</w:t>
      </w:r>
      <w:r>
        <w:rPr>
          <w:rFonts w:hint="eastAsia" w:ascii="Times New Roman" w:hAnsi="Times New Roman" w:eastAsia="宋体" w:cs="宋体"/>
          <w:color w:val="auto"/>
          <w:sz w:val="24"/>
          <w:szCs w:val="24"/>
          <w:highlight w:val="none"/>
          <w:lang w:eastAsia="zh-CN"/>
        </w:rPr>
        <w:t>成交</w:t>
      </w:r>
      <w:r>
        <w:rPr>
          <w:rFonts w:hint="eastAsia" w:ascii="Times New Roman" w:hAnsi="Times New Roman" w:eastAsia="宋体" w:cs="宋体"/>
          <w:color w:val="auto"/>
          <w:sz w:val="24"/>
          <w:szCs w:val="24"/>
          <w:highlight w:val="none"/>
        </w:rPr>
        <w:t>服务费按差额定率累进法计算，以成交通知书确定的</w:t>
      </w:r>
      <w:r>
        <w:rPr>
          <w:rFonts w:hint="eastAsia" w:ascii="Times New Roman" w:hAnsi="Times New Roman" w:eastAsia="宋体" w:cs="宋体"/>
          <w:color w:val="auto"/>
          <w:sz w:val="24"/>
          <w:szCs w:val="24"/>
          <w:highlight w:val="none"/>
          <w:lang w:eastAsia="zh-CN"/>
        </w:rPr>
        <w:t>成交</w:t>
      </w:r>
      <w:r>
        <w:rPr>
          <w:rFonts w:hint="eastAsia" w:ascii="Times New Roman" w:hAnsi="Times New Roman" w:eastAsia="宋体" w:cs="宋体"/>
          <w:color w:val="auto"/>
          <w:sz w:val="24"/>
          <w:szCs w:val="24"/>
          <w:highlight w:val="none"/>
        </w:rPr>
        <w:t>金额作为收费的计算依据，按招标收费标准下浮40%计算，不满1500元的，按1500元收取。</w:t>
      </w:r>
      <w:r>
        <w:rPr>
          <w:rFonts w:hint="eastAsia" w:ascii="Times New Roman" w:cs="仿宋"/>
          <w:color w:val="auto"/>
          <w:sz w:val="24"/>
          <w:szCs w:val="24"/>
          <w:highlight w:val="none"/>
        </w:rPr>
        <w:t>评委费按照南通市财政局通财购【2018】18 号文</w:t>
      </w:r>
      <w:r>
        <w:rPr>
          <w:rFonts w:hint="eastAsia" w:ascii="Times New Roman" w:cs="仿宋"/>
          <w:color w:val="auto"/>
          <w:sz w:val="24"/>
          <w:szCs w:val="24"/>
          <w:highlight w:val="none"/>
          <w:lang w:eastAsia="zh-CN"/>
        </w:rPr>
        <w:t>执行。</w:t>
      </w:r>
    </w:p>
    <w:p w14:paraId="74E7B100">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3、磋商程序顺利进行后，除供应商的原件可退回外，其余所有的响应文件都将作为档案保存，不论成交与否，代理机构均不退回。</w:t>
      </w:r>
    </w:p>
    <w:p w14:paraId="58CC8B51">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4、无论磋商过程和结果如何，参加项目磋商的供应商自行承担与本次项目磋商有关的全部费用。</w:t>
      </w:r>
    </w:p>
    <w:p w14:paraId="29D58D17">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color w:val="auto"/>
          <w:sz w:val="24"/>
          <w:szCs w:val="24"/>
          <w:highlight w:val="none"/>
        </w:rPr>
        <w:t>十、</w:t>
      </w:r>
      <w:r>
        <w:rPr>
          <w:rFonts w:hint="eastAsia" w:ascii="Times New Roman" w:hAnsi="Times New Roman" w:eastAsia="宋体" w:cs="宋体"/>
          <w:b/>
          <w:bCs/>
          <w:color w:val="auto"/>
          <w:sz w:val="24"/>
          <w:szCs w:val="24"/>
          <w:highlight w:val="none"/>
        </w:rPr>
        <w:t>磋商响应文件的有效期</w:t>
      </w:r>
    </w:p>
    <w:p w14:paraId="31E380B5">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1、从磋商响应文件接收截止之日算起，45个</w:t>
      </w:r>
      <w:r>
        <w:rPr>
          <w:rFonts w:hint="eastAsia" w:ascii="Times New Roman" w:hAnsi="Times New Roman" w:eastAsia="宋体" w:cs="宋体"/>
          <w:bCs/>
          <w:color w:val="auto"/>
          <w:sz w:val="24"/>
          <w:szCs w:val="24"/>
          <w:highlight w:val="none"/>
          <w:lang w:eastAsia="zh-CN"/>
        </w:rPr>
        <w:t>“</w:t>
      </w:r>
      <w:r>
        <w:rPr>
          <w:rFonts w:hint="eastAsia" w:ascii="Times New Roman" w:hAnsi="Times New Roman" w:eastAsia="宋体" w:cs="宋体"/>
          <w:bCs/>
          <w:color w:val="auto"/>
          <w:sz w:val="24"/>
          <w:szCs w:val="24"/>
          <w:highlight w:val="none"/>
        </w:rPr>
        <w:t>日历天</w:t>
      </w:r>
      <w:r>
        <w:rPr>
          <w:rFonts w:hint="eastAsia" w:ascii="Times New Roman" w:hAnsi="Times New Roman" w:eastAsia="宋体" w:cs="宋体"/>
          <w:bCs/>
          <w:color w:val="auto"/>
          <w:sz w:val="24"/>
          <w:szCs w:val="24"/>
          <w:highlight w:val="none"/>
          <w:lang w:eastAsia="zh-CN"/>
        </w:rPr>
        <w:t>”</w:t>
      </w:r>
      <w:r>
        <w:rPr>
          <w:rFonts w:hint="eastAsia" w:ascii="Times New Roman" w:hAnsi="Times New Roman" w:eastAsia="宋体" w:cs="宋体"/>
          <w:bCs/>
          <w:color w:val="auto"/>
          <w:sz w:val="24"/>
          <w:szCs w:val="24"/>
          <w:highlight w:val="none"/>
        </w:rPr>
        <w:t>内响应文件应保持有效。有效期短于这个规定期限的磋商，将被拒绝。</w:t>
      </w:r>
    </w:p>
    <w:p w14:paraId="060FA8E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14:paraId="070D48B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十一、未尽事宜</w:t>
      </w:r>
    </w:p>
    <w:p w14:paraId="5E2AD763">
      <w:pPr>
        <w:keepNext w:val="0"/>
        <w:keepLines w:val="0"/>
        <w:pageBreakBefore w:val="0"/>
        <w:kinsoku/>
        <w:wordWrap w:val="0"/>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按《中华人民共和国政府采购法》及《政府采购竞争性磋商采购方式管理暂行办法》与其他有关法律法规的规定执行。</w:t>
      </w:r>
    </w:p>
    <w:p w14:paraId="4DF9C9B8">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color w:val="auto"/>
          <w:w w:val="80"/>
          <w:kern w:val="44"/>
          <w:sz w:val="48"/>
          <w:szCs w:val="44"/>
          <w:highlight w:val="none"/>
        </w:rPr>
      </w:pPr>
      <w:r>
        <w:rPr>
          <w:rFonts w:ascii="Times New Roman" w:hAnsi="Times New Roman" w:eastAsia="宋体" w:cs="宋体"/>
          <w:color w:val="auto"/>
          <w:w w:val="80"/>
          <w:sz w:val="48"/>
          <w:szCs w:val="44"/>
          <w:highlight w:val="none"/>
        </w:rPr>
        <w:br w:type="page"/>
      </w:r>
    </w:p>
    <w:p w14:paraId="49FAFCA5">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第三章 项目需求</w:t>
      </w:r>
    </w:p>
    <w:p w14:paraId="6581FDD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一、</w:t>
      </w:r>
      <w:r>
        <w:rPr>
          <w:rFonts w:hint="eastAsia" w:ascii="Times New Roman" w:hAnsi="Times New Roman" w:eastAsia="宋体" w:cs="宋体"/>
          <w:b/>
          <w:bCs/>
          <w:color w:val="auto"/>
          <w:szCs w:val="24"/>
          <w:highlight w:val="none"/>
          <w:shd w:val="clear" w:color="auto" w:fill="FFFFFF"/>
        </w:rPr>
        <w:t>采购标的需实现的功能或者目标,以及为落实政府采购政策需满足的要求</w:t>
      </w:r>
    </w:p>
    <w:p w14:paraId="35BA42F5">
      <w:pPr>
        <w:keepNext w:val="0"/>
        <w:keepLines w:val="0"/>
        <w:pageBreakBefore w:val="0"/>
        <w:kinsoku/>
        <w:wordWrap w:val="0"/>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快推动国家传染病智能监测预警前置软件（以下简称前置软件）部署应用，实现医疗机构传染病相关数据自动化交换，提高数据集成、风险识别、智能分析和及时预警能力，国家疾控局组织编制了《国家传染病智能监测预警前置软件服务器软硬件环境配置要求（试行）》，对三级医院前置服务器软硬件运行配置提出了明确要求：CPU采用国产自研CPU，物理核数≥64核，内存≥256GB，SSD存储空间≥1T，配置双网卡，使用麒麟、欧拉、统信等国产操作系统的服务器版，前置软件统一配备了OpenGauss或同等架构的数据库。</w:t>
      </w:r>
    </w:p>
    <w:p w14:paraId="593A2083">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二、</w:t>
      </w:r>
      <w:r>
        <w:rPr>
          <w:rFonts w:hint="eastAsia" w:ascii="Times New Roman" w:hAnsi="Times New Roman" w:eastAsia="宋体" w:cs="宋体"/>
          <w:b/>
          <w:bCs/>
          <w:color w:val="auto"/>
          <w:szCs w:val="24"/>
          <w:highlight w:val="none"/>
          <w:shd w:val="clear" w:color="auto" w:fill="FFFFFF"/>
        </w:rPr>
        <w:t>采购标的需执行的国家相关标准、行业标准、地方标准或者其他标准、规范</w:t>
      </w:r>
    </w:p>
    <w:p w14:paraId="58EB366E">
      <w:pPr>
        <w:keepNext w:val="0"/>
        <w:keepLines w:val="0"/>
        <w:pageBreakBefore w:val="0"/>
        <w:kinsoku/>
        <w:wordWrap w:val="0"/>
        <w:topLinePunct w:val="0"/>
        <w:autoSpaceDE/>
        <w:autoSpaceDN/>
        <w:bidi w:val="0"/>
        <w:spacing w:line="360" w:lineRule="auto"/>
        <w:ind w:firstLine="480" w:firstLineChars="200"/>
      </w:pPr>
      <w:r>
        <w:rPr>
          <w:rFonts w:hint="eastAsia" w:ascii="宋体" w:hAnsi="宋体" w:cs="宋体"/>
          <w:color w:val="auto"/>
          <w:sz w:val="24"/>
          <w:highlight w:val="none"/>
        </w:rPr>
        <w:t>报价产品的技术标准按国家标准执行，无国家标准的，按行业标准执行，无国家和行业标准的，按企业标准执行；但在招标文件中有特别要求的，按招标文件中规定的要求执行，并且符合相关法律、法规规定的要求。</w:t>
      </w:r>
    </w:p>
    <w:p w14:paraId="4D789948">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三、</w:t>
      </w:r>
      <w:r>
        <w:rPr>
          <w:rFonts w:hint="eastAsia" w:ascii="Times New Roman" w:hAnsi="Times New Roman" w:eastAsia="宋体" w:cs="宋体"/>
          <w:b/>
          <w:bCs/>
          <w:color w:val="auto"/>
          <w:szCs w:val="24"/>
          <w:highlight w:val="none"/>
          <w:shd w:val="clear" w:color="auto" w:fill="FFFFFF"/>
        </w:rPr>
        <w:t>采购标的需满足的质量、安全、技术规格、物理特性等要求</w:t>
      </w:r>
    </w:p>
    <w:p w14:paraId="7F0B2BB1">
      <w:pPr>
        <w:keepNext w:val="0"/>
        <w:keepLines w:val="0"/>
        <w:pageBreakBefore w:val="0"/>
        <w:kinsoku/>
        <w:wordWrap w:val="0"/>
        <w:topLinePunct w:val="0"/>
        <w:autoSpaceDE/>
        <w:autoSpaceDN/>
        <w:bidi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前置服务器（核心产品）</w:t>
      </w:r>
    </w:p>
    <w:tbl>
      <w:tblPr>
        <w:tblStyle w:val="2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7087"/>
      </w:tblGrid>
      <w:tr w14:paraId="59C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986" w:type="dxa"/>
            <w:noWrap/>
            <w:vAlign w:val="center"/>
          </w:tcPr>
          <w:p w14:paraId="4F7CC9F5">
            <w:pPr>
              <w:keepNext w:val="0"/>
              <w:keepLines w:val="0"/>
              <w:pageBreakBefore w:val="0"/>
              <w:kinsoku/>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bCs/>
                <w:kern w:val="0"/>
                <w:sz w:val="24"/>
                <w:szCs w:val="24"/>
              </w:rPr>
              <w:t>指标项</w:t>
            </w:r>
          </w:p>
        </w:tc>
        <w:tc>
          <w:tcPr>
            <w:tcW w:w="7087" w:type="dxa"/>
            <w:noWrap/>
            <w:vAlign w:val="center"/>
          </w:tcPr>
          <w:p w14:paraId="6C94FAC0">
            <w:pPr>
              <w:keepNext w:val="0"/>
              <w:keepLines w:val="0"/>
              <w:pageBreakBefore w:val="0"/>
              <w:kinsoku/>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bCs/>
                <w:kern w:val="0"/>
                <w:sz w:val="24"/>
                <w:szCs w:val="24"/>
              </w:rPr>
              <w:t>技术参数要求</w:t>
            </w:r>
          </w:p>
        </w:tc>
      </w:tr>
      <w:tr w14:paraId="4A9E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62134526">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外型</w:t>
            </w:r>
          </w:p>
        </w:tc>
        <w:tc>
          <w:tcPr>
            <w:tcW w:w="7087" w:type="dxa"/>
            <w:noWrap/>
            <w:vAlign w:val="center"/>
          </w:tcPr>
          <w:p w14:paraId="4F4A99F7">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2U机架式服务器，配置原厂导轨、安全面板</w:t>
            </w:r>
          </w:p>
        </w:tc>
      </w:tr>
      <w:tr w14:paraId="3549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86" w:type="dxa"/>
            <w:noWrap/>
            <w:vAlign w:val="center"/>
          </w:tcPr>
          <w:p w14:paraId="277C7AAC">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★处理器</w:t>
            </w:r>
          </w:p>
        </w:tc>
        <w:tc>
          <w:tcPr>
            <w:tcW w:w="7087" w:type="dxa"/>
            <w:noWrap/>
            <w:vAlign w:val="center"/>
          </w:tcPr>
          <w:p w14:paraId="24E6E5E2">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实配≥2颗Hygon G5 7375(2.0GHz/32核)处理器</w:t>
            </w:r>
          </w:p>
        </w:tc>
      </w:tr>
      <w:tr w14:paraId="7AD9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0C6E5103">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★内存</w:t>
            </w:r>
          </w:p>
        </w:tc>
        <w:tc>
          <w:tcPr>
            <w:tcW w:w="7087" w:type="dxa"/>
            <w:noWrap/>
            <w:vAlign w:val="center"/>
          </w:tcPr>
          <w:p w14:paraId="4B268A44">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实配≥256GB 3200MHz DDR4内存，可扩展≥32个内存插槽</w:t>
            </w:r>
          </w:p>
        </w:tc>
      </w:tr>
      <w:tr w14:paraId="20A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0E22BB85">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★硬盘</w:t>
            </w:r>
          </w:p>
        </w:tc>
        <w:tc>
          <w:tcPr>
            <w:tcW w:w="7087" w:type="dxa"/>
            <w:noWrap/>
            <w:vAlign w:val="center"/>
          </w:tcPr>
          <w:p w14:paraId="5AB057F1">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实配≥2*480G SSD硬盘；</w:t>
            </w:r>
          </w:p>
        </w:tc>
      </w:tr>
      <w:tr w14:paraId="120D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1CE10F4B">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磁盘阵列卡</w:t>
            </w:r>
          </w:p>
        </w:tc>
        <w:tc>
          <w:tcPr>
            <w:tcW w:w="7087" w:type="dxa"/>
            <w:noWrap/>
            <w:vAlign w:val="center"/>
          </w:tcPr>
          <w:p w14:paraId="5FAE2106">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配置独立Raid阵列卡，支持RAID0/1/10/5/6/50/60； </w:t>
            </w:r>
          </w:p>
        </w:tc>
      </w:tr>
      <w:tr w14:paraId="7B65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25226DD4">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▲PCIE插槽</w:t>
            </w:r>
          </w:p>
        </w:tc>
        <w:tc>
          <w:tcPr>
            <w:tcW w:w="7087" w:type="dxa"/>
            <w:noWrap/>
            <w:vAlign w:val="center"/>
          </w:tcPr>
          <w:p w14:paraId="089AFFA6">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支持≥10个PCIe 4.0/3.0 插槽和1个板载OCP3.0插槽，要求提供产品彩页截图；</w:t>
            </w:r>
          </w:p>
        </w:tc>
      </w:tr>
      <w:tr w14:paraId="4245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44078453">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网卡</w:t>
            </w:r>
          </w:p>
        </w:tc>
        <w:tc>
          <w:tcPr>
            <w:tcW w:w="7087" w:type="dxa"/>
            <w:noWrap/>
            <w:vAlign w:val="center"/>
          </w:tcPr>
          <w:p w14:paraId="038BA6BF">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配置≥4个10/100/1000M-BaseT 以太网接口，≥4个万兆光口（含模块）</w:t>
            </w:r>
            <w:r>
              <w:rPr>
                <w:rFonts w:hint="eastAsia" w:ascii="宋体" w:hAnsi="宋体" w:eastAsia="宋体" w:cs="宋体"/>
                <w:sz w:val="24"/>
                <w:szCs w:val="24"/>
              </w:rPr>
              <w:t>；</w:t>
            </w:r>
          </w:p>
        </w:tc>
      </w:tr>
      <w:tr w14:paraId="6E04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7B0ED457">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▲GPU</w:t>
            </w:r>
          </w:p>
        </w:tc>
        <w:tc>
          <w:tcPr>
            <w:tcW w:w="7087" w:type="dxa"/>
            <w:noWrap/>
            <w:vAlign w:val="center"/>
          </w:tcPr>
          <w:p w14:paraId="6B490E68">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支持≥3块双宽或者8块GPU卡，要求提供产品彩页截图；</w:t>
            </w:r>
          </w:p>
        </w:tc>
      </w:tr>
      <w:tr w14:paraId="611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22D33FE2">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★冗余性</w:t>
            </w:r>
          </w:p>
        </w:tc>
        <w:tc>
          <w:tcPr>
            <w:tcW w:w="7087" w:type="dxa"/>
            <w:noWrap/>
            <w:vAlign w:val="center"/>
          </w:tcPr>
          <w:p w14:paraId="3B9F650D">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实配≥2个800W电源，实配≥6个热插拔N+1冗余风扇模组</w:t>
            </w:r>
          </w:p>
        </w:tc>
      </w:tr>
      <w:tr w14:paraId="4105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06AC69D6">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设备稳定性</w:t>
            </w:r>
          </w:p>
        </w:tc>
        <w:tc>
          <w:tcPr>
            <w:tcW w:w="7087" w:type="dxa"/>
            <w:noWrap/>
            <w:vAlign w:val="center"/>
          </w:tcPr>
          <w:p w14:paraId="3355718C">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设备静电放电抗扰度、电磁场辐射抗扰度、连续波传导抗扰度、工频磁场抗扰度、浪涌抗扰度、脉冲群抗扰度等全部需经过中国计量认证CMA或中国合格评定国家认可委员会CNAS认可的检测机构检测，要求测试达到A级，</w:t>
            </w:r>
            <w:r>
              <w:rPr>
                <w:rFonts w:hint="eastAsia" w:ascii="宋体" w:hAnsi="宋体" w:eastAsia="宋体" w:cs="宋体"/>
                <w:bCs/>
                <w:sz w:val="24"/>
                <w:szCs w:val="24"/>
                <w:lang w:eastAsia="zh-CN"/>
              </w:rPr>
              <w:t>响应</w:t>
            </w:r>
            <w:r>
              <w:rPr>
                <w:rFonts w:hint="eastAsia" w:ascii="宋体" w:hAnsi="宋体" w:eastAsia="宋体" w:cs="宋体"/>
                <w:bCs/>
                <w:sz w:val="24"/>
                <w:szCs w:val="24"/>
              </w:rPr>
              <w:t>时提供中国计量认证CMA或中国合格评定国家认可委员会CNAS认可的检测机构出具的测试报告复印件</w:t>
            </w:r>
          </w:p>
        </w:tc>
      </w:tr>
      <w:tr w14:paraId="5F7C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4B801E78">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兼容性</w:t>
            </w:r>
          </w:p>
        </w:tc>
        <w:tc>
          <w:tcPr>
            <w:tcW w:w="7087" w:type="dxa"/>
            <w:noWrap/>
            <w:vAlign w:val="center"/>
          </w:tcPr>
          <w:p w14:paraId="0CB4F018">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支持Windows，SLES，RHEL 操作系统，支持Vmware，Citrix虚拟化软件。</w:t>
            </w:r>
          </w:p>
        </w:tc>
      </w:tr>
      <w:tr w14:paraId="08B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447BD2EB">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环境温度</w:t>
            </w:r>
          </w:p>
        </w:tc>
        <w:tc>
          <w:tcPr>
            <w:tcW w:w="7087" w:type="dxa"/>
            <w:noWrap/>
            <w:vAlign w:val="center"/>
          </w:tcPr>
          <w:p w14:paraId="45A5DC13">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长期工作环境温度支持5-45度。</w:t>
            </w:r>
          </w:p>
        </w:tc>
      </w:tr>
      <w:tr w14:paraId="3BD1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6" w:type="dxa"/>
            <w:noWrap/>
            <w:vAlign w:val="center"/>
          </w:tcPr>
          <w:p w14:paraId="7C6C1092">
            <w:pPr>
              <w:keepNext w:val="0"/>
              <w:keepLines w:val="0"/>
              <w:pageBreakBefore w:val="0"/>
              <w:kinsoku/>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可管理性</w:t>
            </w:r>
          </w:p>
        </w:tc>
        <w:tc>
          <w:tcPr>
            <w:tcW w:w="7087" w:type="dxa"/>
            <w:noWrap/>
            <w:vAlign w:val="center"/>
          </w:tcPr>
          <w:p w14:paraId="46990E27">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配置≥1Gb独立的远程管理控制端口，配置虚拟KVM功能, 可实现远程的开机、关机、重启、更新Firmware、虚拟光驱、虚拟文件夹等操作，提供服务器健康日记、服务器控制台录屏/回放功能，能够提供电源监控；</w:t>
            </w:r>
          </w:p>
        </w:tc>
      </w:tr>
    </w:tbl>
    <w:p w14:paraId="1D08AF84">
      <w:pPr>
        <w:keepNext w:val="0"/>
        <w:keepLines w:val="0"/>
        <w:pageBreakBefore w:val="0"/>
        <w:kinsoku/>
        <w:wordWrap w:val="0"/>
        <w:topLinePunct w:val="0"/>
        <w:autoSpaceDE/>
        <w:autoSpaceDN/>
        <w:bidi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2、国产服务器虚拟化软件</w:t>
      </w:r>
    </w:p>
    <w:tbl>
      <w:tblPr>
        <w:tblStyle w:val="25"/>
        <w:tblW w:w="9067" w:type="dxa"/>
        <w:jc w:val="center"/>
        <w:tblLayout w:type="autofit"/>
        <w:tblCellMar>
          <w:top w:w="0" w:type="dxa"/>
          <w:left w:w="108" w:type="dxa"/>
          <w:bottom w:w="0" w:type="dxa"/>
          <w:right w:w="108" w:type="dxa"/>
        </w:tblCellMar>
      </w:tblPr>
      <w:tblGrid>
        <w:gridCol w:w="1555"/>
        <w:gridCol w:w="7512"/>
      </w:tblGrid>
      <w:tr w14:paraId="611FD714">
        <w:tblPrEx>
          <w:tblCellMar>
            <w:top w:w="0" w:type="dxa"/>
            <w:left w:w="108" w:type="dxa"/>
            <w:bottom w:w="0" w:type="dxa"/>
            <w:right w:w="108" w:type="dxa"/>
          </w:tblCellMar>
        </w:tblPrEx>
        <w:trPr>
          <w:trHeight w:val="26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5A4C6F5E">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指标项</w:t>
            </w:r>
          </w:p>
        </w:tc>
        <w:tc>
          <w:tcPr>
            <w:tcW w:w="7512" w:type="dxa"/>
            <w:tcBorders>
              <w:top w:val="single" w:color="000000" w:sz="4" w:space="0"/>
              <w:left w:val="single" w:color="000000" w:sz="4" w:space="0"/>
              <w:bottom w:val="single" w:color="000000" w:sz="4" w:space="0"/>
              <w:right w:val="single" w:color="000000" w:sz="4" w:space="0"/>
            </w:tcBorders>
            <w:vAlign w:val="center"/>
          </w:tcPr>
          <w:p w14:paraId="12909350">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技术参数要求</w:t>
            </w:r>
          </w:p>
        </w:tc>
      </w:tr>
      <w:tr w14:paraId="409B03E2">
        <w:tblPrEx>
          <w:tblCellMar>
            <w:top w:w="0" w:type="dxa"/>
            <w:left w:w="108" w:type="dxa"/>
            <w:bottom w:w="0" w:type="dxa"/>
            <w:right w:w="108" w:type="dxa"/>
          </w:tblCellMar>
        </w:tblPrEx>
        <w:trPr>
          <w:trHeight w:val="52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58C3C4A7">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品牌</w:t>
            </w:r>
          </w:p>
        </w:tc>
        <w:tc>
          <w:tcPr>
            <w:tcW w:w="7512" w:type="dxa"/>
            <w:tcBorders>
              <w:top w:val="single" w:color="000000" w:sz="4" w:space="0"/>
              <w:left w:val="single" w:color="000000" w:sz="4" w:space="0"/>
              <w:bottom w:val="single" w:color="000000" w:sz="4" w:space="0"/>
              <w:right w:val="single" w:color="000000" w:sz="4" w:space="0"/>
            </w:tcBorders>
            <w:vAlign w:val="bottom"/>
          </w:tcPr>
          <w:p w14:paraId="35298697">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Style w:val="76"/>
                <w:rFonts w:hint="eastAsia" w:ascii="宋体" w:hAnsi="宋体" w:eastAsia="宋体" w:cs="宋体"/>
                <w:sz w:val="24"/>
                <w:szCs w:val="24"/>
                <w:lang w:bidi="ar"/>
              </w:rPr>
              <w:t>所投产品为国产自主研发品牌，须为原厂非</w:t>
            </w:r>
            <w:r>
              <w:rPr>
                <w:rStyle w:val="77"/>
                <w:rFonts w:hint="eastAsia" w:ascii="宋体" w:hAnsi="宋体" w:eastAsia="宋体" w:cs="宋体"/>
                <w:sz w:val="24"/>
                <w:szCs w:val="24"/>
                <w:lang w:bidi="ar"/>
              </w:rPr>
              <w:t>OEM</w:t>
            </w:r>
            <w:r>
              <w:rPr>
                <w:rStyle w:val="76"/>
                <w:rFonts w:hint="eastAsia" w:ascii="宋体" w:hAnsi="宋体" w:eastAsia="宋体" w:cs="宋体"/>
                <w:sz w:val="24"/>
                <w:szCs w:val="24"/>
                <w:lang w:bidi="ar"/>
              </w:rPr>
              <w:t>的产品具有软件著作权证书。</w:t>
            </w:r>
          </w:p>
        </w:tc>
      </w:tr>
      <w:tr w14:paraId="331684D2">
        <w:tblPrEx>
          <w:tblCellMar>
            <w:top w:w="0" w:type="dxa"/>
            <w:left w:w="108" w:type="dxa"/>
            <w:bottom w:w="0" w:type="dxa"/>
            <w:right w:w="108" w:type="dxa"/>
          </w:tblCellMar>
        </w:tblPrEx>
        <w:trPr>
          <w:trHeight w:val="78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EA29063">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授权数量</w:t>
            </w:r>
          </w:p>
        </w:tc>
        <w:tc>
          <w:tcPr>
            <w:tcW w:w="7512" w:type="dxa"/>
            <w:tcBorders>
              <w:top w:val="single" w:color="000000" w:sz="4" w:space="0"/>
              <w:left w:val="single" w:color="000000" w:sz="4" w:space="0"/>
              <w:bottom w:val="single" w:color="000000" w:sz="4" w:space="0"/>
              <w:right w:val="single" w:color="000000" w:sz="4" w:space="0"/>
            </w:tcBorders>
            <w:vAlign w:val="center"/>
          </w:tcPr>
          <w:p w14:paraId="18590801">
            <w:pPr>
              <w:keepNext w:val="0"/>
              <w:keepLines w:val="0"/>
              <w:pageBreakBefore w:val="0"/>
              <w:widowControl/>
              <w:kinsoku/>
              <w:topLinePunct w:val="0"/>
              <w:autoSpaceDE/>
              <w:autoSpaceDN/>
              <w:bidi w:val="0"/>
              <w:adjustRightInd w:val="0"/>
              <w:snapToGrid w:val="0"/>
              <w:spacing w:line="360" w:lineRule="auto"/>
              <w:textAlignment w:val="bottom"/>
              <w:rPr>
                <w:rFonts w:hint="eastAsia" w:ascii="宋体" w:hAnsi="宋体" w:eastAsia="宋体" w:cs="宋体"/>
                <w:color w:val="000000"/>
                <w:sz w:val="24"/>
                <w:szCs w:val="24"/>
              </w:rPr>
            </w:pPr>
            <w:r>
              <w:rPr>
                <w:rStyle w:val="76"/>
                <w:rFonts w:hint="eastAsia" w:ascii="宋体" w:hAnsi="宋体" w:eastAsia="宋体" w:cs="宋体"/>
                <w:sz w:val="24"/>
                <w:szCs w:val="24"/>
                <w:lang w:bidi="ar"/>
              </w:rPr>
              <w:t>配置不少于</w:t>
            </w:r>
            <w:r>
              <w:rPr>
                <w:rStyle w:val="76"/>
                <w:rFonts w:hint="eastAsia" w:ascii="宋体" w:hAnsi="宋体" w:eastAsia="宋体" w:cs="宋体"/>
                <w:sz w:val="24"/>
                <w:szCs w:val="24"/>
              </w:rPr>
              <w:t>2</w:t>
            </w:r>
            <w:r>
              <w:rPr>
                <w:rStyle w:val="76"/>
                <w:rFonts w:hint="eastAsia" w:ascii="宋体" w:hAnsi="宋体" w:eastAsia="宋体" w:cs="宋体"/>
                <w:sz w:val="24"/>
                <w:szCs w:val="24"/>
                <w:lang w:bidi="ar"/>
              </w:rPr>
              <w:t>颗物理</w:t>
            </w:r>
            <w:r>
              <w:rPr>
                <w:rStyle w:val="76"/>
                <w:rFonts w:hint="eastAsia" w:ascii="宋体" w:hAnsi="宋体" w:eastAsia="宋体" w:cs="宋体"/>
                <w:sz w:val="24"/>
                <w:szCs w:val="24"/>
              </w:rPr>
              <w:t>CPU</w:t>
            </w:r>
            <w:r>
              <w:rPr>
                <w:rStyle w:val="76"/>
                <w:rFonts w:hint="eastAsia" w:ascii="宋体" w:hAnsi="宋体" w:eastAsia="宋体" w:cs="宋体"/>
                <w:sz w:val="24"/>
                <w:szCs w:val="24"/>
                <w:lang w:bidi="ar"/>
              </w:rPr>
              <w:t>授权，授权包含计算虚拟化，网络虚拟化等功能模块，提供三年质保服务。</w:t>
            </w:r>
          </w:p>
        </w:tc>
      </w:tr>
      <w:tr w14:paraId="495F2AB2">
        <w:tblPrEx>
          <w:tblCellMar>
            <w:top w:w="0" w:type="dxa"/>
            <w:left w:w="108" w:type="dxa"/>
            <w:bottom w:w="0" w:type="dxa"/>
            <w:right w:w="108" w:type="dxa"/>
          </w:tblCellMar>
        </w:tblPrEx>
        <w:trPr>
          <w:trHeight w:val="156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1606938">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产品架构</w:t>
            </w:r>
          </w:p>
        </w:tc>
        <w:tc>
          <w:tcPr>
            <w:tcW w:w="7512" w:type="dxa"/>
            <w:tcBorders>
              <w:top w:val="single" w:color="000000" w:sz="4" w:space="0"/>
              <w:left w:val="single" w:color="000000" w:sz="4" w:space="0"/>
              <w:bottom w:val="single" w:color="000000" w:sz="4" w:space="0"/>
              <w:right w:val="single" w:color="000000" w:sz="4" w:space="0"/>
            </w:tcBorders>
            <w:vAlign w:val="bottom"/>
          </w:tcPr>
          <w:p w14:paraId="7A1E6BFE">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Style w:val="76"/>
                <w:rFonts w:hint="eastAsia" w:ascii="宋体" w:hAnsi="宋体" w:eastAsia="宋体" w:cs="宋体"/>
                <w:sz w:val="24"/>
                <w:szCs w:val="24"/>
                <w:lang w:bidi="ar"/>
              </w:rPr>
              <w:t>所投虚拟化产品架构应基于KVM虚拟化路线，提供“虚拟化引擎+虚拟化资源管理平台（非云运营管理/云服务目录）”的架构。产品应保证非采用OpenStack架构或基于OpenStack架构二次开发的云平台，无须借助单独的控制节点、网络节点、VRouter云路由、集群/节点控制器等组件实现计算集群和网络的管理。</w:t>
            </w:r>
          </w:p>
        </w:tc>
      </w:tr>
      <w:tr w14:paraId="1B1A647C">
        <w:tblPrEx>
          <w:tblCellMar>
            <w:top w:w="0" w:type="dxa"/>
            <w:left w:w="108" w:type="dxa"/>
            <w:bottom w:w="0" w:type="dxa"/>
            <w:right w:w="108" w:type="dxa"/>
          </w:tblCellMar>
        </w:tblPrEx>
        <w:trPr>
          <w:trHeight w:val="520" w:hRule="atLeast"/>
          <w:jc w:val="center"/>
        </w:trPr>
        <w:tc>
          <w:tcPr>
            <w:tcW w:w="1555" w:type="dxa"/>
            <w:vMerge w:val="restart"/>
            <w:tcBorders>
              <w:top w:val="single" w:color="000000" w:sz="4" w:space="0"/>
              <w:left w:val="single" w:color="000000" w:sz="4" w:space="0"/>
              <w:bottom w:val="single" w:color="000000" w:sz="4" w:space="0"/>
              <w:right w:val="single" w:color="000000" w:sz="4" w:space="0"/>
            </w:tcBorders>
            <w:noWrap/>
            <w:vAlign w:val="center"/>
          </w:tcPr>
          <w:p w14:paraId="7CBD3762">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虚拟机管理</w:t>
            </w:r>
          </w:p>
        </w:tc>
        <w:tc>
          <w:tcPr>
            <w:tcW w:w="7512" w:type="dxa"/>
            <w:tcBorders>
              <w:top w:val="single" w:color="000000" w:sz="4" w:space="0"/>
              <w:left w:val="single" w:color="000000" w:sz="4" w:space="0"/>
              <w:bottom w:val="single" w:color="000000" w:sz="4" w:space="0"/>
              <w:right w:val="single" w:color="000000" w:sz="4" w:space="0"/>
            </w:tcBorders>
            <w:vAlign w:val="bottom"/>
          </w:tcPr>
          <w:p w14:paraId="22BE35A0">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支持裸金属架构，虚拟化能力广泛兼容国产芯片，包括龙芯、兆芯、飞腾、鲲鹏、海光、申威。</w:t>
            </w:r>
            <w:r>
              <w:rPr>
                <w:rFonts w:hint="eastAsia" w:ascii="宋体" w:hAnsi="宋体" w:eastAsia="宋体" w:cs="宋体"/>
                <w:bCs/>
                <w:kern w:val="0"/>
                <w:sz w:val="24"/>
                <w:szCs w:val="24"/>
                <w:lang w:bidi="ar"/>
              </w:rPr>
              <w:t>（提供所投产品与以上六大国产芯片兼容性互认证证书）。</w:t>
            </w:r>
          </w:p>
        </w:tc>
      </w:tr>
      <w:tr w14:paraId="751E1671">
        <w:tblPrEx>
          <w:tblCellMar>
            <w:top w:w="0" w:type="dxa"/>
            <w:left w:w="108" w:type="dxa"/>
            <w:bottom w:w="0" w:type="dxa"/>
            <w:right w:w="108" w:type="dxa"/>
          </w:tblCellMar>
        </w:tblPrEx>
        <w:trPr>
          <w:trHeight w:val="699"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059D9C32">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76DA5635">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虚拟机生命周期管理操作包括创建、启动、关闭、关闭电源、修改配置、重启、强制重启、休眠、暂停、恢复、挂载安装tools、VNC/SPICE控制台配置、克隆、标签关联、删除等。</w:t>
            </w:r>
          </w:p>
          <w:p w14:paraId="28A8E2DB">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为虚拟机分配CPU、内存、磁盘、光驱、网卡、显卡、鼠标、键盘、写字板、GPU、USB设备、PCI设备、SR-IOV网卡等虚拟硬件；提供回收站管理，回收对象包括虚拟机、虚拟磁盘、虚拟机模板等，资源实例被删除后放置到回收站且允许再次恢复使用或彻底销毁。</w:t>
            </w:r>
          </w:p>
        </w:tc>
      </w:tr>
      <w:tr w14:paraId="19E7A406">
        <w:tblPrEx>
          <w:tblCellMar>
            <w:top w:w="0" w:type="dxa"/>
            <w:left w:w="108" w:type="dxa"/>
            <w:bottom w:w="0" w:type="dxa"/>
            <w:right w:w="108" w:type="dxa"/>
          </w:tblCellMar>
        </w:tblPrEx>
        <w:trPr>
          <w:trHeight w:val="156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7B4BC21">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07799F3D">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高效的计算调度与保护机制，在X86、ARM、LoongArch等架构下能够实现内存资源的超量分配使用，单台宿主机之上的虚拟机内存之和均可大于实际物理内存容量；支持批量对虚拟机在线、离线调整vCPU、内存，包括X86、ARM架构；提供2M/32M/512M/1G等多种内存大页规格和数量配置，提升虚拟机内存访问性能；支持为HostOS、libvirt、OVS等虚拟化管理程序预留内存资源，保障虚拟化平台的稳定性。</w:t>
            </w:r>
          </w:p>
        </w:tc>
      </w:tr>
      <w:tr w14:paraId="193F5AFD">
        <w:tblPrEx>
          <w:tblCellMar>
            <w:top w:w="0" w:type="dxa"/>
            <w:left w:w="108" w:type="dxa"/>
            <w:bottom w:w="0" w:type="dxa"/>
            <w:right w:w="108" w:type="dxa"/>
          </w:tblCellMar>
        </w:tblPrEx>
        <w:trPr>
          <w:trHeight w:val="52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34D9D56A">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16171412">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提供虚拟机业务组、弹性伸缩、热添加调整策略、虚拟机在线迁移、离线迁移、快照等功能。</w:t>
            </w:r>
          </w:p>
        </w:tc>
      </w:tr>
      <w:tr w14:paraId="1F558794">
        <w:tblPrEx>
          <w:tblCellMar>
            <w:top w:w="0" w:type="dxa"/>
            <w:left w:w="108" w:type="dxa"/>
            <w:bottom w:w="0" w:type="dxa"/>
            <w:right w:w="108" w:type="dxa"/>
          </w:tblCellMar>
        </w:tblPrEx>
        <w:trPr>
          <w:trHeight w:val="693"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17EF74C0">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613410D6">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虚拟机在线迁移、离线迁移。提供仅迁移计算、仅迁移存储、整机迁移等多种迁移方式，同时支持虚拟机跨存储池类型迁移、跨集群迁移、虚拟机批量迁移。在迁移过程中支持采用密码技术保障迁移过程的保密性。提供查询虚拟机所有的历史迁移日志，包括源主机、目标主机、迁移耗时、时间、是否在线迁移、日志类型、触发类型等信息。</w:t>
            </w:r>
          </w:p>
        </w:tc>
      </w:tr>
      <w:tr w14:paraId="1EA74201">
        <w:tblPrEx>
          <w:tblCellMar>
            <w:top w:w="0" w:type="dxa"/>
            <w:left w:w="108" w:type="dxa"/>
            <w:bottom w:w="0" w:type="dxa"/>
            <w:right w:w="108" w:type="dxa"/>
          </w:tblCellMar>
        </w:tblPrEx>
        <w:trPr>
          <w:trHeight w:val="104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186DB8F1">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1CAEE669">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提供虚拟机配置热添加调整策略，策略包括CPU利用率、内存利用率或组合等衡量因素，允许管理员自定义每次新增、最大新增的配置值。当检测到虚拟机的性能不足时，平台自动依据策略扩展虚拟机配置。</w:t>
            </w:r>
          </w:p>
        </w:tc>
      </w:tr>
      <w:tr w14:paraId="5AE22C09">
        <w:tblPrEx>
          <w:tblCellMar>
            <w:top w:w="0" w:type="dxa"/>
            <w:left w:w="108" w:type="dxa"/>
            <w:bottom w:w="0" w:type="dxa"/>
            <w:right w:w="108" w:type="dxa"/>
          </w:tblCellMar>
        </w:tblPrEx>
        <w:trPr>
          <w:trHeight w:val="130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6F6E738">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43187EBE">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DRS动态资源调整功能，管理员根据业务的负载策略和规划，灵活设置CPU、内存、存储资源利用率的监控阈值、持续时间和间隔，实现主机资源利用率自动均衡；支持DPM电源智能管理，通过持续监测CPU、内存利用率，在触发低阈值时自动关闭回收利用率低的宿主机，触发高阈值时通过网络/IPMI自动唤醒处于睡眠状态的宿主机。</w:t>
            </w:r>
          </w:p>
        </w:tc>
      </w:tr>
      <w:tr w14:paraId="632B5F38">
        <w:tblPrEx>
          <w:tblCellMar>
            <w:top w:w="0" w:type="dxa"/>
            <w:left w:w="108" w:type="dxa"/>
            <w:bottom w:w="0" w:type="dxa"/>
            <w:right w:w="108" w:type="dxa"/>
          </w:tblCellMar>
        </w:tblPrEx>
        <w:trPr>
          <w:trHeight w:val="52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70171069">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7B46EF96">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当虚拟机业务的使用者忘记虚拟机操作系统的密码时，管理员能够通过管理界面修改重置linux、windows虚拟机操作系统的密码且无需重启即可生效。</w:t>
            </w:r>
          </w:p>
        </w:tc>
      </w:tr>
      <w:tr w14:paraId="14BBF404">
        <w:tblPrEx>
          <w:tblCellMar>
            <w:top w:w="0" w:type="dxa"/>
            <w:left w:w="108" w:type="dxa"/>
            <w:bottom w:w="0" w:type="dxa"/>
            <w:right w:w="108" w:type="dxa"/>
          </w:tblCellMar>
        </w:tblPrEx>
        <w:trPr>
          <w:trHeight w:val="1040" w:hRule="atLeast"/>
          <w:jc w:val="center"/>
        </w:trPr>
        <w:tc>
          <w:tcPr>
            <w:tcW w:w="1555" w:type="dxa"/>
            <w:vMerge w:val="continue"/>
            <w:tcBorders>
              <w:top w:val="single" w:color="000000" w:sz="4" w:space="0"/>
              <w:left w:val="single" w:color="000000" w:sz="4" w:space="0"/>
              <w:bottom w:val="single" w:color="000000" w:sz="4" w:space="0"/>
              <w:right w:val="single" w:color="000000" w:sz="4" w:space="0"/>
            </w:tcBorders>
            <w:noWrap/>
            <w:vAlign w:val="center"/>
          </w:tcPr>
          <w:p w14:paraId="4510055D">
            <w:pPr>
              <w:keepNext w:val="0"/>
              <w:keepLines w:val="0"/>
              <w:pageBreakBefore w:val="0"/>
              <w:kinsoku/>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7512" w:type="dxa"/>
            <w:tcBorders>
              <w:top w:val="single" w:color="000000" w:sz="4" w:space="0"/>
              <w:left w:val="single" w:color="000000" w:sz="4" w:space="0"/>
              <w:bottom w:val="single" w:color="000000" w:sz="4" w:space="0"/>
              <w:right w:val="single" w:color="000000" w:sz="4" w:space="0"/>
            </w:tcBorders>
            <w:vAlign w:val="bottom"/>
          </w:tcPr>
          <w:p w14:paraId="4029E119">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虚拟化平台性能优化机制，支持NUMA/vNUMA配置、vCPU与物理CPU核心绑定。虚拟机支持分配Strict、Preferred、Interleave等内存策略，通过配置vNUMA向虚拟机操作系统透传呈现虚拟NUMA架构拓扑（提供产品对应功能界面截图）。</w:t>
            </w:r>
          </w:p>
        </w:tc>
      </w:tr>
      <w:tr w14:paraId="0E37DB8D">
        <w:tblPrEx>
          <w:tblCellMar>
            <w:top w:w="0" w:type="dxa"/>
            <w:left w:w="108" w:type="dxa"/>
            <w:bottom w:w="0" w:type="dxa"/>
            <w:right w:w="108" w:type="dxa"/>
          </w:tblCellMar>
        </w:tblPrEx>
        <w:trPr>
          <w:trHeight w:val="520"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14:paraId="391894F7">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主流存储适配</w:t>
            </w:r>
          </w:p>
        </w:tc>
        <w:tc>
          <w:tcPr>
            <w:tcW w:w="7512" w:type="dxa"/>
            <w:tcBorders>
              <w:top w:val="single" w:color="000000" w:sz="4" w:space="0"/>
              <w:left w:val="single" w:color="000000" w:sz="4" w:space="0"/>
              <w:bottom w:val="single" w:color="000000" w:sz="4" w:space="0"/>
              <w:right w:val="single" w:color="000000" w:sz="4" w:space="0"/>
            </w:tcBorders>
            <w:vAlign w:val="bottom"/>
          </w:tcPr>
          <w:p w14:paraId="69450D88">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兼容主流的存储设备、协议和类型，支持包括本地目录、FC SAN、iSCSI SAN、NFS、NVMe、Ceph分布式存储、共享文件系统等存储类型。</w:t>
            </w:r>
          </w:p>
        </w:tc>
      </w:tr>
      <w:tr w14:paraId="3C304905">
        <w:tblPrEx>
          <w:tblCellMar>
            <w:top w:w="0" w:type="dxa"/>
            <w:left w:w="108" w:type="dxa"/>
            <w:bottom w:w="0" w:type="dxa"/>
            <w:right w:w="108" w:type="dxa"/>
          </w:tblCellMar>
        </w:tblPrEx>
        <w:trPr>
          <w:trHeight w:val="780"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14:paraId="5A39CA30">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多路径配置</w:t>
            </w:r>
          </w:p>
        </w:tc>
        <w:tc>
          <w:tcPr>
            <w:tcW w:w="7512" w:type="dxa"/>
            <w:tcBorders>
              <w:top w:val="single" w:color="000000" w:sz="4" w:space="0"/>
              <w:left w:val="single" w:color="000000" w:sz="4" w:space="0"/>
              <w:bottom w:val="single" w:color="000000" w:sz="4" w:space="0"/>
              <w:right w:val="single" w:color="000000" w:sz="4" w:space="0"/>
            </w:tcBorders>
            <w:vAlign w:val="bottom"/>
          </w:tcPr>
          <w:p w14:paraId="72987DE0">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支持管理界面内置多款主流存储设备多路径配置模板（如华为、宏杉、同有等）提供选择，能够开启多路径服务及完成参数配置，减少存储连接和管理压力。</w:t>
            </w:r>
          </w:p>
        </w:tc>
      </w:tr>
      <w:tr w14:paraId="2CAC86B1">
        <w:tblPrEx>
          <w:tblCellMar>
            <w:top w:w="0" w:type="dxa"/>
            <w:left w:w="108" w:type="dxa"/>
            <w:bottom w:w="0" w:type="dxa"/>
            <w:right w:w="108" w:type="dxa"/>
          </w:tblCellMar>
        </w:tblPrEx>
        <w:trPr>
          <w:trHeight w:val="699" w:hRule="atLeast"/>
          <w:jc w:val="center"/>
        </w:trPr>
        <w:tc>
          <w:tcPr>
            <w:tcW w:w="1555" w:type="dxa"/>
            <w:tcBorders>
              <w:top w:val="single" w:color="000000" w:sz="4" w:space="0"/>
              <w:left w:val="single" w:color="000000" w:sz="4" w:space="0"/>
              <w:bottom w:val="single" w:color="000000" w:sz="4" w:space="0"/>
              <w:right w:val="single" w:color="000000" w:sz="4" w:space="0"/>
            </w:tcBorders>
            <w:vAlign w:val="center"/>
          </w:tcPr>
          <w:p w14:paraId="00FAE73A">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虚拟交换机及端口组管理</w:t>
            </w:r>
          </w:p>
        </w:tc>
        <w:tc>
          <w:tcPr>
            <w:tcW w:w="7512" w:type="dxa"/>
            <w:tcBorders>
              <w:top w:val="single" w:color="000000" w:sz="4" w:space="0"/>
              <w:left w:val="single" w:color="000000" w:sz="4" w:space="0"/>
              <w:bottom w:val="single" w:color="000000" w:sz="4" w:space="0"/>
              <w:right w:val="single" w:color="000000" w:sz="4" w:space="0"/>
            </w:tcBorders>
            <w:vAlign w:val="bottom"/>
          </w:tcPr>
          <w:p w14:paraId="30E882E1">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提供标准虚拟交换机、分布式虚拟交换机；支持创建、修改、启动、暂停、删除等操作，管理员可标记为业务网络或存储网络类型；单个虚拟交换机能够支持承载多个基于VLAN ID隔离的端口组（非扁平网络等概念）；支持虚拟端口镜像功能；内置NETflow流量采样发送能力，管理员能通过NetFlow分析软件处理目标IP和端口的流量信息。</w:t>
            </w:r>
          </w:p>
        </w:tc>
      </w:tr>
      <w:tr w14:paraId="220BA1DD">
        <w:tblPrEx>
          <w:tblCellMar>
            <w:top w:w="0" w:type="dxa"/>
            <w:left w:w="108" w:type="dxa"/>
            <w:bottom w:w="0" w:type="dxa"/>
            <w:right w:w="108" w:type="dxa"/>
          </w:tblCellMar>
        </w:tblPrEx>
        <w:trPr>
          <w:trHeight w:val="699"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223EC0D5">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VPC网络</w:t>
            </w:r>
          </w:p>
        </w:tc>
        <w:tc>
          <w:tcPr>
            <w:tcW w:w="7512" w:type="dxa"/>
            <w:tcBorders>
              <w:top w:val="single" w:color="000000" w:sz="4" w:space="0"/>
              <w:left w:val="single" w:color="000000" w:sz="4" w:space="0"/>
              <w:bottom w:val="single" w:color="000000" w:sz="4" w:space="0"/>
              <w:right w:val="single" w:color="000000" w:sz="4" w:space="0"/>
            </w:tcBorders>
            <w:vAlign w:val="bottom"/>
          </w:tcPr>
          <w:p w14:paraId="34AFC4BF">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依赖SDN硬件交换机、不依赖VRouter路由器软件，应当基于openvswitch虚拟交换机和分布式技术实现VPC私有网络模型，提供独享的、互相隔离的虚拟网络，实现不限制数量的包括虚拟私有网络、虚拟路由器、虚拟负载均衡、安全组、浮动IP、NAT网关、VPC网络拓扑等元素。提供全局负载均衡器能力，支持单节点或双节点高可用部署，提供4-7层流量分发能力，支持HTTP/HTTPS/TCP等协议、会话保持、域名转发、证书绑定，以及最小连接/轮询/源IP等多种负载均衡策略，提供时间间隔、重试次数、超时限制等健康监控检查方式（提供产品对应功能界面截图）。</w:t>
            </w:r>
          </w:p>
        </w:tc>
      </w:tr>
      <w:tr w14:paraId="41E175F6">
        <w:tblPrEx>
          <w:tblCellMar>
            <w:top w:w="0" w:type="dxa"/>
            <w:left w:w="108" w:type="dxa"/>
            <w:bottom w:w="0" w:type="dxa"/>
            <w:right w:w="108" w:type="dxa"/>
          </w:tblCellMar>
        </w:tblPrEx>
        <w:trPr>
          <w:trHeight w:val="130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FBF9929">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端口组</w:t>
            </w:r>
          </w:p>
        </w:tc>
        <w:tc>
          <w:tcPr>
            <w:tcW w:w="7512" w:type="dxa"/>
            <w:tcBorders>
              <w:top w:val="single" w:color="000000" w:sz="4" w:space="0"/>
              <w:left w:val="single" w:color="000000" w:sz="4" w:space="0"/>
              <w:bottom w:val="single" w:color="000000" w:sz="4" w:space="0"/>
              <w:right w:val="single" w:color="000000" w:sz="4" w:space="0"/>
            </w:tcBorders>
            <w:vAlign w:val="bottom"/>
          </w:tcPr>
          <w:p w14:paraId="39BAC43A">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端口组支持普通（默认仅允许单VLAN ID）、中继模式（支持多VLAN ID），同时支持Qos及安全能力，包括设置VLAN ID、以及出入方向平均带宽、出入方向突发缓冲、网络优先级、IP广播包限速、ARP广播包限速、DHCP拦截等参数。使用VPC网络时，支持基于浮动IP的带宽Qos策略。</w:t>
            </w:r>
          </w:p>
        </w:tc>
      </w:tr>
      <w:tr w14:paraId="1AB48380">
        <w:tblPrEx>
          <w:tblCellMar>
            <w:top w:w="0" w:type="dxa"/>
            <w:left w:w="108" w:type="dxa"/>
            <w:bottom w:w="0" w:type="dxa"/>
            <w:right w:w="108" w:type="dxa"/>
          </w:tblCellMar>
        </w:tblPrEx>
        <w:trPr>
          <w:trHeight w:val="104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DD6B5BE">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IPv4/IPv6</w:t>
            </w:r>
          </w:p>
        </w:tc>
        <w:tc>
          <w:tcPr>
            <w:tcW w:w="7512" w:type="dxa"/>
            <w:tcBorders>
              <w:top w:val="single" w:color="000000" w:sz="4" w:space="0"/>
              <w:left w:val="single" w:color="000000" w:sz="4" w:space="0"/>
              <w:bottom w:val="single" w:color="000000" w:sz="4" w:space="0"/>
              <w:right w:val="single" w:color="000000" w:sz="4" w:space="0"/>
            </w:tcBorders>
            <w:vAlign w:val="bottom"/>
          </w:tcPr>
          <w:p w14:paraId="43DD3BC0">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图形管理界面为运行中的虚拟机设置IPv4/IPv6类型的IP地址（不需重启虚拟机生效），帮助简化IP地址配置的复杂度，同时提供IP冲突检测机制；支持为单个虚拟机网卡设置MTU值和多队列参数，优化网络中断处理效率（提供产品对应功能界面截图）。</w:t>
            </w:r>
          </w:p>
        </w:tc>
      </w:tr>
      <w:tr w14:paraId="00A731E9">
        <w:tblPrEx>
          <w:tblCellMar>
            <w:top w:w="0" w:type="dxa"/>
            <w:left w:w="108" w:type="dxa"/>
            <w:bottom w:w="0" w:type="dxa"/>
            <w:right w:w="108" w:type="dxa"/>
          </w:tblCellMar>
        </w:tblPrEx>
        <w:trPr>
          <w:trHeight w:val="104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2738C489">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资源预测</w:t>
            </w:r>
          </w:p>
        </w:tc>
        <w:tc>
          <w:tcPr>
            <w:tcW w:w="7512" w:type="dxa"/>
            <w:tcBorders>
              <w:top w:val="single" w:color="000000" w:sz="4" w:space="0"/>
              <w:left w:val="single" w:color="000000" w:sz="4" w:space="0"/>
              <w:bottom w:val="single" w:color="000000" w:sz="4" w:space="0"/>
              <w:right w:val="single" w:color="000000" w:sz="4" w:space="0"/>
            </w:tcBorders>
            <w:vAlign w:val="bottom"/>
          </w:tcPr>
          <w:p w14:paraId="4A5DC941">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面向虚拟化集群支持资源预测能力，提供集群内宿主机负载热力图，以及包含CPU、内存、存储等资源的历史用量、预测用量趋势图。根据已有数据自动预测CPU、内存、存储等资源的可用时间，分析未来若干天内是否可能形成瓶颈，并提供资源扩容建议。（提供产品对应功能界面截图）。</w:t>
            </w:r>
          </w:p>
        </w:tc>
      </w:tr>
      <w:tr w14:paraId="05F00214">
        <w:tblPrEx>
          <w:tblCellMar>
            <w:top w:w="0" w:type="dxa"/>
            <w:left w:w="108" w:type="dxa"/>
            <w:bottom w:w="0" w:type="dxa"/>
            <w:right w:w="108" w:type="dxa"/>
          </w:tblCellMar>
        </w:tblPrEx>
        <w:trPr>
          <w:trHeight w:val="104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78232A70">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闲置资源分析</w:t>
            </w:r>
          </w:p>
        </w:tc>
        <w:tc>
          <w:tcPr>
            <w:tcW w:w="7512" w:type="dxa"/>
            <w:tcBorders>
              <w:top w:val="single" w:color="000000" w:sz="4" w:space="0"/>
              <w:left w:val="single" w:color="000000" w:sz="4" w:space="0"/>
              <w:bottom w:val="single" w:color="000000" w:sz="4" w:space="0"/>
              <w:right w:val="single" w:color="000000" w:sz="4" w:space="0"/>
            </w:tcBorders>
            <w:vAlign w:val="bottom"/>
          </w:tcPr>
          <w:p w14:paraId="59C31812">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闲置资源分析能力，支持依据连续的电源关闭状态时间、网络IO读写或吞吐量等判断条件，自动分析形成长期关机虚拟机、闲置虚拟机列表。确认为闲置资源可移入回收站；确认为非闲置资源支持忽略。（提供产品对应功能界面截图）。</w:t>
            </w:r>
          </w:p>
        </w:tc>
      </w:tr>
      <w:tr w14:paraId="17B210A6">
        <w:tblPrEx>
          <w:tblCellMar>
            <w:top w:w="0" w:type="dxa"/>
            <w:left w:w="108" w:type="dxa"/>
            <w:bottom w:w="0" w:type="dxa"/>
            <w:right w:w="108" w:type="dxa"/>
          </w:tblCellMar>
        </w:tblPrEx>
        <w:trPr>
          <w:trHeight w:val="78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DC5F013">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虚拟机实例优化</w:t>
            </w:r>
          </w:p>
        </w:tc>
        <w:tc>
          <w:tcPr>
            <w:tcW w:w="7512" w:type="dxa"/>
            <w:tcBorders>
              <w:top w:val="single" w:color="000000" w:sz="4" w:space="0"/>
              <w:left w:val="single" w:color="000000" w:sz="4" w:space="0"/>
              <w:bottom w:val="single" w:color="000000" w:sz="4" w:space="0"/>
              <w:right w:val="single" w:color="000000" w:sz="4" w:space="0"/>
            </w:tcBorders>
            <w:vAlign w:val="bottom"/>
          </w:tcPr>
          <w:p w14:paraId="4FC1E11F">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提供虚拟机实例优化能力，支持依据持续的CPU、内存使用率等判断条件，自动分析形成建议降配或建议升配的虚拟机，以达到计算资源的合理利用和分配的目的。（提供产品对应功能界面截图）。</w:t>
            </w:r>
          </w:p>
        </w:tc>
      </w:tr>
      <w:tr w14:paraId="7B6AE59A">
        <w:tblPrEx>
          <w:tblCellMar>
            <w:top w:w="0" w:type="dxa"/>
            <w:left w:w="108" w:type="dxa"/>
            <w:bottom w:w="0" w:type="dxa"/>
            <w:right w:w="108" w:type="dxa"/>
          </w:tblCellMar>
        </w:tblPrEx>
        <w:trPr>
          <w:trHeight w:val="182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504A31FB">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备份管理</w:t>
            </w:r>
          </w:p>
        </w:tc>
        <w:tc>
          <w:tcPr>
            <w:tcW w:w="7512" w:type="dxa"/>
            <w:tcBorders>
              <w:top w:val="single" w:color="000000" w:sz="4" w:space="0"/>
              <w:left w:val="single" w:color="000000" w:sz="4" w:space="0"/>
              <w:bottom w:val="single" w:color="000000" w:sz="4" w:space="0"/>
              <w:right w:val="single" w:color="000000" w:sz="4" w:space="0"/>
            </w:tcBorders>
            <w:vAlign w:val="bottom"/>
          </w:tcPr>
          <w:p w14:paraId="01F103FF">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虚拟化管理界面自带备份管理模块，不需借助独立第三方软件或额外工具，且无需虚拟机系统安装代理，即可在虚拟化管理界面实现虚拟机全量、增量备份；备份策略支持定时、周期性等计划性策略，支持按天、按个数的备份保留规则，支持虚拟机整机备份或单盘备份，支持管理备份任务及还原、删除备份文件；提供备份池任务管理，统计虚拟机最近一次、近一个月的备份任务的成功或失败状态。</w:t>
            </w:r>
          </w:p>
        </w:tc>
      </w:tr>
      <w:tr w14:paraId="6E97B597">
        <w:tblPrEx>
          <w:tblCellMar>
            <w:top w:w="0" w:type="dxa"/>
            <w:left w:w="108" w:type="dxa"/>
            <w:bottom w:w="0" w:type="dxa"/>
            <w:right w:w="108" w:type="dxa"/>
          </w:tblCellMar>
        </w:tblPrEx>
        <w:trPr>
          <w:trHeight w:val="699"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4F01C83B">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Vmware纳管</w:t>
            </w:r>
          </w:p>
        </w:tc>
        <w:tc>
          <w:tcPr>
            <w:tcW w:w="7512" w:type="dxa"/>
            <w:tcBorders>
              <w:top w:val="single" w:color="000000" w:sz="4" w:space="0"/>
              <w:left w:val="single" w:color="000000" w:sz="4" w:space="0"/>
              <w:bottom w:val="single" w:color="000000" w:sz="4" w:space="0"/>
              <w:right w:val="single" w:color="000000" w:sz="4" w:space="0"/>
            </w:tcBorders>
            <w:vAlign w:val="bottom"/>
          </w:tcPr>
          <w:p w14:paraId="13B3A574">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考虑技术融合、存量资源保护要求，管理平台在X86、ARM架构下均支持VMware vSphere虚拟化平台（例如6.0/6.5/6.7/7.0等版本）的纳管，支持监控集群性能、主机性能、虚拟机操作系统及状态、存储池、虚拟磁盘及存储路径、标准虚拟交换机、分布式虚拟交换机、端口组及关联的VLAN和IP网段、镜像及存储路径等信息；支持纳管NSX-T，监控Edge集群、分布式防火墙实例及规则管理、T0逻辑路由器及关联的HA模式和T1逻辑路由器等信息，并抽象为包括私有网络、NAT转换规则在内的VPC网络模型（提供产品对应功能界面截图）。</w:t>
            </w:r>
          </w:p>
        </w:tc>
      </w:tr>
      <w:tr w14:paraId="1F152D05">
        <w:tblPrEx>
          <w:tblCellMar>
            <w:top w:w="0" w:type="dxa"/>
            <w:left w:w="108" w:type="dxa"/>
            <w:bottom w:w="0" w:type="dxa"/>
            <w:right w:w="108" w:type="dxa"/>
          </w:tblCellMar>
        </w:tblPrEx>
        <w:trPr>
          <w:trHeight w:val="274"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7DBC1535">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物理机纳管</w:t>
            </w:r>
          </w:p>
        </w:tc>
        <w:tc>
          <w:tcPr>
            <w:tcW w:w="7512" w:type="dxa"/>
            <w:tcBorders>
              <w:top w:val="single" w:color="000000" w:sz="4" w:space="0"/>
              <w:left w:val="single" w:color="000000" w:sz="4" w:space="0"/>
              <w:bottom w:val="single" w:color="000000" w:sz="4" w:space="0"/>
              <w:right w:val="single" w:color="000000" w:sz="4" w:space="0"/>
            </w:tcBorders>
            <w:vAlign w:val="bottom"/>
          </w:tcPr>
          <w:p w14:paraId="5F373918">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支持纳管物理裸机到虚拟化管理平台统一管理，包括BMC IP、BMC连接信息、设备管理员、系统管理员、维保时间等资产管理信息，支持对裸机开关机电源管理。管理平台能够监控物理裸机的详细硬件信息，包括硬件温度、硬件功耗、风扇转速、电源功率等；支持一键链接打开物理裸机的BMC带外管理平台，方便转至机器带外管理运维（提供产品对应功能界面截图）。</w:t>
            </w:r>
          </w:p>
        </w:tc>
      </w:tr>
      <w:tr w14:paraId="5F476AE1">
        <w:tblPrEx>
          <w:tblCellMar>
            <w:top w:w="0" w:type="dxa"/>
            <w:left w:w="108" w:type="dxa"/>
            <w:bottom w:w="0" w:type="dxa"/>
            <w:right w:w="108" w:type="dxa"/>
          </w:tblCellMar>
        </w:tblPrEx>
        <w:trPr>
          <w:trHeight w:val="637"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33FCA166">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跨平台迁移</w:t>
            </w:r>
          </w:p>
        </w:tc>
        <w:tc>
          <w:tcPr>
            <w:tcW w:w="7512" w:type="dxa"/>
            <w:tcBorders>
              <w:top w:val="single" w:color="000000" w:sz="4" w:space="0"/>
              <w:left w:val="single" w:color="000000" w:sz="4" w:space="0"/>
              <w:bottom w:val="single" w:color="000000" w:sz="4" w:space="0"/>
              <w:right w:val="single" w:color="000000" w:sz="4" w:space="0"/>
            </w:tcBorders>
            <w:vAlign w:val="center"/>
          </w:tcPr>
          <w:p w14:paraId="588634CE">
            <w:pPr>
              <w:keepNext w:val="0"/>
              <w:keepLines w:val="0"/>
              <w:pageBreakBefore w:val="0"/>
              <w:widowControl/>
              <w:kinsoku/>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跨平台，跨异构硬件的迁移能力，支持X86、ARM架构的虚拟机从国产虚拟化平台导出到本地，导出位置不依赖于指定的存储类型，利于跨平台复制和转移。为满足未来国产化替代的要求，需支持虚拟机在同芯片架构的资源池（例如鲲鹏和飞腾之间、Intel/AMD和海光之间）相互迁移，无需额外工具支持；支持向国产虚拟化平台导入ova格式虚拟机，提供将虚拟机从VMware平台一键批量在线迁移至国产虚拟化平台的迁移管理功能（与虚拟化管理平台界面融合，非提供第三方迁移工具的方式），迁移过程能够规划迁移目标位置和目标网络。（提供虚拟机导入及导出、鲲鹏-飞腾之间迁移、Intel-海光之间迁移、导入OVA虚拟机、从vSphere迁移虚拟机的界面截图。）</w:t>
            </w:r>
          </w:p>
        </w:tc>
      </w:tr>
      <w:tr w14:paraId="10F208A4">
        <w:tblPrEx>
          <w:tblCellMar>
            <w:top w:w="0" w:type="dxa"/>
            <w:left w:w="108" w:type="dxa"/>
            <w:bottom w:w="0" w:type="dxa"/>
            <w:right w:w="108" w:type="dxa"/>
          </w:tblCellMar>
        </w:tblPrEx>
        <w:trPr>
          <w:trHeight w:val="52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67F6087F">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lang w:bidi="ar"/>
              </w:rPr>
              <w:t>安全功能</w:t>
            </w:r>
          </w:p>
        </w:tc>
        <w:tc>
          <w:tcPr>
            <w:tcW w:w="7512" w:type="dxa"/>
            <w:tcBorders>
              <w:top w:val="single" w:color="000000" w:sz="4" w:space="0"/>
              <w:left w:val="single" w:color="000000" w:sz="4" w:space="0"/>
              <w:bottom w:val="single" w:color="000000" w:sz="4" w:space="0"/>
              <w:right w:val="single" w:color="000000" w:sz="4" w:space="0"/>
            </w:tcBorders>
            <w:vAlign w:val="bottom"/>
          </w:tcPr>
          <w:p w14:paraId="7DD870BA">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支持三员管理和国密算法加密关键敏感数据，防止关键数据被篡改（提供产品对应功能界面截图）。</w:t>
            </w:r>
          </w:p>
        </w:tc>
      </w:tr>
      <w:tr w14:paraId="10B26CAE">
        <w:tblPrEx>
          <w:tblCellMar>
            <w:top w:w="0" w:type="dxa"/>
            <w:left w:w="108" w:type="dxa"/>
            <w:bottom w:w="0" w:type="dxa"/>
            <w:right w:w="108" w:type="dxa"/>
          </w:tblCellMar>
        </w:tblPrEx>
        <w:trPr>
          <w:trHeight w:val="52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476E0FB9">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DDoS防护</w:t>
            </w:r>
          </w:p>
        </w:tc>
        <w:tc>
          <w:tcPr>
            <w:tcW w:w="7512" w:type="dxa"/>
            <w:tcBorders>
              <w:top w:val="single" w:color="000000" w:sz="4" w:space="0"/>
              <w:left w:val="single" w:color="000000" w:sz="4" w:space="0"/>
              <w:bottom w:val="single" w:color="000000" w:sz="4" w:space="0"/>
              <w:right w:val="single" w:color="000000" w:sz="4" w:space="0"/>
            </w:tcBorders>
            <w:vAlign w:val="bottom"/>
          </w:tcPr>
          <w:p w14:paraId="032D0049">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宿主机提供DDoS防护能力，能够统计被攻击IP及记录，自动生成DDoS防护统计热点图（提供产品对应功能界面截图）。</w:t>
            </w:r>
          </w:p>
        </w:tc>
      </w:tr>
      <w:tr w14:paraId="0B3A97F6">
        <w:tblPrEx>
          <w:tblCellMar>
            <w:top w:w="0" w:type="dxa"/>
            <w:left w:w="108" w:type="dxa"/>
            <w:bottom w:w="0" w:type="dxa"/>
            <w:right w:w="108" w:type="dxa"/>
          </w:tblCellMar>
        </w:tblPrEx>
        <w:trPr>
          <w:trHeight w:val="104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336C39E3">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集群HA</w:t>
            </w:r>
          </w:p>
        </w:tc>
        <w:tc>
          <w:tcPr>
            <w:tcW w:w="7512" w:type="dxa"/>
            <w:tcBorders>
              <w:top w:val="single" w:color="000000" w:sz="4" w:space="0"/>
              <w:left w:val="single" w:color="000000" w:sz="4" w:space="0"/>
              <w:bottom w:val="single" w:color="000000" w:sz="4" w:space="0"/>
              <w:right w:val="single" w:color="000000" w:sz="4" w:space="0"/>
            </w:tcBorders>
            <w:vAlign w:val="bottom"/>
          </w:tcPr>
          <w:p w14:paraId="599CC4B4">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持集群HA高可用和虚拟化管理平台主备部署，故障主机上的虚拟机自动在集群内的其它宿主机上恢复运行；HA心跳网络支持管理网络、存储网络、分布式存储网络，兼容物理交换机的单播、组播模式配置，仲裁方式支持IPMI、SBD磁盘等。</w:t>
            </w:r>
          </w:p>
        </w:tc>
      </w:tr>
      <w:tr w14:paraId="3AE2AD62">
        <w:tblPrEx>
          <w:tblCellMar>
            <w:top w:w="0" w:type="dxa"/>
            <w:left w:w="108" w:type="dxa"/>
            <w:bottom w:w="0" w:type="dxa"/>
            <w:right w:w="108" w:type="dxa"/>
          </w:tblCellMar>
        </w:tblPrEx>
        <w:trPr>
          <w:trHeight w:val="104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0565E056">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DRS主机亲和性</w:t>
            </w:r>
          </w:p>
        </w:tc>
        <w:tc>
          <w:tcPr>
            <w:tcW w:w="7512" w:type="dxa"/>
            <w:tcBorders>
              <w:top w:val="single" w:color="000000" w:sz="4" w:space="0"/>
              <w:left w:val="single" w:color="000000" w:sz="4" w:space="0"/>
              <w:bottom w:val="single" w:color="000000" w:sz="4" w:space="0"/>
              <w:right w:val="single" w:color="000000" w:sz="4" w:space="0"/>
            </w:tcBorders>
            <w:vAlign w:val="bottom"/>
          </w:tcPr>
          <w:p w14:paraId="11DD5F95">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RS规则允许配置虚拟机与宿主机的亲和性（必须运行于指定宿主机、禁止运行于指定宿主机、不应在指定宿主机上运行、应当在指定宿主机运行等）、虚拟机与虚拟机的亲和性（聚集/互斥）规则，约束业务的调度位置提升可用性。</w:t>
            </w:r>
          </w:p>
        </w:tc>
      </w:tr>
      <w:tr w14:paraId="00812949">
        <w:tblPrEx>
          <w:tblCellMar>
            <w:top w:w="0" w:type="dxa"/>
            <w:left w:w="108" w:type="dxa"/>
            <w:bottom w:w="0" w:type="dxa"/>
            <w:right w:w="108" w:type="dxa"/>
          </w:tblCellMar>
        </w:tblPrEx>
        <w:trPr>
          <w:trHeight w:val="78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722CADC6">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平台性能</w:t>
            </w:r>
          </w:p>
        </w:tc>
        <w:tc>
          <w:tcPr>
            <w:tcW w:w="7512" w:type="dxa"/>
            <w:tcBorders>
              <w:top w:val="single" w:color="000000" w:sz="4" w:space="0"/>
              <w:left w:val="single" w:color="000000" w:sz="4" w:space="0"/>
              <w:bottom w:val="single" w:color="000000" w:sz="4" w:space="0"/>
              <w:right w:val="single" w:color="000000" w:sz="4" w:space="0"/>
            </w:tcBorders>
            <w:vAlign w:val="bottom"/>
          </w:tcPr>
          <w:p w14:paraId="65AA2EC2">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具备虚拟机热迁移能力且迁移中断时延小于1秒，CPU虚拟化、内存虚拟化性能损耗均小于10%。</w:t>
            </w:r>
            <w:r>
              <w:rPr>
                <w:rFonts w:hint="eastAsia" w:ascii="宋体" w:hAnsi="宋体" w:eastAsia="宋体" w:cs="宋体"/>
                <w:bCs/>
                <w:color w:val="000000"/>
                <w:kern w:val="0"/>
                <w:sz w:val="24"/>
                <w:szCs w:val="24"/>
                <w:lang w:bidi="ar"/>
              </w:rPr>
              <w:t>（提供工信部下属权威机构测试报告证明）。</w:t>
            </w:r>
          </w:p>
        </w:tc>
      </w:tr>
      <w:tr w14:paraId="2BC9D417">
        <w:tblPrEx>
          <w:tblCellMar>
            <w:top w:w="0" w:type="dxa"/>
            <w:left w:w="108" w:type="dxa"/>
            <w:bottom w:w="0" w:type="dxa"/>
            <w:right w:w="108" w:type="dxa"/>
          </w:tblCellMar>
        </w:tblPrEx>
        <w:trPr>
          <w:trHeight w:val="780" w:hRule="atLeast"/>
          <w:jc w:val="center"/>
        </w:trPr>
        <w:tc>
          <w:tcPr>
            <w:tcW w:w="1555" w:type="dxa"/>
            <w:tcBorders>
              <w:top w:val="single" w:color="000000" w:sz="4" w:space="0"/>
              <w:left w:val="single" w:color="000000" w:sz="4" w:space="0"/>
              <w:bottom w:val="single" w:color="000000" w:sz="4" w:space="0"/>
              <w:right w:val="single" w:color="000000" w:sz="4" w:space="0"/>
            </w:tcBorders>
            <w:noWrap/>
            <w:vAlign w:val="center"/>
          </w:tcPr>
          <w:p w14:paraId="1B609B75">
            <w:pPr>
              <w:keepNext w:val="0"/>
              <w:keepLines w:val="0"/>
              <w:pageBreakBefore w:val="0"/>
              <w:widowControl/>
              <w:kinsoku/>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界面定制化</w:t>
            </w:r>
          </w:p>
        </w:tc>
        <w:tc>
          <w:tcPr>
            <w:tcW w:w="7512" w:type="dxa"/>
            <w:tcBorders>
              <w:top w:val="single" w:color="000000" w:sz="4" w:space="0"/>
              <w:left w:val="single" w:color="000000" w:sz="4" w:space="0"/>
              <w:bottom w:val="single" w:color="000000" w:sz="4" w:space="0"/>
              <w:right w:val="single" w:color="000000" w:sz="4" w:space="0"/>
            </w:tcBorders>
            <w:vAlign w:val="bottom"/>
          </w:tcPr>
          <w:p w14:paraId="216C475B">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为符合我单位业务管理需求，所投产品应支持无需代码修改或研发支持即可快速定制修改管理界面，包括界面logo、浏览器标签LOGO、产品名称、产品版本、平台名称、虚拟化类型名称、版权信息、官网信息、产品描述等。</w:t>
            </w:r>
          </w:p>
        </w:tc>
      </w:tr>
    </w:tbl>
    <w:p w14:paraId="394CB6C5">
      <w:pPr>
        <w:keepNext w:val="0"/>
        <w:keepLines w:val="0"/>
        <w:pageBreakBefore w:val="0"/>
        <w:kinsoku/>
        <w:wordWrap w:val="0"/>
        <w:topLinePunct w:val="0"/>
        <w:autoSpaceDE/>
        <w:autoSpaceDN/>
        <w:bidi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3、集成初级服务</w:t>
      </w:r>
    </w:p>
    <w:tbl>
      <w:tblPr>
        <w:tblStyle w:val="2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650"/>
      </w:tblGrid>
      <w:tr w14:paraId="6D8D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417" w:type="dxa"/>
            <w:vAlign w:val="center"/>
          </w:tcPr>
          <w:p w14:paraId="4C546A47">
            <w:pPr>
              <w:keepNext w:val="0"/>
              <w:keepLines w:val="0"/>
              <w:pageBreakBefore w:val="0"/>
              <w:kinsoku/>
              <w:topLinePunct w:val="0"/>
              <w:autoSpaceDE/>
              <w:autoSpaceDN/>
              <w:bidi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指标项</w:t>
            </w:r>
          </w:p>
        </w:tc>
        <w:tc>
          <w:tcPr>
            <w:tcW w:w="7650" w:type="dxa"/>
            <w:vAlign w:val="center"/>
          </w:tcPr>
          <w:p w14:paraId="5CDF19F8">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技术参数要求</w:t>
            </w:r>
          </w:p>
        </w:tc>
      </w:tr>
      <w:tr w14:paraId="6C09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Align w:val="center"/>
          </w:tcPr>
          <w:p w14:paraId="481D0C79">
            <w:pPr>
              <w:keepNext w:val="0"/>
              <w:keepLines w:val="0"/>
              <w:pageBreakBefore w:val="0"/>
              <w:kinsoku/>
              <w:topLinePunct w:val="0"/>
              <w:autoSpaceDE/>
              <w:autoSpaceDN/>
              <w:bidi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w:t>
            </w:r>
          </w:p>
        </w:tc>
        <w:tc>
          <w:tcPr>
            <w:tcW w:w="7650" w:type="dxa"/>
            <w:vAlign w:val="center"/>
          </w:tcPr>
          <w:p w14:paraId="653BCF4A">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1、本次采购的所有软硬件设备的安装调试；</w:t>
            </w:r>
          </w:p>
          <w:p w14:paraId="61743A54">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2、本次采购的所有软硬件设备安装过程中所需要的辅材（包含但不限于如光模块，光纤跳线，网络跳线等）</w:t>
            </w:r>
          </w:p>
          <w:p w14:paraId="6F127505">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3、传染病上传前置机初级部署服务内容如下</w:t>
            </w:r>
          </w:p>
          <w:p w14:paraId="2472C9B3">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①检查服务器品牌型号及选择通过适配的对应前置软件版本； </w:t>
            </w:r>
          </w:p>
          <w:p w14:paraId="18F61AA4">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②欧拉操作系统最新版本安装、调整磁盘分配、端口分配及服务； </w:t>
            </w:r>
          </w:p>
          <w:p w14:paraId="361EF899">
            <w:pPr>
              <w:keepNext w:val="0"/>
              <w:keepLines w:val="0"/>
              <w:pageBreakBefore w:val="0"/>
              <w:widowControl/>
              <w:kinsoku/>
              <w:topLinePunct w:val="0"/>
              <w:autoSpaceDE/>
              <w:autoSpaceDN/>
              <w:bidi w:val="0"/>
              <w:adjustRightInd w:val="0"/>
              <w:snapToGrid w:val="0"/>
              <w:spacing w:line="360" w:lineRule="auto"/>
              <w:jc w:val="left"/>
              <w:textAlignment w:val="bottom"/>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③OpenGauss与本次项目相配套的版本数据库软件安装、用户域安全角色创建、初始化电子病例镜像库预连接参数设置、合规表空间创建、疾控局标准 EMR库表与字典创建初始化、数据备份机制设置。</w:t>
            </w:r>
          </w:p>
        </w:tc>
      </w:tr>
    </w:tbl>
    <w:p w14:paraId="373B0C7C">
      <w:pPr>
        <w:keepNext w:val="0"/>
        <w:keepLines w:val="0"/>
        <w:pageBreakBefore w:val="0"/>
        <w:widowControl w:val="0"/>
        <w:kinsoku/>
        <w:wordWrap/>
        <w:topLinePunct w:val="0"/>
        <w:autoSpaceDE/>
        <w:autoSpaceDN/>
        <w:bidi w:val="0"/>
        <w:spacing w:line="360" w:lineRule="auto"/>
        <w:textAlignment w:val="baseline"/>
        <w:rPr>
          <w:rFonts w:hint="eastAsia" w:ascii="Times New Roman" w:hAnsi="Times New Roman" w:eastAsia="宋体" w:cs="宋体"/>
          <w:b/>
          <w:bCs/>
          <w:color w:val="auto"/>
          <w:sz w:val="24"/>
          <w:szCs w:val="24"/>
          <w:highlight w:val="none"/>
          <w:lang w:val="ru-RU"/>
        </w:rPr>
      </w:pPr>
      <w:r>
        <w:rPr>
          <w:rFonts w:hint="eastAsia" w:ascii="Times New Roman" w:hAnsi="Times New Roman" w:eastAsia="宋体" w:cs="宋体"/>
          <w:b/>
          <w:bCs/>
          <w:color w:val="auto"/>
          <w:sz w:val="24"/>
          <w:szCs w:val="24"/>
          <w:highlight w:val="none"/>
          <w:lang w:val="ru-RU"/>
        </w:rPr>
        <w:t>备注：</w:t>
      </w:r>
    </w:p>
    <w:p w14:paraId="6DAD4918">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lang w:val="ru-RU"/>
        </w:rPr>
      </w:pPr>
      <w:r>
        <w:rPr>
          <w:rFonts w:hint="eastAsia" w:ascii="Times New Roman" w:hAnsi="Times New Roman" w:eastAsia="宋体" w:cs="宋体"/>
          <w:b/>
          <w:bCs/>
          <w:color w:val="auto"/>
          <w:sz w:val="24"/>
          <w:szCs w:val="24"/>
          <w:highlight w:val="none"/>
          <w:lang w:val="ru-RU"/>
        </w:rPr>
        <w:t>设备</w:t>
      </w:r>
      <w:r>
        <w:rPr>
          <w:rFonts w:hint="eastAsia" w:ascii="Times New Roman" w:hAnsi="Times New Roman" w:eastAsia="宋体" w:cs="宋体"/>
          <w:b/>
          <w:bCs/>
          <w:color w:val="auto"/>
          <w:sz w:val="24"/>
          <w:szCs w:val="24"/>
          <w:highlight w:val="none"/>
        </w:rPr>
        <w:t>详细</w:t>
      </w:r>
      <w:r>
        <w:rPr>
          <w:rFonts w:hint="eastAsia" w:ascii="Times New Roman" w:hAnsi="Times New Roman" w:eastAsia="宋体" w:cs="宋体"/>
          <w:b/>
          <w:bCs/>
          <w:color w:val="auto"/>
          <w:sz w:val="24"/>
          <w:szCs w:val="24"/>
          <w:highlight w:val="none"/>
          <w:lang w:val="ru-RU"/>
        </w:rPr>
        <w:t>参数及要求中★项为必须满足项，不接受负偏离。本次项目产品参数中所涉及的功能截图、参数证明材料等在</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时需提供相对应的证明材料。</w:t>
      </w:r>
    </w:p>
    <w:p w14:paraId="5A127840">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lang w:val="ru-RU"/>
        </w:rPr>
      </w:pPr>
      <w:r>
        <w:rPr>
          <w:rFonts w:hint="eastAsia" w:ascii="Times New Roman" w:hAnsi="Times New Roman" w:eastAsia="宋体" w:cs="宋体"/>
          <w:b/>
          <w:bCs/>
          <w:color w:val="auto"/>
          <w:sz w:val="24"/>
          <w:szCs w:val="24"/>
          <w:highlight w:val="none"/>
          <w:lang w:val="ru-RU"/>
        </w:rPr>
        <w:t>签订合同前</w:t>
      </w:r>
      <w:r>
        <w:rPr>
          <w:rFonts w:hint="eastAsia" w:ascii="Times New Roman" w:hAnsi="Times New Roman" w:eastAsia="宋体" w:cs="宋体"/>
          <w:b/>
          <w:bCs/>
          <w:color w:val="auto"/>
          <w:sz w:val="24"/>
          <w:szCs w:val="24"/>
          <w:highlight w:val="none"/>
          <w:lang w:val="ru-RU" w:eastAsia="zh-CN"/>
        </w:rPr>
        <w:t>成交</w:t>
      </w:r>
      <w:r>
        <w:rPr>
          <w:rFonts w:hint="eastAsia" w:ascii="Times New Roman" w:hAnsi="Times New Roman" w:eastAsia="宋体" w:cs="宋体"/>
          <w:b/>
          <w:bCs/>
          <w:color w:val="auto"/>
          <w:sz w:val="24"/>
          <w:szCs w:val="24"/>
          <w:highlight w:val="none"/>
          <w:lang w:val="ru-RU"/>
        </w:rPr>
        <w:t>供应商须向采购方提供：①</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设备生产厂家盖章的技术偏离表原件（须加盖生产厂家鲜章）</w:t>
      </w:r>
      <w:r>
        <w:rPr>
          <w:rFonts w:hint="eastAsia" w:ascii="Times New Roman" w:hAnsi="Times New Roman" w:eastAsia="宋体" w:cs="宋体"/>
          <w:b/>
          <w:bCs/>
          <w:color w:val="auto"/>
          <w:sz w:val="24"/>
          <w:szCs w:val="24"/>
          <w:highlight w:val="none"/>
          <w:lang w:val="ru-RU"/>
        </w:rPr>
        <w:t>，②产品参数中所涉及的功能截图、参数证明材料电子扫描件的原件（须加盖生产厂家鲜章）</w:t>
      </w:r>
      <w:r>
        <w:rPr>
          <w:rFonts w:hint="eastAsia" w:ascii="Times New Roman" w:hAnsi="Times New Roman" w:eastAsia="宋体" w:cs="宋体"/>
          <w:b/>
          <w:bCs/>
          <w:color w:val="auto"/>
          <w:sz w:val="24"/>
          <w:szCs w:val="24"/>
          <w:highlight w:val="none"/>
          <w:lang w:val="ru-RU"/>
        </w:rPr>
        <w:t>；③</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设备生产厂家针对本项目的原厂授权函和</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设备原厂质保售后服务承诺函原件（须加盖生产厂家鲜章）</w:t>
      </w:r>
      <w:r>
        <w:rPr>
          <w:rFonts w:hint="eastAsia" w:ascii="Times New Roman" w:hAnsi="Times New Roman" w:eastAsia="宋体" w:cs="宋体"/>
          <w:b/>
          <w:bCs/>
          <w:color w:val="auto"/>
          <w:sz w:val="24"/>
          <w:szCs w:val="24"/>
          <w:highlight w:val="none"/>
          <w:lang w:val="ru-RU"/>
        </w:rPr>
        <w:t>。如未能提供①②③所要求的材料，视为虚假</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，采购人有权拒绝授予合同，并报政府采购监管部门。</w:t>
      </w:r>
    </w:p>
    <w:p w14:paraId="63E48F67">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ru-RU"/>
        </w:rPr>
        <w:t>为保障所采购的设备能达到预期效果，必要时用户有权要求</w:t>
      </w:r>
      <w:r>
        <w:rPr>
          <w:rFonts w:hint="eastAsia" w:ascii="Times New Roman" w:hAnsi="Times New Roman" w:eastAsia="宋体" w:cs="宋体"/>
          <w:b/>
          <w:bCs/>
          <w:color w:val="auto"/>
          <w:sz w:val="24"/>
          <w:szCs w:val="24"/>
          <w:highlight w:val="none"/>
          <w:lang w:val="ru-RU" w:eastAsia="zh-CN"/>
        </w:rPr>
        <w:t>成交</w:t>
      </w:r>
      <w:r>
        <w:rPr>
          <w:rFonts w:hint="eastAsia" w:ascii="Times New Roman" w:hAnsi="Times New Roman" w:eastAsia="宋体" w:cs="宋体"/>
          <w:b/>
          <w:bCs/>
          <w:color w:val="auto"/>
          <w:sz w:val="24"/>
          <w:szCs w:val="24"/>
          <w:highlight w:val="none"/>
          <w:lang w:val="ru-RU"/>
        </w:rPr>
        <w:t>供应商在七个工作日内提供项目采购的产品进行功能性测试，发现虚假强行</w:t>
      </w:r>
      <w:r>
        <w:rPr>
          <w:rFonts w:hint="eastAsia" w:ascii="Times New Roman" w:hAnsi="Times New Roman" w:eastAsia="宋体" w:cs="宋体"/>
          <w:b/>
          <w:bCs/>
          <w:color w:val="auto"/>
          <w:sz w:val="24"/>
          <w:szCs w:val="24"/>
          <w:highlight w:val="none"/>
          <w:lang w:val="ru-RU" w:eastAsia="zh-CN"/>
        </w:rPr>
        <w:t>响应</w:t>
      </w:r>
      <w:r>
        <w:rPr>
          <w:rFonts w:hint="eastAsia" w:ascii="Times New Roman" w:hAnsi="Times New Roman" w:eastAsia="宋体" w:cs="宋体"/>
          <w:b/>
          <w:bCs/>
          <w:color w:val="auto"/>
          <w:sz w:val="24"/>
          <w:szCs w:val="24"/>
          <w:highlight w:val="none"/>
          <w:lang w:val="ru-RU"/>
        </w:rPr>
        <w:t>的将取消其</w:t>
      </w:r>
      <w:r>
        <w:rPr>
          <w:rFonts w:hint="eastAsia" w:ascii="Times New Roman" w:hAnsi="Times New Roman" w:eastAsia="宋体" w:cs="宋体"/>
          <w:b/>
          <w:bCs/>
          <w:color w:val="auto"/>
          <w:sz w:val="24"/>
          <w:szCs w:val="24"/>
          <w:highlight w:val="none"/>
          <w:lang w:val="ru-RU" w:eastAsia="zh-CN"/>
        </w:rPr>
        <w:t>成交</w:t>
      </w:r>
      <w:r>
        <w:rPr>
          <w:rFonts w:hint="eastAsia" w:ascii="Times New Roman" w:hAnsi="Times New Roman" w:eastAsia="宋体" w:cs="宋体"/>
          <w:b/>
          <w:bCs/>
          <w:color w:val="auto"/>
          <w:sz w:val="24"/>
          <w:szCs w:val="24"/>
          <w:highlight w:val="none"/>
          <w:lang w:val="ru-RU"/>
        </w:rPr>
        <w:t>资格。给</w:t>
      </w:r>
      <w:r>
        <w:rPr>
          <w:rFonts w:hint="eastAsia" w:ascii="Times New Roman" w:hAnsi="Times New Roman" w:eastAsia="宋体" w:cs="宋体"/>
          <w:b/>
          <w:bCs/>
          <w:color w:val="auto"/>
          <w:sz w:val="24"/>
          <w:szCs w:val="24"/>
          <w:highlight w:val="none"/>
          <w:lang w:val="ru-RU" w:eastAsia="zh-CN"/>
        </w:rPr>
        <w:t>采购</w:t>
      </w:r>
      <w:r>
        <w:rPr>
          <w:rFonts w:hint="eastAsia" w:ascii="Times New Roman" w:hAnsi="Times New Roman" w:eastAsia="宋体" w:cs="宋体"/>
          <w:b/>
          <w:bCs/>
          <w:color w:val="auto"/>
          <w:sz w:val="24"/>
          <w:szCs w:val="24"/>
          <w:highlight w:val="none"/>
          <w:lang w:val="ru-RU"/>
        </w:rPr>
        <w:t>人造成损失的</w:t>
      </w:r>
      <w:r>
        <w:rPr>
          <w:rFonts w:hint="eastAsia" w:ascii="Times New Roman" w:hAnsi="Times New Roman" w:eastAsia="宋体" w:cs="宋体"/>
          <w:b/>
          <w:bCs/>
          <w:color w:val="auto"/>
          <w:sz w:val="24"/>
          <w:szCs w:val="24"/>
          <w:highlight w:val="none"/>
          <w:lang w:val="ru-RU" w:eastAsia="zh-CN"/>
        </w:rPr>
        <w:t>，</w:t>
      </w:r>
      <w:r>
        <w:rPr>
          <w:rFonts w:hint="eastAsia" w:ascii="Times New Roman" w:hAnsi="Times New Roman" w:eastAsia="宋体" w:cs="宋体"/>
          <w:b/>
          <w:bCs/>
          <w:color w:val="auto"/>
          <w:sz w:val="24"/>
          <w:szCs w:val="24"/>
          <w:highlight w:val="none"/>
          <w:lang w:val="ru-RU"/>
        </w:rPr>
        <w:t>依法承担法律责任。</w:t>
      </w:r>
    </w:p>
    <w:p w14:paraId="32897683">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四、</w:t>
      </w:r>
      <w:r>
        <w:rPr>
          <w:rFonts w:hint="eastAsia" w:ascii="Times New Roman" w:hAnsi="Times New Roman" w:eastAsia="宋体" w:cs="宋体"/>
          <w:b/>
          <w:bCs/>
          <w:color w:val="auto"/>
          <w:szCs w:val="24"/>
          <w:highlight w:val="none"/>
          <w:shd w:val="clear" w:color="auto" w:fill="FFFFFF"/>
        </w:rPr>
        <w:t>采购标的数量、采购项目交付或者实施的时间和地点</w:t>
      </w:r>
    </w:p>
    <w:tbl>
      <w:tblPr>
        <w:tblStyle w:val="2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76"/>
        <w:gridCol w:w="5953"/>
        <w:gridCol w:w="993"/>
      </w:tblGrid>
      <w:tr w14:paraId="50DB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noWrap/>
            <w:vAlign w:val="center"/>
          </w:tcPr>
          <w:p w14:paraId="0B02E378">
            <w:pPr>
              <w:keepNext w:val="0"/>
              <w:keepLines w:val="0"/>
              <w:pageBreakBefore w:val="0"/>
              <w:widowControl/>
              <w:kinsoku/>
              <w:topLinePunct w:val="0"/>
              <w:autoSpaceDE/>
              <w:autoSpaceDN/>
              <w:bidi w:val="0"/>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序号</w:t>
            </w:r>
          </w:p>
        </w:tc>
        <w:tc>
          <w:tcPr>
            <w:tcW w:w="1276" w:type="dxa"/>
            <w:vAlign w:val="center"/>
          </w:tcPr>
          <w:p w14:paraId="619B85B0">
            <w:pPr>
              <w:keepNext w:val="0"/>
              <w:keepLines w:val="0"/>
              <w:pageBreakBefore w:val="0"/>
              <w:widowControl/>
              <w:kinsoku/>
              <w:topLinePunct w:val="0"/>
              <w:autoSpaceDE/>
              <w:autoSpaceDN/>
              <w:bidi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产品名称</w:t>
            </w:r>
          </w:p>
        </w:tc>
        <w:tc>
          <w:tcPr>
            <w:tcW w:w="5953" w:type="dxa"/>
            <w:vAlign w:val="center"/>
          </w:tcPr>
          <w:p w14:paraId="2281DB13">
            <w:pPr>
              <w:keepNext w:val="0"/>
              <w:keepLines w:val="0"/>
              <w:pageBreakBefore w:val="0"/>
              <w:widowControl/>
              <w:kinsoku/>
              <w:topLinePunct w:val="0"/>
              <w:autoSpaceDE/>
              <w:autoSpaceDN/>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配置要求</w:t>
            </w:r>
          </w:p>
        </w:tc>
        <w:tc>
          <w:tcPr>
            <w:tcW w:w="993" w:type="dxa"/>
            <w:vAlign w:val="center"/>
          </w:tcPr>
          <w:p w14:paraId="6EBAF7C5">
            <w:pPr>
              <w:keepNext w:val="0"/>
              <w:keepLines w:val="0"/>
              <w:pageBreakBefore w:val="0"/>
              <w:widowControl/>
              <w:kinsoku/>
              <w:topLinePunct w:val="0"/>
              <w:autoSpaceDE/>
              <w:autoSpaceDN/>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数量</w:t>
            </w:r>
          </w:p>
        </w:tc>
      </w:tr>
      <w:tr w14:paraId="3C1B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noWrap/>
            <w:vAlign w:val="center"/>
          </w:tcPr>
          <w:p w14:paraId="51467D1E">
            <w:pPr>
              <w:keepNext w:val="0"/>
              <w:keepLines w:val="0"/>
              <w:pageBreakBefore w:val="0"/>
              <w:widowControl/>
              <w:kinsoku/>
              <w:topLinePunct w:val="0"/>
              <w:autoSpaceDE/>
              <w:autoSpaceDN/>
              <w:bidi w:val="0"/>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276" w:type="dxa"/>
            <w:vAlign w:val="center"/>
          </w:tcPr>
          <w:p w14:paraId="47A52740">
            <w:pPr>
              <w:keepNext w:val="0"/>
              <w:keepLines w:val="0"/>
              <w:pageBreakBefore w:val="0"/>
              <w:widowControl/>
              <w:kinsoku/>
              <w:topLinePunct w:val="0"/>
              <w:autoSpaceDE/>
              <w:autoSpaceDN/>
              <w:bidi w:val="0"/>
              <w:adjustRightInd w:val="0"/>
              <w:snapToGri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前置服务器</w:t>
            </w:r>
          </w:p>
        </w:tc>
        <w:tc>
          <w:tcPr>
            <w:tcW w:w="5953" w:type="dxa"/>
            <w:vAlign w:val="center"/>
          </w:tcPr>
          <w:p w14:paraId="2B72B939">
            <w:pPr>
              <w:keepNext w:val="0"/>
              <w:keepLines w:val="0"/>
              <w:pageBreakBefore w:val="0"/>
              <w:widowControl/>
              <w:kinsoku/>
              <w:topLinePunct w:val="0"/>
              <w:autoSpaceDE/>
              <w:autoSpaceDN/>
              <w:bidi w:val="0"/>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2颗≥Hygon 7375处理器（2.0GHz/32c），≥256G内存，2块≥480G SSD硬盘，≥2块双口万兆网卡（含模块），≥1块4口千兆电网卡，冗余电源风扇，3年原厂质保服务</w:t>
            </w:r>
          </w:p>
        </w:tc>
        <w:tc>
          <w:tcPr>
            <w:tcW w:w="993" w:type="dxa"/>
            <w:vAlign w:val="center"/>
          </w:tcPr>
          <w:p w14:paraId="2D6029B8">
            <w:pPr>
              <w:keepNext w:val="0"/>
              <w:keepLines w:val="0"/>
              <w:pageBreakBefore w:val="0"/>
              <w:widowControl/>
              <w:kinsoku/>
              <w:topLinePunct w:val="0"/>
              <w:autoSpaceDE/>
              <w:autoSpaceDN/>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r>
      <w:tr w14:paraId="2D2B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noWrap/>
            <w:vAlign w:val="center"/>
          </w:tcPr>
          <w:p w14:paraId="352808A3">
            <w:pPr>
              <w:keepNext w:val="0"/>
              <w:keepLines w:val="0"/>
              <w:pageBreakBefore w:val="0"/>
              <w:widowControl/>
              <w:kinsoku/>
              <w:topLinePunct w:val="0"/>
              <w:autoSpaceDE/>
              <w:autoSpaceDN/>
              <w:bidi w:val="0"/>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276" w:type="dxa"/>
            <w:vAlign w:val="center"/>
          </w:tcPr>
          <w:p w14:paraId="2A465F51">
            <w:pPr>
              <w:keepNext w:val="0"/>
              <w:keepLines w:val="0"/>
              <w:pageBreakBefore w:val="0"/>
              <w:widowControl/>
              <w:kinsoku/>
              <w:topLinePunct w:val="0"/>
              <w:autoSpaceDE/>
              <w:autoSpaceDN/>
              <w:bidi w:val="0"/>
              <w:adjustRightInd w:val="0"/>
              <w:snapToGri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国产服务器虚拟化软件</w:t>
            </w:r>
          </w:p>
        </w:tc>
        <w:tc>
          <w:tcPr>
            <w:tcW w:w="5953" w:type="dxa"/>
            <w:vAlign w:val="center"/>
          </w:tcPr>
          <w:p w14:paraId="02989B8F">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服务器虚拟化软件全面兼容龙芯、飞腾、鲲鹏、海光、兆芯等芯片架构的服务器虚拟化软件；</w:t>
            </w:r>
          </w:p>
          <w:p w14:paraId="3DCC74AE">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提供虚拟机的创建、开关机、暂停、重启、休眠、删除、克隆、快照、备份、迁移、导出等资源生命全周期管理，提供HA高可用、DRS资源动态调整、监控等企业级虚拟化功能，满足企业级的业务需求；</w:t>
            </w:r>
          </w:p>
          <w:p w14:paraId="55DE5D11">
            <w:pPr>
              <w:keepNext w:val="0"/>
              <w:keepLines w:val="0"/>
              <w:pageBreakBefore w:val="0"/>
              <w:widowControl/>
              <w:kinsoku/>
              <w:topLinePunct w:val="0"/>
              <w:autoSpaceDE/>
              <w:autoSpaceDN/>
              <w:bidi w:val="0"/>
              <w:adjustRightInd w:val="0"/>
              <w:snapToGrid w:val="0"/>
              <w:spacing w:line="360" w:lineRule="auto"/>
              <w:rPr>
                <w:rFonts w:hint="eastAsia" w:ascii="宋体" w:hAnsi="宋体" w:eastAsia="宋体" w:cs="宋体"/>
                <w:bCs/>
                <w:kern w:val="0"/>
                <w:sz w:val="24"/>
                <w:szCs w:val="24"/>
              </w:rPr>
            </w:pPr>
            <w:r>
              <w:rPr>
                <w:rStyle w:val="76"/>
                <w:rFonts w:hint="eastAsia" w:ascii="宋体" w:hAnsi="宋体" w:eastAsia="宋体" w:cs="宋体"/>
                <w:sz w:val="24"/>
                <w:szCs w:val="24"/>
                <w:lang w:bidi="ar"/>
              </w:rPr>
              <w:t>配置</w:t>
            </w:r>
            <w:r>
              <w:rPr>
                <w:rFonts w:hint="eastAsia" w:ascii="宋体" w:hAnsi="宋体" w:eastAsia="宋体" w:cs="宋体"/>
                <w:kern w:val="0"/>
                <w:sz w:val="24"/>
                <w:szCs w:val="24"/>
              </w:rPr>
              <w:t>≥</w:t>
            </w:r>
            <w:r>
              <w:rPr>
                <w:rStyle w:val="77"/>
                <w:rFonts w:hint="eastAsia" w:ascii="宋体" w:hAnsi="宋体" w:eastAsia="宋体" w:cs="宋体"/>
                <w:sz w:val="24"/>
                <w:szCs w:val="24"/>
                <w:lang w:bidi="ar"/>
              </w:rPr>
              <w:t>2</w:t>
            </w:r>
            <w:r>
              <w:rPr>
                <w:rStyle w:val="76"/>
                <w:rFonts w:hint="eastAsia" w:ascii="宋体" w:hAnsi="宋体" w:eastAsia="宋体" w:cs="宋体"/>
                <w:sz w:val="24"/>
                <w:szCs w:val="24"/>
                <w:lang w:bidi="ar"/>
              </w:rPr>
              <w:t>颗物理</w:t>
            </w:r>
            <w:r>
              <w:rPr>
                <w:rStyle w:val="77"/>
                <w:rFonts w:hint="eastAsia" w:ascii="宋体" w:hAnsi="宋体" w:eastAsia="宋体" w:cs="宋体"/>
                <w:sz w:val="24"/>
                <w:szCs w:val="24"/>
                <w:lang w:bidi="ar"/>
              </w:rPr>
              <w:t>CPU</w:t>
            </w:r>
            <w:r>
              <w:rPr>
                <w:rStyle w:val="76"/>
                <w:rFonts w:hint="eastAsia" w:ascii="宋体" w:hAnsi="宋体" w:eastAsia="宋体" w:cs="宋体"/>
                <w:sz w:val="24"/>
                <w:szCs w:val="24"/>
                <w:lang w:bidi="ar"/>
              </w:rPr>
              <w:t>授权，授权包含计算虚拟化，网络虚拟化等功能模块；</w:t>
            </w:r>
            <w:r>
              <w:rPr>
                <w:rFonts w:hint="eastAsia" w:ascii="宋体" w:hAnsi="宋体" w:eastAsia="宋体" w:cs="宋体"/>
                <w:kern w:val="0"/>
                <w:sz w:val="24"/>
                <w:szCs w:val="24"/>
              </w:rPr>
              <w:t>三年质保服务。</w:t>
            </w:r>
          </w:p>
        </w:tc>
        <w:tc>
          <w:tcPr>
            <w:tcW w:w="993" w:type="dxa"/>
            <w:vAlign w:val="center"/>
          </w:tcPr>
          <w:p w14:paraId="44F813D8">
            <w:pPr>
              <w:keepNext w:val="0"/>
              <w:keepLines w:val="0"/>
              <w:pageBreakBefore w:val="0"/>
              <w:widowControl/>
              <w:kinsoku/>
              <w:topLinePunct w:val="0"/>
              <w:autoSpaceDE/>
              <w:autoSpaceDN/>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1套</w:t>
            </w:r>
          </w:p>
        </w:tc>
      </w:tr>
      <w:tr w14:paraId="2D9F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noWrap/>
            <w:vAlign w:val="center"/>
          </w:tcPr>
          <w:p w14:paraId="5B8CE06E">
            <w:pPr>
              <w:keepNext w:val="0"/>
              <w:keepLines w:val="0"/>
              <w:pageBreakBefore w:val="0"/>
              <w:widowControl/>
              <w:kinsoku/>
              <w:topLinePunct w:val="0"/>
              <w:autoSpaceDE/>
              <w:autoSpaceDN/>
              <w:bidi w:val="0"/>
              <w:adjustRightInd w:val="0"/>
              <w:snapToGri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1276" w:type="dxa"/>
            <w:noWrap/>
            <w:vAlign w:val="center"/>
          </w:tcPr>
          <w:p w14:paraId="799B5EE4">
            <w:pPr>
              <w:keepNext w:val="0"/>
              <w:keepLines w:val="0"/>
              <w:pageBreakBefore w:val="0"/>
              <w:widowControl/>
              <w:kinsoku/>
              <w:topLinePunct w:val="0"/>
              <w:autoSpaceDE/>
              <w:autoSpaceDN/>
              <w:bidi w:val="0"/>
              <w:adjustRightInd w:val="0"/>
              <w:snapToGri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集成初级服务</w:t>
            </w:r>
          </w:p>
        </w:tc>
        <w:tc>
          <w:tcPr>
            <w:tcW w:w="5953" w:type="dxa"/>
            <w:vAlign w:val="center"/>
          </w:tcPr>
          <w:p w14:paraId="5E92D824">
            <w:pPr>
              <w:keepNext w:val="0"/>
              <w:keepLines w:val="0"/>
              <w:pageBreakBefore w:val="0"/>
              <w:widowControl/>
              <w:kinsoku/>
              <w:topLinePunct w:val="0"/>
              <w:autoSpaceDE/>
              <w:autoSpaceDN/>
              <w:bidi w:val="0"/>
              <w:adjustRightInd w:val="0"/>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包含但不限于本次项目所需的所有相关配件、辅材、培训资料、传染病上传前置机初级部署服务等,详见技术参数。</w:t>
            </w:r>
          </w:p>
        </w:tc>
        <w:tc>
          <w:tcPr>
            <w:tcW w:w="993" w:type="dxa"/>
            <w:noWrap/>
            <w:vAlign w:val="center"/>
          </w:tcPr>
          <w:p w14:paraId="26CC1A7C">
            <w:pPr>
              <w:keepNext w:val="0"/>
              <w:keepLines w:val="0"/>
              <w:pageBreakBefore w:val="0"/>
              <w:widowControl/>
              <w:kinsoku/>
              <w:topLinePunct w:val="0"/>
              <w:autoSpaceDE/>
              <w:autoSpaceDN/>
              <w:bidi w:val="0"/>
              <w:adjustRightInd w:val="0"/>
              <w:snapToGri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1批</w:t>
            </w:r>
          </w:p>
        </w:tc>
      </w:tr>
    </w:tbl>
    <w:p w14:paraId="5F3C49E3">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1、交货期：合同签订之日起60个工作日内安装调试完成。</w:t>
      </w:r>
    </w:p>
    <w:p w14:paraId="2A6B79B5">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2、交货要求：所有货品必须原包装进场，运送及安装到用户指定地点。</w:t>
      </w:r>
    </w:p>
    <w:p w14:paraId="16933F51">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五、</w:t>
      </w:r>
      <w:r>
        <w:rPr>
          <w:rFonts w:hint="eastAsia" w:ascii="Times New Roman" w:hAnsi="Times New Roman" w:eastAsia="宋体" w:cs="宋体"/>
          <w:b/>
          <w:bCs/>
          <w:color w:val="auto"/>
          <w:szCs w:val="24"/>
          <w:highlight w:val="none"/>
          <w:shd w:val="clear" w:color="auto" w:fill="FFFFFF"/>
        </w:rPr>
        <w:t>采购标的需满足的服务标准、期限、效率等要求</w:t>
      </w:r>
    </w:p>
    <w:p w14:paraId="096E74CB">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（1）合同签订及质保期 </w:t>
      </w:r>
    </w:p>
    <w:p w14:paraId="12A53C4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①签定合同日期：自中标（成交）通知书发出之日起 15日内按时签约。</w:t>
      </w:r>
    </w:p>
    <w:p w14:paraId="29142033">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②设备质保：所投产品软硬件质保期均为三年。在质保期内因产品本身质量问题发生故障，需免费更换或维修，超过质保期后，所有产品提供终身成本维修（维修只收取部件成本费）。</w:t>
      </w:r>
    </w:p>
    <w:p w14:paraId="1BF0E6DA">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（2）项目实施与服务要求</w:t>
      </w:r>
    </w:p>
    <w:p w14:paraId="41858C0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所有设备均为原厂全新设备，原包装进场，三年质保期内采购单位如设备需要进行位置调整可跟据实现情况提供安装调试服务。 </w:t>
      </w:r>
    </w:p>
    <w:p w14:paraId="237619A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（3）售后服务要求</w:t>
      </w:r>
    </w:p>
    <w:p w14:paraId="049126B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①质保期内提供所有产品应用交付专业服务和整体运维服务。 </w:t>
      </w:r>
    </w:p>
    <w:p w14:paraId="64ED3B66">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②本项目中所有软硬件提供原厂质保服务、软件升级服务、全免费上门主动服务和应急服务等。售后服务的价格包含在</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总价中，采购方不再另外付费。</w:t>
      </w:r>
      <w:r>
        <w:rPr>
          <w:rFonts w:hint="eastAsia" w:ascii="Times New Roman" w:hAnsi="Times New Roman" w:eastAsia="宋体" w:cs="宋体"/>
          <w:color w:val="auto"/>
          <w:sz w:val="24"/>
          <w:szCs w:val="24"/>
          <w:highlight w:val="none"/>
          <w:lang w:eastAsia="zh-CN"/>
        </w:rPr>
        <w:t>成交</w:t>
      </w:r>
      <w:r>
        <w:rPr>
          <w:rFonts w:hint="eastAsia" w:ascii="Times New Roman" w:hAnsi="Times New Roman" w:eastAsia="宋体" w:cs="宋体"/>
          <w:color w:val="auto"/>
          <w:sz w:val="24"/>
          <w:szCs w:val="24"/>
          <w:highlight w:val="none"/>
        </w:rPr>
        <w:t xml:space="preserve">商提供7*24小时售后服务，对于现场应急服务应立即响应，10分钟内电话响应或者远程技术支持，根据采购方要求本项目的维保售后人员至少实现4小时内解决问题；质保期内免费提供软件各种版本（含跨版本）的升级，免费提供所有授权（License）。 </w:t>
      </w:r>
    </w:p>
    <w:p w14:paraId="4E8D5C9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③质保期内免费提供所有软件（包括大、小版本等）的升级，不得以任何借口收取任何升级费用。</w:t>
      </w:r>
    </w:p>
    <w:p w14:paraId="33BFA6C5">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④本项目实施时</w:t>
      </w:r>
      <w:r>
        <w:rPr>
          <w:rFonts w:hint="eastAsia" w:ascii="Times New Roman" w:hAnsi="Times New Roman" w:eastAsia="宋体" w:cs="宋体"/>
          <w:color w:val="auto"/>
          <w:sz w:val="24"/>
          <w:szCs w:val="24"/>
          <w:highlight w:val="none"/>
          <w:lang w:eastAsia="zh-CN"/>
        </w:rPr>
        <w:t>响应供应商</w:t>
      </w:r>
      <w:r>
        <w:rPr>
          <w:rFonts w:hint="eastAsia" w:ascii="Times New Roman" w:hAnsi="Times New Roman" w:eastAsia="宋体" w:cs="宋体"/>
          <w:color w:val="auto"/>
          <w:sz w:val="24"/>
          <w:szCs w:val="24"/>
          <w:highlight w:val="none"/>
        </w:rPr>
        <w:t xml:space="preserve">应提供所需的连接配件（如光纤跳线等）、辅助材料等。 </w:t>
      </w:r>
    </w:p>
    <w:p w14:paraId="6E871EB6">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⑤根据采购方使用需要，提供现场培训，直到交付使用，以确保用户本次项目产品的使用、维护、常见故障的排除。质保期按照采购方要求提供培训服务，使受训人员能独立进行管理、故障处理、日常测试维护等工作。 </w:t>
      </w:r>
    </w:p>
    <w:p w14:paraId="6053786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⑥如遇重大节日或采购方认为的重要时期，需按采购方指定要求进行特殊时期的检查和驻场技术保障工作。</w:t>
      </w:r>
    </w:p>
    <w:p w14:paraId="3B0F11A2">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六、</w:t>
      </w:r>
      <w:r>
        <w:rPr>
          <w:rFonts w:hint="eastAsia" w:ascii="Times New Roman" w:hAnsi="Times New Roman" w:eastAsia="宋体" w:cs="宋体"/>
          <w:b/>
          <w:bCs/>
          <w:color w:val="auto"/>
          <w:szCs w:val="24"/>
          <w:highlight w:val="none"/>
          <w:shd w:val="clear" w:color="auto" w:fill="FFFFFF"/>
        </w:rPr>
        <w:t>采购标的验收标准</w:t>
      </w:r>
    </w:p>
    <w:p w14:paraId="6C553B8C">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采购单位按合同约定积极配合供应商履约，按合同约定及时组织相关专业技术人员进行验收，并出具验收报告，验收合格的作为支付款项的依据。</w:t>
      </w:r>
    </w:p>
    <w:p w14:paraId="47592047">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七、</w:t>
      </w:r>
      <w:r>
        <w:rPr>
          <w:rFonts w:hint="eastAsia" w:ascii="Times New Roman" w:hAnsi="Times New Roman" w:eastAsia="宋体" w:cs="宋体"/>
          <w:b/>
          <w:bCs/>
          <w:color w:val="auto"/>
          <w:szCs w:val="24"/>
          <w:highlight w:val="none"/>
          <w:shd w:val="clear" w:color="auto" w:fill="FFFFFF"/>
        </w:rPr>
        <w:t>采购标的其他技术、服务等要求</w:t>
      </w:r>
    </w:p>
    <w:p w14:paraId="01123CBA">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质量保证期内提供工程师免费上门安装、调试、更换所供设备的所有零、部件，设备所有软件系统、相关数据库均提供免费升级服务；提供完备的软件、技术资料和用户维护手册。</w:t>
      </w:r>
    </w:p>
    <w:p w14:paraId="7753042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lang w:eastAsia="zh-CN"/>
        </w:rPr>
        <w:t>八、</w:t>
      </w:r>
      <w:r>
        <w:rPr>
          <w:rFonts w:hint="eastAsia" w:ascii="Times New Roman" w:hAnsi="Times New Roman" w:eastAsia="宋体" w:cs="宋体"/>
          <w:b/>
          <w:bCs/>
          <w:color w:val="auto"/>
          <w:szCs w:val="24"/>
          <w:highlight w:val="none"/>
          <w:shd w:val="clear" w:color="auto" w:fill="FFFFFF"/>
        </w:rPr>
        <w:t>付款条件</w:t>
      </w:r>
    </w:p>
    <w:p w14:paraId="72D0EAF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1、合同的签订：自采购中心中标（成交）通知书发出之日起15日内按时签约。</w:t>
      </w:r>
    </w:p>
    <w:p w14:paraId="0D9AF64A">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2、付款方式：合同签订生效后15个工作日内，支付合同全款的30%；实施完毕验收合格后15个工作日内，支付合同全款的60%；余款10%在质保期满后15个工作日内付清。</w:t>
      </w:r>
    </w:p>
    <w:p w14:paraId="469E48FE">
      <w:pPr>
        <w:keepNext w:val="0"/>
        <w:keepLines w:val="0"/>
        <w:pageBreakBefore w:val="0"/>
        <w:kinsoku/>
        <w:topLinePunct w:val="0"/>
        <w:autoSpaceDE/>
        <w:autoSpaceDN/>
        <w:bidi w:val="0"/>
        <w:spacing w:line="360" w:lineRule="auto"/>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br w:type="page"/>
      </w:r>
    </w:p>
    <w:p w14:paraId="63A026ED">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第四章</w:t>
      </w:r>
      <w:bookmarkStart w:id="10" w:name="_Toc43217893"/>
      <w:bookmarkStart w:id="11" w:name="_Toc38121794"/>
      <w:bookmarkStart w:id="12" w:name="_Toc37322565"/>
      <w:bookmarkStart w:id="13" w:name="_Toc85627670"/>
      <w:bookmarkStart w:id="14" w:name="_Toc182848996"/>
      <w:r>
        <w:rPr>
          <w:rFonts w:hint="eastAsia" w:ascii="Times New Roman" w:hAnsi="Times New Roman" w:eastAsia="宋体" w:cs="宋体"/>
          <w:color w:val="auto"/>
          <w:w w:val="80"/>
          <w:sz w:val="48"/>
          <w:szCs w:val="44"/>
          <w:highlight w:val="none"/>
        </w:rPr>
        <w:t xml:space="preserve"> 评审方法和程序</w:t>
      </w:r>
      <w:bookmarkEnd w:id="10"/>
      <w:bookmarkEnd w:id="11"/>
      <w:bookmarkEnd w:id="12"/>
      <w:bookmarkEnd w:id="13"/>
      <w:bookmarkEnd w:id="14"/>
    </w:p>
    <w:p w14:paraId="42F7245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bookmarkStart w:id="15" w:name="_Toc363573857"/>
      <w:bookmarkEnd w:id="15"/>
      <w:r>
        <w:rPr>
          <w:rFonts w:hint="eastAsia" w:ascii="Times New Roman" w:hAnsi="Times New Roman" w:eastAsia="宋体" w:cs="宋体"/>
          <w:b/>
          <w:bCs/>
          <w:color w:val="auto"/>
          <w:szCs w:val="24"/>
          <w:highlight w:val="none"/>
          <w:shd w:val="clear" w:color="auto" w:fill="FFFFFF"/>
        </w:rPr>
        <w:t>一、代理机构组织磋商</w:t>
      </w:r>
    </w:p>
    <w:p w14:paraId="13DD63E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1、本次竞争性磋商依据《中华人民共和国政府采购法》、《政府采购竞争性磋商采购人式管理暂行办法》及有关法规成立磋商小组。磋商小组由3人以上单数组成。</w:t>
      </w:r>
    </w:p>
    <w:p w14:paraId="15F63C2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2、磋商小组的职责：</w:t>
      </w:r>
    </w:p>
    <w:p w14:paraId="4F1397F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（1）磋商小组成员应当按照客观、公正、审慎的原则，根据磋商文件规定的评审程序、评审方法和评审标准进行独立评审。</w:t>
      </w:r>
    </w:p>
    <w:p w14:paraId="73A6820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（2）磋商小组成员应当遵守评审工作纪律，不得泄露评审情况和评审中获悉的商业秘密，对个人的评审意见承担法律责任；</w:t>
      </w:r>
    </w:p>
    <w:p w14:paraId="6EAA2C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（3）磋商小组成员在评审过程中发现供应商有行贿、提供虚假材料或者串通等违法行为的，应当及时向财政部门报告。</w:t>
      </w:r>
    </w:p>
    <w:p w14:paraId="66B679F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（4）磋商小组成员在评审过程中受到非法干涉的，应当及时向财政、监察等部门举报。</w:t>
      </w:r>
    </w:p>
    <w:p w14:paraId="0BB9E27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（5）配合采购单位答复供应商提出的质疑。</w:t>
      </w:r>
    </w:p>
    <w:p w14:paraId="587F1F1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3、评审有关记录由磋商小组成员签名，存档备查。</w:t>
      </w:r>
    </w:p>
    <w:p w14:paraId="015F39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4、供应商的法定代表人或被授权人须持身份证准时参加磋商开标会。</w:t>
      </w:r>
    </w:p>
    <w:p w14:paraId="27EFC6A3">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二、磋商的原则及方法</w:t>
      </w:r>
    </w:p>
    <w:p w14:paraId="51ED04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1、磋商小组依据《中华人民共和国政府采购法》、《政府采购竞争性磋商采购人式管理暂行办法》以及有关政府采购的相关法规，遵循</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公开、公平、公正、择优、信用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的原则进行磋商评审。</w:t>
      </w:r>
    </w:p>
    <w:p w14:paraId="0DB3DEC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2、磋商小组将按照竞争性磋商文件的规定，独立对每个进入打分程序的有效</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供应商的响应文件的技术部分以打分的形式进行评审和评价。技术分取算术平均值（计算结果均四舍五入保留两位小数）。</w:t>
      </w:r>
    </w:p>
    <w:p w14:paraId="2C17DB5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67FEC0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4、除非在磋商中磋商小组对采购单位需求内容作了调整增加，或对采购内容作了实质性变更，否则</w:t>
      </w:r>
      <w:r>
        <w:rPr>
          <w:rFonts w:hint="eastAsia" w:ascii="Times New Roman" w:hAnsi="Times New Roman" w:eastAsia="宋体" w:cs="宋体"/>
          <w:b/>
          <w:color w:val="auto"/>
          <w:sz w:val="24"/>
          <w:szCs w:val="24"/>
          <w:highlight w:val="none"/>
        </w:rPr>
        <w:t>采购单位不接受供应商高于自己前一轮的磋商报价</w:t>
      </w:r>
      <w:r>
        <w:rPr>
          <w:rFonts w:hint="eastAsia" w:ascii="Times New Roman" w:hAnsi="Times New Roman" w:eastAsia="宋体" w:cs="宋体"/>
          <w:color w:val="auto"/>
          <w:sz w:val="24"/>
          <w:szCs w:val="24"/>
          <w:highlight w:val="none"/>
        </w:rPr>
        <w:t>。</w:t>
      </w:r>
    </w:p>
    <w:p w14:paraId="25F9B61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5、对于在磋商顺利开始后至最终报价前，根据磋商情况退出磋商的供应商，须以书面形式说明退出磋商的原因，经磋商小组同意可以退出磋商。</w:t>
      </w:r>
    </w:p>
    <w:p w14:paraId="5C671DC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6、</w:t>
      </w:r>
      <w:r>
        <w:rPr>
          <w:rFonts w:hint="eastAsia" w:ascii="Times New Roman" w:hAnsi="Times New Roman" w:eastAsia="宋体"/>
          <w:color w:val="auto"/>
          <w:sz w:val="24"/>
          <w:szCs w:val="24"/>
          <w:highlight w:val="none"/>
        </w:rPr>
        <w:t>单位负责人为同一人或者存在直接控股、管理关系的不同供应商，都不得在同一采购项目相同标段中同时参加磋商，一经发现，将视同围标处理。</w:t>
      </w:r>
    </w:p>
    <w:p w14:paraId="220712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5F671AD9">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8、若采购过程中符合要求的供应商只有两家，则由磋商小组集体讨论决定是否继续进行竞争性磋商采购活动；若采购过程中符合要求的供应商只有一家，则终止本次竞争性磋商采购活动，重新开展采购活动。</w:t>
      </w:r>
    </w:p>
    <w:p w14:paraId="642EBA46">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三、磋商评定结果的方法</w:t>
      </w:r>
    </w:p>
    <w:p w14:paraId="1FA7A4F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b/>
          <w:color w:val="auto"/>
          <w:sz w:val="24"/>
          <w:szCs w:val="24"/>
          <w:highlight w:val="none"/>
          <w:u w:val="single"/>
        </w:rPr>
        <w:t>经磋商确定最终采购需求和提交最后报价的供应商后，</w:t>
      </w:r>
      <w:r>
        <w:rPr>
          <w:rFonts w:hint="eastAsia" w:ascii="Times New Roman" w:hAnsi="Times New Roman" w:eastAsia="宋体" w:cs="宋体"/>
          <w:color w:val="auto"/>
          <w:sz w:val="24"/>
          <w:szCs w:val="24"/>
          <w:highlight w:val="none"/>
        </w:rPr>
        <w:t>由磋商小组采用综合评分法</w:t>
      </w:r>
      <w:r>
        <w:rPr>
          <w:rFonts w:hint="eastAsia" w:ascii="Times New Roman" w:hAnsi="Times New Roman" w:eastAsia="宋体" w:cs="宋体"/>
          <w:b/>
          <w:color w:val="auto"/>
          <w:sz w:val="24"/>
          <w:szCs w:val="24"/>
          <w:highlight w:val="none"/>
          <w:u w:val="single"/>
        </w:rPr>
        <w:t>对提交最后报价的供应商的响应文件和最后报价</w:t>
      </w:r>
      <w:r>
        <w:rPr>
          <w:rFonts w:hint="eastAsia" w:ascii="Times New Roman" w:hAnsi="Times New Roman" w:eastAsia="宋体" w:cs="宋体"/>
          <w:color w:val="auto"/>
          <w:sz w:val="24"/>
          <w:szCs w:val="24"/>
          <w:highlight w:val="none"/>
        </w:rPr>
        <w:t>进行综合评分。</w:t>
      </w:r>
    </w:p>
    <w:p w14:paraId="68BA05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2、评审时，磋商小组各成员应当独立对每个有效响应的文件进行评价、打分，然后汇总每个供应商每项评分因素的得分（计算结果均四舍五入保留两位小数）。</w:t>
      </w:r>
    </w:p>
    <w:p w14:paraId="0452C9E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3、本次项目磋商的技术和报价评审总分值为100分。两部分评审因素比重如下：</w:t>
      </w:r>
    </w:p>
    <w:p w14:paraId="3031F85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技术分值占总分值的比重为</w:t>
      </w:r>
      <w:r>
        <w:rPr>
          <w:rFonts w:hint="eastAsia" w:ascii="Times New Roman" w:hAnsi="Times New Roman" w:eastAsia="宋体" w:cs="宋体"/>
          <w:b/>
          <w:color w:val="auto"/>
          <w:sz w:val="24"/>
          <w:szCs w:val="24"/>
          <w:highlight w:val="none"/>
          <w:u w:val="single"/>
          <w:lang w:val="en-US" w:eastAsia="zh-CN"/>
        </w:rPr>
        <w:t>70</w:t>
      </w:r>
      <w:r>
        <w:rPr>
          <w:rFonts w:hint="eastAsia" w:ascii="Times New Roman" w:hAnsi="Times New Roman" w:eastAsia="宋体" w:cs="宋体"/>
          <w:b/>
          <w:color w:val="auto"/>
          <w:sz w:val="24"/>
          <w:szCs w:val="24"/>
          <w:highlight w:val="none"/>
          <w:u w:val="single"/>
        </w:rPr>
        <w:t>%（权重）</w:t>
      </w:r>
      <w:r>
        <w:rPr>
          <w:rFonts w:hint="eastAsia" w:ascii="Times New Roman" w:hAnsi="Times New Roman" w:eastAsia="宋体" w:cs="宋体"/>
          <w:color w:val="auto"/>
          <w:sz w:val="24"/>
          <w:szCs w:val="24"/>
          <w:highlight w:val="none"/>
        </w:rPr>
        <w:t>（四舍五入保留两位小数）；</w:t>
      </w:r>
    </w:p>
    <w:p w14:paraId="1D2B31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报价分值占总分值的比重为</w:t>
      </w:r>
      <w:r>
        <w:rPr>
          <w:rFonts w:hint="eastAsia" w:ascii="Times New Roman" w:hAnsi="Times New Roman" w:eastAsia="宋体" w:cs="宋体"/>
          <w:b/>
          <w:color w:val="auto"/>
          <w:sz w:val="24"/>
          <w:szCs w:val="24"/>
          <w:highlight w:val="none"/>
          <w:u w:val="single"/>
          <w:lang w:val="en-US" w:eastAsia="zh-CN"/>
        </w:rPr>
        <w:t>30</w:t>
      </w:r>
      <w:r>
        <w:rPr>
          <w:rFonts w:hint="eastAsia" w:ascii="Times New Roman" w:hAnsi="Times New Roman" w:eastAsia="宋体" w:cs="宋体"/>
          <w:b/>
          <w:color w:val="auto"/>
          <w:sz w:val="24"/>
          <w:szCs w:val="24"/>
          <w:highlight w:val="none"/>
          <w:u w:val="single"/>
        </w:rPr>
        <w:t>%（权重）</w:t>
      </w:r>
      <w:r>
        <w:rPr>
          <w:rFonts w:hint="eastAsia" w:ascii="Times New Roman" w:hAnsi="Times New Roman" w:eastAsia="宋体" w:cs="宋体"/>
          <w:color w:val="auto"/>
          <w:sz w:val="24"/>
          <w:szCs w:val="24"/>
          <w:highlight w:val="none"/>
        </w:rPr>
        <w:t>（四舍五入保留两位小数）。</w:t>
      </w:r>
    </w:p>
    <w:p w14:paraId="2785C00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4、技术分按算术平均值计算，分值四舍五入保留两位小数。</w:t>
      </w:r>
    </w:p>
    <w:p w14:paraId="1CC32C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5、报价分统一采用低价优先法计算直接取得，与技术分相加为供应商的综合得分（四舍五入保留两位小数）。</w:t>
      </w:r>
    </w:p>
    <w:p w14:paraId="756F3D1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6、综合得分最高的供应商推荐为项目预成交人并出具评审磋商报告。</w:t>
      </w:r>
    </w:p>
    <w:p w14:paraId="2D67C28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7、确定成交候选人的特殊情况处理：</w:t>
      </w:r>
    </w:p>
    <w:p w14:paraId="47C4BA7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（1）若总分相同，则按最终报价响应得分高者优先中标。</w:t>
      </w:r>
    </w:p>
    <w:p w14:paraId="0DEF2D3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（2）若总分且最终报价响应得分相同，则采取现场抽签的方式确定（</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供应商的抽签顺序分别为各</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供应商递交响应文件签到顺序号）。</w:t>
      </w:r>
    </w:p>
    <w:p w14:paraId="3C3A1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8、磋商评审时，评委对评审的细则若有争议，由磋商小组集体讨论确定，并对未尽情况有最终解释权。</w:t>
      </w:r>
    </w:p>
    <w:p w14:paraId="1E0FF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9、对落标的供应商不做落标原因的解释。</w:t>
      </w:r>
    </w:p>
    <w:p w14:paraId="75D37F34">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四、综合评分评审标准</w:t>
      </w:r>
    </w:p>
    <w:p w14:paraId="392D728A">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（一）商务技术分：</w:t>
      </w:r>
      <w:r>
        <w:rPr>
          <w:rFonts w:hint="eastAsia" w:ascii="Times New Roman" w:hAnsi="Times New Roman" w:cs="宋体"/>
          <w:b/>
          <w:bCs/>
          <w:color w:val="auto"/>
          <w:szCs w:val="24"/>
          <w:highlight w:val="none"/>
          <w:shd w:val="clear" w:color="auto" w:fill="FFFFFF"/>
          <w:lang w:val="en-US" w:eastAsia="zh-CN"/>
        </w:rPr>
        <w:t>70</w:t>
      </w:r>
      <w:r>
        <w:rPr>
          <w:rFonts w:hint="eastAsia" w:ascii="Times New Roman" w:hAnsi="Times New Roman" w:eastAsia="宋体" w:cs="宋体"/>
          <w:b/>
          <w:bCs/>
          <w:color w:val="auto"/>
          <w:szCs w:val="24"/>
          <w:highlight w:val="none"/>
          <w:shd w:val="clear" w:color="auto" w:fill="FFFFFF"/>
        </w:rPr>
        <w:t>分</w:t>
      </w:r>
    </w:p>
    <w:tbl>
      <w:tblPr>
        <w:tblStyle w:val="2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05"/>
        <w:gridCol w:w="980"/>
        <w:gridCol w:w="6489"/>
      </w:tblGrid>
      <w:tr w14:paraId="3F62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39" w:type="dxa"/>
            <w:vAlign w:val="center"/>
          </w:tcPr>
          <w:p w14:paraId="6C87373D">
            <w:pPr>
              <w:keepNext w:val="0"/>
              <w:keepLines w:val="0"/>
              <w:pageBreakBefore w:val="0"/>
              <w:widowControl/>
              <w:kinsoku/>
              <w:topLinePunct w:val="0"/>
              <w:autoSpaceDE/>
              <w:autoSpaceDN/>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序号</w:t>
            </w:r>
          </w:p>
        </w:tc>
        <w:tc>
          <w:tcPr>
            <w:tcW w:w="1005" w:type="dxa"/>
            <w:vAlign w:val="center"/>
          </w:tcPr>
          <w:p w14:paraId="64B0640B">
            <w:pPr>
              <w:keepNext w:val="0"/>
              <w:keepLines w:val="0"/>
              <w:pageBreakBefore w:val="0"/>
              <w:widowControl/>
              <w:kinsoku/>
              <w:topLinePunct w:val="0"/>
              <w:autoSpaceDE/>
              <w:autoSpaceDN/>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名称</w:t>
            </w:r>
          </w:p>
        </w:tc>
        <w:tc>
          <w:tcPr>
            <w:tcW w:w="980" w:type="dxa"/>
            <w:vAlign w:val="center"/>
          </w:tcPr>
          <w:p w14:paraId="2019C0B0">
            <w:pPr>
              <w:keepNext w:val="0"/>
              <w:keepLines w:val="0"/>
              <w:pageBreakBefore w:val="0"/>
              <w:widowControl/>
              <w:kinsoku/>
              <w:topLinePunct w:val="0"/>
              <w:autoSpaceDE/>
              <w:autoSpaceDN/>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分值</w:t>
            </w:r>
          </w:p>
        </w:tc>
        <w:tc>
          <w:tcPr>
            <w:tcW w:w="6489" w:type="dxa"/>
            <w:vAlign w:val="center"/>
          </w:tcPr>
          <w:p w14:paraId="4D236636">
            <w:pPr>
              <w:keepNext w:val="0"/>
              <w:keepLines w:val="0"/>
              <w:pageBreakBefore w:val="0"/>
              <w:widowControl/>
              <w:kinsoku/>
              <w:topLinePunct w:val="0"/>
              <w:autoSpaceDE/>
              <w:autoSpaceDN/>
              <w:bidi w:val="0"/>
              <w:spacing w:line="360" w:lineRule="auto"/>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评审标准</w:t>
            </w:r>
          </w:p>
        </w:tc>
      </w:tr>
      <w:tr w14:paraId="02B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839" w:type="dxa"/>
            <w:vAlign w:val="center"/>
          </w:tcPr>
          <w:p w14:paraId="4A49D869">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05" w:type="dxa"/>
            <w:vAlign w:val="center"/>
          </w:tcPr>
          <w:p w14:paraId="275BB793">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技术参数要求</w:t>
            </w:r>
          </w:p>
        </w:tc>
        <w:tc>
          <w:tcPr>
            <w:tcW w:w="980" w:type="dxa"/>
            <w:vAlign w:val="center"/>
          </w:tcPr>
          <w:p w14:paraId="00775BBB">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6489" w:type="dxa"/>
            <w:vAlign w:val="center"/>
          </w:tcPr>
          <w:p w14:paraId="1C6DB8BB">
            <w:pPr>
              <w:keepNext w:val="0"/>
              <w:keepLines w:val="0"/>
              <w:pageBreakBefore w:val="0"/>
              <w:widowControl/>
              <w:kinsoku/>
              <w:topLinePunct w:val="0"/>
              <w:autoSpaceDE/>
              <w:autoSpaceDN/>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对设备的产品技术参数进行打分，技术参数要求进行逐条应答，完全对应采购文件设备的产品技术参数要求得28分。其中标★为核心指标，不允许负偏离，如出现负偏离</w:t>
            </w:r>
            <w:r>
              <w:rPr>
                <w:rFonts w:hint="eastAsia" w:ascii="宋体" w:hAnsi="宋体" w:eastAsia="宋体" w:cs="宋体"/>
                <w:kern w:val="0"/>
                <w:sz w:val="24"/>
                <w:szCs w:val="24"/>
                <w:lang w:eastAsia="zh-CN"/>
              </w:rPr>
              <w:t>作</w:t>
            </w:r>
            <w:r>
              <w:rPr>
                <w:rFonts w:hint="eastAsia" w:ascii="宋体" w:hAnsi="宋体" w:eastAsia="宋体" w:cs="宋体"/>
                <w:kern w:val="0"/>
                <w:sz w:val="24"/>
                <w:szCs w:val="24"/>
              </w:rPr>
              <w:t>无效响应处理；▲号项为重要指标项目，一项不满足扣2分；其他项不满足的每项扣1分；扣完为止，正偏离不加分。（需按要求提供相关证明材料或者截图的，证明材料或者功能截图需要与招标文件描述功能吻合，</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时未提供相关证明材料或功能截图不符合要求者，视为负偏离)</w:t>
            </w:r>
          </w:p>
        </w:tc>
      </w:tr>
      <w:tr w14:paraId="08A1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839" w:type="dxa"/>
            <w:vMerge w:val="restart"/>
            <w:vAlign w:val="center"/>
          </w:tcPr>
          <w:p w14:paraId="4C85B83B">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05" w:type="dxa"/>
            <w:vMerge w:val="restart"/>
            <w:vAlign w:val="center"/>
          </w:tcPr>
          <w:p w14:paraId="058B06E8">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公司</w:t>
            </w:r>
          </w:p>
          <w:p w14:paraId="566BAF86">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实力</w:t>
            </w:r>
          </w:p>
        </w:tc>
        <w:tc>
          <w:tcPr>
            <w:tcW w:w="980" w:type="dxa"/>
            <w:vAlign w:val="center"/>
          </w:tcPr>
          <w:p w14:paraId="35DBABF3">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489" w:type="dxa"/>
            <w:vAlign w:val="center"/>
          </w:tcPr>
          <w:p w14:paraId="55C53362">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响应供应商</w:t>
            </w:r>
            <w:r>
              <w:rPr>
                <w:rFonts w:hint="eastAsia" w:ascii="宋体" w:hAnsi="宋体" w:eastAsia="宋体" w:cs="宋体"/>
                <w:kern w:val="0"/>
                <w:sz w:val="24"/>
                <w:szCs w:val="24"/>
              </w:rPr>
              <w:t>具有有效期内的信息技术服务标准（ITSS）资质三级及以上，</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时提供https://www.itss.cn/web/itss/c/xxcx/cert（官方查询网站）有效截图证明材料，得3分。</w:t>
            </w:r>
          </w:p>
          <w:p w14:paraId="01BA5521">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响应供应商</w:t>
            </w:r>
            <w:r>
              <w:rPr>
                <w:rFonts w:hint="eastAsia" w:ascii="宋体" w:hAnsi="宋体" w:eastAsia="宋体" w:cs="宋体"/>
                <w:kern w:val="0"/>
                <w:sz w:val="24"/>
                <w:szCs w:val="24"/>
              </w:rPr>
              <w:t>具有有效期内的信息安全服务资质认证证书（CCRC）资质，得3分。</w:t>
            </w:r>
          </w:p>
          <w:p w14:paraId="1FDCB3D4">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以上均需提供证书原件扫描件</w:t>
            </w:r>
            <w:r>
              <w:rPr>
                <w:rFonts w:hint="eastAsia" w:ascii="宋体" w:hAnsi="宋体" w:eastAsia="宋体" w:cs="宋体"/>
                <w:color w:val="auto"/>
                <w:kern w:val="0"/>
                <w:sz w:val="24"/>
                <w:szCs w:val="24"/>
                <w:lang w:eastAsia="zh-CN"/>
              </w:rPr>
              <w:t>并加盖公章</w:t>
            </w:r>
            <w:r>
              <w:rPr>
                <w:rFonts w:hint="eastAsia" w:ascii="宋体" w:hAnsi="宋体" w:eastAsia="宋体" w:cs="宋体"/>
                <w:kern w:val="0"/>
                <w:sz w:val="24"/>
                <w:szCs w:val="24"/>
              </w:rPr>
              <w:t>，未提供不得分。</w:t>
            </w:r>
          </w:p>
        </w:tc>
      </w:tr>
      <w:tr w14:paraId="2B8D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39" w:type="dxa"/>
            <w:vMerge w:val="continue"/>
            <w:vAlign w:val="center"/>
          </w:tcPr>
          <w:p w14:paraId="17DD228E">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p>
        </w:tc>
        <w:tc>
          <w:tcPr>
            <w:tcW w:w="1005" w:type="dxa"/>
            <w:vMerge w:val="continue"/>
            <w:vAlign w:val="center"/>
          </w:tcPr>
          <w:p w14:paraId="7681AFAF">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p>
        </w:tc>
        <w:tc>
          <w:tcPr>
            <w:tcW w:w="980" w:type="dxa"/>
            <w:vAlign w:val="center"/>
          </w:tcPr>
          <w:p w14:paraId="21479959">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489" w:type="dxa"/>
            <w:vAlign w:val="center"/>
          </w:tcPr>
          <w:p w14:paraId="09B55AB6">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1、项目支撑团队具有注册信息安全工程师证书（CISP）每提供一个，可得1分，本项最多可得2分。</w:t>
            </w:r>
          </w:p>
          <w:p w14:paraId="2F384E00">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项目支撑团队具有CISAW信息安全保障(安全集成)人员认证证书，得2分；具有CISAW信息安全保障(风险管理)人员认证证书，得2分；具有CISAW信息安全保障(安全运维)人员认证证书，得2分；本项最多可得6分。（备注：项目支撑团队相同人员持多证的，只按一个证书计分）</w:t>
            </w:r>
          </w:p>
          <w:p w14:paraId="5B2B1599">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3、项目支撑团队具有系统集成项目管理工程师证书，每提供一个，可得1分，本项最多可得2分。</w:t>
            </w:r>
          </w:p>
          <w:p w14:paraId="3156B16F">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（以上证书人员需均须为</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供应商在职员工，需提供</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供应商为其缴纳</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以后任意一个月</w:t>
            </w:r>
            <w:r>
              <w:rPr>
                <w:rFonts w:hint="eastAsia" w:ascii="宋体" w:hAnsi="宋体" w:eastAsia="宋体" w:cs="宋体"/>
                <w:kern w:val="0"/>
                <w:sz w:val="24"/>
                <w:szCs w:val="24"/>
              </w:rPr>
              <w:t>的社保证明材料及工程师证书复印件加盖公章，缺一不可）</w:t>
            </w:r>
          </w:p>
        </w:tc>
      </w:tr>
      <w:tr w14:paraId="324B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Align w:val="center"/>
          </w:tcPr>
          <w:p w14:paraId="42CE0FEE">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005" w:type="dxa"/>
            <w:vAlign w:val="center"/>
          </w:tcPr>
          <w:p w14:paraId="37E25673">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产品</w:t>
            </w:r>
          </w:p>
          <w:p w14:paraId="2BC9B0F5">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资质</w:t>
            </w:r>
          </w:p>
        </w:tc>
        <w:tc>
          <w:tcPr>
            <w:tcW w:w="980" w:type="dxa"/>
            <w:vAlign w:val="center"/>
          </w:tcPr>
          <w:p w14:paraId="46F5827C">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489" w:type="dxa"/>
            <w:vAlign w:val="center"/>
          </w:tcPr>
          <w:p w14:paraId="373062E3">
            <w:pPr>
              <w:pStyle w:val="62"/>
              <w:keepNext w:val="0"/>
              <w:keepLines w:val="0"/>
              <w:pageBreakBefore w:val="0"/>
              <w:kinsoku/>
              <w:topLinePunct w:val="0"/>
              <w:autoSpaceDE/>
              <w:autoSpaceDN/>
              <w:bidi w:val="0"/>
              <w:adjustRightInd w:val="0"/>
              <w:snapToGrid w:val="0"/>
              <w:spacing w:line="360" w:lineRule="auto"/>
              <w:ind w:left="0"/>
              <w:rPr>
                <w:rFonts w:hint="eastAsia" w:ascii="宋体" w:hAnsi="宋体" w:eastAsia="宋体" w:cs="宋体"/>
                <w:bCs/>
                <w:sz w:val="24"/>
                <w:szCs w:val="24"/>
                <w:lang w:eastAsia="zh-CN"/>
              </w:rPr>
            </w:pPr>
            <w:r>
              <w:rPr>
                <w:rFonts w:hint="eastAsia" w:ascii="宋体" w:hAnsi="宋体" w:eastAsia="宋体" w:cs="宋体"/>
                <w:bCs/>
                <w:sz w:val="24"/>
                <w:szCs w:val="24"/>
                <w:lang w:eastAsia="zh-CN"/>
              </w:rPr>
              <w:t>1、为了保证国家传染病智能监测预警前置软件安全稳定运行，所投前置机服务器品牌具有中科软兼容性认证证书材料的得3分；</w:t>
            </w:r>
          </w:p>
          <w:p w14:paraId="3F6E7934">
            <w:pPr>
              <w:pStyle w:val="62"/>
              <w:keepNext w:val="0"/>
              <w:keepLines w:val="0"/>
              <w:pageBreakBefore w:val="0"/>
              <w:kinsoku/>
              <w:topLinePunct w:val="0"/>
              <w:autoSpaceDE/>
              <w:autoSpaceDN/>
              <w:bidi w:val="0"/>
              <w:adjustRightInd w:val="0"/>
              <w:snapToGrid w:val="0"/>
              <w:spacing w:line="360" w:lineRule="auto"/>
              <w:ind w:left="0"/>
              <w:rPr>
                <w:rFonts w:hint="eastAsia" w:ascii="宋体" w:hAnsi="宋体" w:eastAsia="宋体" w:cs="宋体"/>
                <w:bCs/>
                <w:sz w:val="24"/>
                <w:szCs w:val="24"/>
                <w:lang w:eastAsia="zh-CN"/>
              </w:rPr>
            </w:pPr>
            <w:r>
              <w:rPr>
                <w:rFonts w:hint="eastAsia" w:ascii="宋体" w:hAnsi="宋体" w:eastAsia="宋体" w:cs="宋体"/>
                <w:bCs/>
                <w:sz w:val="24"/>
                <w:szCs w:val="24"/>
                <w:lang w:eastAsia="zh-CN"/>
              </w:rPr>
              <w:t>2、服务器虚拟化软件具备国内第三方权威机构（如中国信息通信研究院、中国电子技术标准化研究院等）依据《信息技术应用创新服务器虚拟化软件技术规范》或《信息技术应用创新虚拟化云平台技术规范》等出具的产品质量测试报告，且指标通过率要求达100%的得2分。（提供测试报告关键页截图，包括测试依据的技术规范、产品测试大纲、指标通过率说明）</w:t>
            </w:r>
          </w:p>
        </w:tc>
      </w:tr>
      <w:tr w14:paraId="0C29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39" w:type="dxa"/>
            <w:vAlign w:val="center"/>
          </w:tcPr>
          <w:p w14:paraId="2519BD63">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005" w:type="dxa"/>
            <w:vAlign w:val="center"/>
          </w:tcPr>
          <w:p w14:paraId="33D1C593">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业绩</w:t>
            </w:r>
          </w:p>
        </w:tc>
        <w:tc>
          <w:tcPr>
            <w:tcW w:w="980" w:type="dxa"/>
            <w:vAlign w:val="center"/>
          </w:tcPr>
          <w:p w14:paraId="0F891552">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489" w:type="dxa"/>
            <w:vAlign w:val="center"/>
          </w:tcPr>
          <w:p w14:paraId="46288A7C">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响应供应商</w:t>
            </w:r>
            <w:r>
              <w:rPr>
                <w:rFonts w:hint="eastAsia" w:ascii="宋体" w:hAnsi="宋体" w:eastAsia="宋体" w:cs="宋体"/>
                <w:kern w:val="0"/>
                <w:sz w:val="24"/>
                <w:szCs w:val="24"/>
              </w:rPr>
              <w:t>需提供2021年1月1日以来（以合同签订日期为准），类似的产品的销售案例，提供合同复印件</w:t>
            </w:r>
            <w:r>
              <w:rPr>
                <w:rFonts w:hint="eastAsia" w:ascii="宋体" w:hAnsi="宋体" w:eastAsia="宋体" w:cs="宋体"/>
                <w:b/>
                <w:bCs/>
                <w:color w:val="auto"/>
                <w:kern w:val="0"/>
                <w:sz w:val="24"/>
                <w:szCs w:val="24"/>
                <w:u w:val="single"/>
              </w:rPr>
              <w:t>及用户联系方式</w:t>
            </w:r>
            <w:r>
              <w:rPr>
                <w:rFonts w:hint="eastAsia" w:ascii="宋体" w:hAnsi="宋体" w:eastAsia="宋体" w:cs="宋体"/>
                <w:kern w:val="0"/>
                <w:sz w:val="24"/>
                <w:szCs w:val="24"/>
              </w:rPr>
              <w:t>。每提供一份案例得1分，最多得3分。（提供供应商盖章的合同原件扫描件</w:t>
            </w:r>
            <w:r>
              <w:rPr>
                <w:rFonts w:hint="eastAsia" w:ascii="宋体" w:hAnsi="宋体" w:eastAsia="宋体" w:cs="宋体"/>
                <w:kern w:val="0"/>
                <w:sz w:val="24"/>
                <w:szCs w:val="24"/>
                <w:lang w:eastAsia="zh-CN"/>
              </w:rPr>
              <w:t>并加盖公章</w:t>
            </w:r>
            <w:r>
              <w:rPr>
                <w:rFonts w:hint="eastAsia" w:ascii="宋体" w:hAnsi="宋体" w:eastAsia="宋体" w:cs="宋体"/>
                <w:kern w:val="0"/>
                <w:sz w:val="24"/>
                <w:szCs w:val="24"/>
              </w:rPr>
              <w:t>，以合同签订时间为准。）</w:t>
            </w:r>
            <w:r>
              <w:rPr>
                <w:rStyle w:val="72"/>
                <w:rFonts w:hint="eastAsia" w:ascii="宋体" w:hAnsi="宋体" w:eastAsia="宋体" w:cs="宋体"/>
                <w:b/>
                <w:bCs/>
                <w:color w:val="auto"/>
                <w:sz w:val="24"/>
                <w:szCs w:val="24"/>
                <w:lang w:bidi="ar"/>
              </w:rPr>
              <w:t>未提供不得分，同一业主业绩不得重复得分。</w:t>
            </w:r>
          </w:p>
        </w:tc>
      </w:tr>
      <w:tr w14:paraId="6E8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39" w:type="dxa"/>
            <w:vAlign w:val="center"/>
          </w:tcPr>
          <w:p w14:paraId="004912A1">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005" w:type="dxa"/>
            <w:vAlign w:val="center"/>
          </w:tcPr>
          <w:p w14:paraId="45D48426">
            <w:pPr>
              <w:keepNext w:val="0"/>
              <w:keepLines w:val="0"/>
              <w:pageBreakBefore w:val="0"/>
              <w:widowControl/>
              <w:kinsoku/>
              <w:topLinePunct w:val="0"/>
              <w:autoSpaceDE/>
              <w:autoSpaceDN/>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项目实施方案</w:t>
            </w:r>
          </w:p>
        </w:tc>
        <w:tc>
          <w:tcPr>
            <w:tcW w:w="980" w:type="dxa"/>
            <w:vAlign w:val="center"/>
          </w:tcPr>
          <w:p w14:paraId="3B53D4A7">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489" w:type="dxa"/>
            <w:vAlign w:val="center"/>
          </w:tcPr>
          <w:p w14:paraId="33DCFF2C">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各响应单位应积极响应采购文件要求，在出具的项目建设实施方案中对采购方现有设备、物理环境以及新增设备进行有效规划设计。评委根据响应单位对项目建设需求现状的理解程度及本项目方案和产品各功能描述的详细、到位程度，理解透彻，进行分析比较、评议、综合打分。</w:t>
            </w:r>
          </w:p>
          <w:p w14:paraId="533E6B9C">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方案需求完善，设计合理，项目实施计划完整的得8分；</w:t>
            </w:r>
          </w:p>
          <w:p w14:paraId="544C0F08">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方案需求较为完善，设计且较为可行，具有项目实施计划的得5分；</w:t>
            </w:r>
            <w:bookmarkStart w:id="16" w:name="_GoBack"/>
            <w:bookmarkEnd w:id="16"/>
          </w:p>
          <w:p w14:paraId="2C117B94">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方案需求一般，设计一般，项目实施计划一般的得2分；</w:t>
            </w:r>
          </w:p>
          <w:p w14:paraId="45CCD665">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方案需求粗糙，设计不合理或不可行，项目实施计划不完整的得1分；</w:t>
            </w:r>
          </w:p>
          <w:p w14:paraId="0F785C3F">
            <w:pPr>
              <w:pStyle w:val="62"/>
              <w:keepNext w:val="0"/>
              <w:keepLines w:val="0"/>
              <w:pageBreakBefore w:val="0"/>
              <w:kinsoku/>
              <w:topLinePunct w:val="0"/>
              <w:autoSpaceDE/>
              <w:autoSpaceDN/>
              <w:bidi w:val="0"/>
              <w:spacing w:line="360" w:lineRule="auto"/>
              <w:ind w:left="0"/>
              <w:rPr>
                <w:rFonts w:hint="eastAsia" w:ascii="宋体" w:hAnsi="宋体" w:eastAsia="宋体" w:cs="宋体"/>
                <w:sz w:val="24"/>
                <w:szCs w:val="24"/>
                <w:lang w:eastAsia="zh-CN"/>
              </w:rPr>
            </w:pPr>
            <w:r>
              <w:rPr>
                <w:rFonts w:hint="eastAsia" w:ascii="宋体" w:hAnsi="宋体" w:eastAsia="宋体" w:cs="宋体"/>
                <w:sz w:val="24"/>
                <w:szCs w:val="24"/>
                <w:lang w:eastAsia="zh-CN"/>
              </w:rPr>
              <w:t>未提供不得分。</w:t>
            </w:r>
          </w:p>
        </w:tc>
      </w:tr>
      <w:tr w14:paraId="4A01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9" w:type="dxa"/>
            <w:vAlign w:val="center"/>
          </w:tcPr>
          <w:p w14:paraId="185C9F1E">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005" w:type="dxa"/>
            <w:vAlign w:val="center"/>
          </w:tcPr>
          <w:p w14:paraId="090AD408">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售后</w:t>
            </w:r>
          </w:p>
          <w:p w14:paraId="509C094C">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w:t>
            </w:r>
          </w:p>
        </w:tc>
        <w:tc>
          <w:tcPr>
            <w:tcW w:w="980" w:type="dxa"/>
            <w:vAlign w:val="center"/>
          </w:tcPr>
          <w:p w14:paraId="723B20E2">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489" w:type="dxa"/>
            <w:vAlign w:val="center"/>
          </w:tcPr>
          <w:p w14:paraId="38F0B1E3">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1、由评委根据</w:t>
            </w:r>
            <w:r>
              <w:rPr>
                <w:rFonts w:hint="eastAsia" w:ascii="宋体" w:hAnsi="宋体" w:eastAsia="宋体" w:cs="宋体"/>
                <w:sz w:val="24"/>
                <w:szCs w:val="24"/>
                <w:lang w:eastAsia="zh-CN"/>
              </w:rPr>
              <w:t>响应单位</w:t>
            </w:r>
            <w:r>
              <w:rPr>
                <w:rFonts w:hint="eastAsia" w:ascii="宋体" w:hAnsi="宋体" w:eastAsia="宋体" w:cs="宋体"/>
                <w:kern w:val="0"/>
                <w:sz w:val="24"/>
                <w:szCs w:val="24"/>
              </w:rPr>
              <w:t>提供的售后服务方案、服务体系、服务范围等内容以及故障解决方案、响应时间、应急处理方案、专业技术人员保障等进行打分。方案全面、响应及时得7分；方案较全面、响应较及时得4分；方案粗糙，响应不够及时的1分；未提供不得分。</w:t>
            </w:r>
          </w:p>
          <w:p w14:paraId="2BB78578">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lang w:eastAsia="zh-CN"/>
              </w:rPr>
              <w:t>响应单位</w:t>
            </w:r>
            <w:r>
              <w:rPr>
                <w:rFonts w:hint="eastAsia" w:ascii="宋体" w:hAnsi="宋体" w:eastAsia="宋体" w:cs="宋体"/>
                <w:kern w:val="0"/>
                <w:sz w:val="24"/>
                <w:szCs w:val="24"/>
              </w:rPr>
              <w:t>具备高效及时的响应服务能力，提供详细的售后技术支持人员姓名、联系方式、常驻办公地点等信息，同时对到达现场处理故障的响应时间进行承诺，承诺1小时内到达的可得2分；2小时内到达的可得1分；超过2小时到达的或未提供的承诺函及相关证明材料的不得分。</w:t>
            </w:r>
          </w:p>
        </w:tc>
      </w:tr>
      <w:tr w14:paraId="043E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9" w:type="dxa"/>
            <w:vAlign w:val="center"/>
          </w:tcPr>
          <w:p w14:paraId="1318A652">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005" w:type="dxa"/>
            <w:vAlign w:val="center"/>
          </w:tcPr>
          <w:p w14:paraId="77E72BBC">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节能</w:t>
            </w:r>
          </w:p>
          <w:p w14:paraId="7B532EEF">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环保</w:t>
            </w:r>
          </w:p>
        </w:tc>
        <w:tc>
          <w:tcPr>
            <w:tcW w:w="980" w:type="dxa"/>
            <w:vAlign w:val="center"/>
          </w:tcPr>
          <w:p w14:paraId="5EF41AB5">
            <w:pPr>
              <w:keepNext w:val="0"/>
              <w:keepLines w:val="0"/>
              <w:pageBreakBefore w:val="0"/>
              <w:widowControl/>
              <w:kinsoku/>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489" w:type="dxa"/>
            <w:vAlign w:val="center"/>
          </w:tcPr>
          <w:p w14:paraId="514C79BA">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产品属于财政部、国家发改委公布的“节能产品品目清单”范围内的，</w:t>
            </w:r>
            <w:r>
              <w:rPr>
                <w:rFonts w:hint="eastAsia" w:ascii="宋体" w:hAnsi="宋体" w:eastAsia="宋体" w:cs="宋体"/>
                <w:sz w:val="24"/>
                <w:szCs w:val="24"/>
                <w:lang w:eastAsia="zh-CN"/>
              </w:rPr>
              <w:t>响应单位</w:t>
            </w:r>
            <w:r>
              <w:rPr>
                <w:rFonts w:hint="eastAsia" w:ascii="宋体" w:hAnsi="宋体" w:eastAsia="宋体" w:cs="宋体"/>
                <w:kern w:val="0"/>
                <w:sz w:val="24"/>
                <w:szCs w:val="24"/>
              </w:rPr>
              <w:t>提供国家确定的认证机构出具的、处于有效期之内的该节能产品认证证书复印件的，有1个得0.5分，最多得0.5分。如</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产品均属于政府强制采购节能产品品目清单范围内，本项不得分。</w:t>
            </w:r>
          </w:p>
          <w:p w14:paraId="45DA3266">
            <w:pPr>
              <w:keepNext w:val="0"/>
              <w:keepLines w:val="0"/>
              <w:pageBreakBefore w:val="0"/>
              <w:widowControl/>
              <w:kinsoku/>
              <w:topLinePunct w:val="0"/>
              <w:autoSpaceDE/>
              <w:autoSpaceDN/>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lang w:eastAsia="zh-CN"/>
              </w:rPr>
              <w:t>响应</w:t>
            </w:r>
            <w:r>
              <w:rPr>
                <w:rFonts w:hint="eastAsia" w:ascii="宋体" w:hAnsi="宋体" w:eastAsia="宋体" w:cs="宋体"/>
                <w:kern w:val="0"/>
                <w:sz w:val="24"/>
                <w:szCs w:val="24"/>
              </w:rPr>
              <w:t>产品属于财政部、生态环境部公布的“环境标志产品品目清单”范围内的，</w:t>
            </w:r>
            <w:r>
              <w:rPr>
                <w:rFonts w:hint="eastAsia" w:ascii="宋体" w:hAnsi="宋体" w:eastAsia="宋体" w:cs="宋体"/>
                <w:sz w:val="24"/>
                <w:szCs w:val="24"/>
                <w:lang w:eastAsia="zh-CN"/>
              </w:rPr>
              <w:t>响应单位</w:t>
            </w:r>
            <w:r>
              <w:rPr>
                <w:rFonts w:hint="eastAsia" w:ascii="宋体" w:hAnsi="宋体" w:eastAsia="宋体" w:cs="宋体"/>
                <w:kern w:val="0"/>
                <w:sz w:val="24"/>
                <w:szCs w:val="24"/>
              </w:rPr>
              <w:t>提供国家确定的认证机构出具的、处于有效期内的该环保产品认证证书复印件的，有1个得0.5分，最多得0.5分。</w:t>
            </w:r>
          </w:p>
        </w:tc>
      </w:tr>
    </w:tbl>
    <w:p w14:paraId="3320B4D1">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rPr>
        <w:t>评委依据磋商文件载明的方法评分，评分四舍五入精确到小数点后两位。</w:t>
      </w:r>
    </w:p>
    <w:p w14:paraId="37C42353">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rPr>
        <w:t>响应供应商按照</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评分标准表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中的打分要求及顺序提供相关材料，</w:t>
      </w:r>
      <w:r>
        <w:rPr>
          <w:rFonts w:hint="eastAsia" w:ascii="Times New Roman" w:hAnsi="Times New Roman" w:eastAsia="宋体" w:cs="宋体"/>
          <w:bCs/>
          <w:color w:val="auto"/>
          <w:kern w:val="0"/>
          <w:sz w:val="24"/>
          <w:szCs w:val="24"/>
          <w:highlight w:val="none"/>
        </w:rPr>
        <w:t>并请编制目录及页码，以最大限度的避免造成评委误判或漏判。</w:t>
      </w:r>
    </w:p>
    <w:p w14:paraId="1D0B7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bCs/>
          <w:color w:val="auto"/>
          <w:kern w:val="0"/>
          <w:sz w:val="24"/>
          <w:szCs w:val="24"/>
          <w:highlight w:val="none"/>
          <w:lang w:val="en-US" w:eastAsia="zh-CN"/>
        </w:rPr>
        <w:t>3</w:t>
      </w:r>
      <w:r>
        <w:rPr>
          <w:rFonts w:hint="eastAsia" w:ascii="Times New Roman" w:hAnsi="Times New Roman" w:eastAsia="宋体" w:cs="宋体"/>
          <w:bCs/>
          <w:color w:val="auto"/>
          <w:kern w:val="0"/>
          <w:sz w:val="24"/>
          <w:szCs w:val="24"/>
          <w:highlight w:val="none"/>
          <w:lang w:eastAsia="zh-CN"/>
        </w:rPr>
        <w:t>、</w:t>
      </w:r>
      <w:r>
        <w:rPr>
          <w:rFonts w:hint="eastAsia" w:ascii="Times New Roman" w:hAnsi="Times New Roman" w:eastAsia="宋体" w:cs="宋体"/>
          <w:b/>
          <w:color w:val="auto"/>
          <w:sz w:val="24"/>
          <w:szCs w:val="24"/>
          <w:highlight w:val="none"/>
        </w:rPr>
        <w:t>以上证明材料提供原件复印件，复印件不清晰或关键内容无法辨识所引起的后果由响应供应商自行承担。</w:t>
      </w:r>
    </w:p>
    <w:p w14:paraId="5A1E0713">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（二）</w:t>
      </w:r>
      <w:r>
        <w:rPr>
          <w:rFonts w:hint="eastAsia" w:ascii="Times New Roman" w:hAnsi="Times New Roman" w:eastAsia="宋体" w:cs="宋体"/>
          <w:b/>
          <w:bCs/>
          <w:color w:val="auto"/>
          <w:szCs w:val="24"/>
          <w:highlight w:val="none"/>
          <w:shd w:val="clear" w:color="auto" w:fill="FFFFFF"/>
          <w:lang w:val="zh-CN"/>
        </w:rPr>
        <w:t>价格分</w:t>
      </w:r>
      <w:r>
        <w:rPr>
          <w:rFonts w:hint="eastAsia" w:ascii="Times New Roman" w:hAnsi="Times New Roman" w:eastAsia="宋体" w:cs="宋体"/>
          <w:b/>
          <w:bCs/>
          <w:color w:val="auto"/>
          <w:szCs w:val="24"/>
          <w:highlight w:val="none"/>
          <w:shd w:val="clear" w:color="auto" w:fill="FFFFFF"/>
        </w:rPr>
        <w:t>：</w:t>
      </w:r>
      <w:r>
        <w:rPr>
          <w:rFonts w:hint="eastAsia" w:ascii="Times New Roman" w:hAnsi="Times New Roman" w:cs="宋体"/>
          <w:b/>
          <w:bCs/>
          <w:color w:val="auto"/>
          <w:szCs w:val="24"/>
          <w:highlight w:val="none"/>
          <w:shd w:val="clear" w:color="auto" w:fill="FFFFFF"/>
          <w:lang w:val="en-US" w:eastAsia="zh-CN"/>
        </w:rPr>
        <w:t>30</w:t>
      </w:r>
      <w:r>
        <w:rPr>
          <w:rFonts w:hint="eastAsia" w:ascii="Times New Roman" w:hAnsi="Times New Roman" w:eastAsia="宋体" w:cs="宋体"/>
          <w:b/>
          <w:bCs/>
          <w:color w:val="auto"/>
          <w:szCs w:val="24"/>
          <w:highlight w:val="none"/>
          <w:shd w:val="clear" w:color="auto" w:fill="FFFFFF"/>
        </w:rPr>
        <w:t>分</w:t>
      </w:r>
    </w:p>
    <w:p w14:paraId="245A5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76BF07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磋商报价得分=（磋商基准价/最后磋商报价）×</w:t>
      </w:r>
      <w:r>
        <w:rPr>
          <w:rFonts w:hint="eastAsia" w:ascii="Times New Roman" w:hAnsi="Times New Roman" w:eastAsia="宋体" w:cs="宋体"/>
          <w:color w:val="auto"/>
          <w:sz w:val="24"/>
          <w:szCs w:val="24"/>
          <w:highlight w:val="none"/>
          <w:lang w:val="en-US" w:eastAsia="zh-CN"/>
        </w:rPr>
        <w:t>30</w:t>
      </w:r>
      <w:r>
        <w:rPr>
          <w:rFonts w:hint="eastAsia" w:ascii="Times New Roman" w:hAnsi="Times New Roman" w:eastAsia="宋体" w:cs="宋体"/>
          <w:color w:val="auto"/>
          <w:sz w:val="24"/>
          <w:szCs w:val="24"/>
          <w:highlight w:val="none"/>
        </w:rPr>
        <w:t>%×100。</w:t>
      </w:r>
    </w:p>
    <w:p w14:paraId="24683563">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如评标委员会认为</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人</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价格严重偏离市场价，将取消</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人价格分得分。</w:t>
      </w:r>
    </w:p>
    <w:p w14:paraId="73B8BDCD">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五、出现下列情形之一的，作无效标处理</w:t>
      </w:r>
    </w:p>
    <w:p w14:paraId="7D9A84F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1、响应文件未按规定要求密封、签署、盖章及主要资料不齐全的；</w:t>
      </w:r>
    </w:p>
    <w:p w14:paraId="16FF7D5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2、响应文件的资料有虚报或者谎报的；</w:t>
      </w:r>
    </w:p>
    <w:p w14:paraId="491C1A2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3、响应文件中资格审查文件及技术响应文件出现磋商报价的内容；</w:t>
      </w:r>
    </w:p>
    <w:p w14:paraId="6BBBF4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4、不具备磋商文件规定的资格要求的；</w:t>
      </w:r>
    </w:p>
    <w:p w14:paraId="4A3157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5、响应文件有重大漏项或重大不合理的；</w:t>
      </w:r>
    </w:p>
    <w:p w14:paraId="7F36F42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6、项目技术、方案不满足项目需求中的要求，有重大偏离或保留的；</w:t>
      </w:r>
    </w:p>
    <w:p w14:paraId="1C44816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7、磋商响应报价超出项目预算的；</w:t>
      </w:r>
    </w:p>
    <w:p w14:paraId="7A045F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8、被认定为低于成本报价磋商竞标的；</w:t>
      </w:r>
    </w:p>
    <w:p w14:paraId="0AF129C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9</w:t>
      </w:r>
      <w:r>
        <w:rPr>
          <w:rFonts w:hint="eastAsia" w:ascii="Times New Roman" w:hAnsi="Times New Roman" w:eastAsia="宋体" w:cs="宋体"/>
          <w:color w:val="auto"/>
          <w:sz w:val="24"/>
          <w:szCs w:val="24"/>
          <w:highlight w:val="none"/>
        </w:rPr>
        <w:t>、不符合法律、法规和磋商文件中规定的其他实质性响应要求的；</w:t>
      </w:r>
    </w:p>
    <w:p w14:paraId="6E7BCF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10</w:t>
      </w:r>
      <w:r>
        <w:rPr>
          <w:rFonts w:hint="eastAsia" w:ascii="Times New Roman" w:hAnsi="Times New Roman" w:eastAsia="宋体" w:cs="宋体"/>
          <w:color w:val="auto"/>
          <w:sz w:val="24"/>
          <w:szCs w:val="24"/>
          <w:highlight w:val="none"/>
        </w:rPr>
        <w:t>、磋商小组依据法律法规可以认定为无效</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的其他情况；</w:t>
      </w:r>
    </w:p>
    <w:p w14:paraId="3A4ADD1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11</w:t>
      </w:r>
      <w:r>
        <w:rPr>
          <w:rFonts w:hint="eastAsia" w:ascii="Times New Roman" w:hAnsi="Times New Roman" w:eastAsia="宋体" w:cs="宋体"/>
          <w:color w:val="auto"/>
          <w:sz w:val="24"/>
          <w:szCs w:val="24"/>
          <w:highlight w:val="none"/>
        </w:rPr>
        <w:t>、未按要求提供样品的（如有）。</w:t>
      </w:r>
    </w:p>
    <w:p w14:paraId="36318B7E">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六、出现下列情形之一的，作废标处理</w:t>
      </w:r>
    </w:p>
    <w:p w14:paraId="3ECB86C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1、供应商的报价均超出了采购预算，采购单位不能支付的；</w:t>
      </w:r>
    </w:p>
    <w:p w14:paraId="53B9483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2、因情况变化，不再符合规定的竞争性磋商采购人式所适用情形的；</w:t>
      </w:r>
    </w:p>
    <w:p w14:paraId="131421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3、出现影响采购公正的违法、违规行为的；</w:t>
      </w:r>
    </w:p>
    <w:p w14:paraId="55BAF17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4、因重大变故，采购任务取消的；</w:t>
      </w:r>
    </w:p>
    <w:p w14:paraId="120E179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5、供应商未按采购文件要求提供样品或样品提供不全的或未提供样品的（如有）；</w:t>
      </w:r>
    </w:p>
    <w:p w14:paraId="6EF56F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6、磋商小组依据法律法规可以认定为废标的其他情况。</w:t>
      </w:r>
    </w:p>
    <w:p w14:paraId="40BC607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七、成交通知</w:t>
      </w:r>
    </w:p>
    <w:p w14:paraId="6DAB361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kern w:val="0"/>
          <w:sz w:val="24"/>
          <w:szCs w:val="24"/>
          <w:highlight w:val="none"/>
        </w:rPr>
        <w:t>成交结果在南通市第三人民医院官网公示</w:t>
      </w:r>
      <w:r>
        <w:rPr>
          <w:rFonts w:hint="eastAsia" w:ascii="Times New Roman" w:hAnsi="Times New Roman" w:eastAsia="宋体" w:cs="宋体"/>
          <w:b/>
          <w:color w:val="auto"/>
          <w:kern w:val="0"/>
          <w:sz w:val="24"/>
          <w:szCs w:val="24"/>
          <w:highlight w:val="none"/>
          <w:u w:val="single"/>
        </w:rPr>
        <w:t>1</w:t>
      </w:r>
      <w:r>
        <w:rPr>
          <w:rFonts w:hint="eastAsia" w:ascii="Times New Roman" w:hAnsi="Times New Roman" w:eastAsia="宋体" w:cs="宋体"/>
          <w:color w:val="auto"/>
          <w:kern w:val="0"/>
          <w:sz w:val="24"/>
          <w:szCs w:val="24"/>
          <w:highlight w:val="none"/>
        </w:rPr>
        <w:t>个工作日。《成交通知书》一经发出，采购单位改变成交结果，或者成交人放弃成交的，各自承担相应的法律责任。《成交通知书》是采购合同的组成部分。</w:t>
      </w:r>
    </w:p>
    <w:p w14:paraId="7E68A1A3">
      <w:pPr>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br w:type="page"/>
      </w:r>
    </w:p>
    <w:p w14:paraId="2F8BD58D">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第五章 合同授予</w:t>
      </w:r>
    </w:p>
    <w:p w14:paraId="1BDD6E4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8"/>
          <w:szCs w:val="28"/>
          <w:highlight w:val="none"/>
        </w:rPr>
      </w:pPr>
      <w:r>
        <w:rPr>
          <w:rFonts w:hint="eastAsia" w:ascii="Times New Roman" w:hAnsi="Times New Roman" w:eastAsia="宋体" w:cs="宋体"/>
          <w:color w:val="auto"/>
          <w:sz w:val="24"/>
          <w:highlight w:val="none"/>
        </w:rPr>
        <w:t>一、</w:t>
      </w:r>
      <w:r>
        <w:rPr>
          <w:rFonts w:hint="eastAsia" w:ascii="Times New Roman" w:hAnsi="Times New Roman" w:eastAsia="宋体" w:cs="宋体"/>
          <w:color w:val="auto"/>
          <w:kern w:val="0"/>
          <w:sz w:val="24"/>
          <w:highlight w:val="none"/>
        </w:rPr>
        <w:t>成交供应商在《成交通知书》发出</w:t>
      </w:r>
      <w:r>
        <w:rPr>
          <w:rFonts w:hint="eastAsia" w:ascii="Times New Roman" w:hAnsi="Times New Roman" w:eastAsia="宋体" w:cs="宋体"/>
          <w:color w:val="auto"/>
          <w:kern w:val="0"/>
          <w:sz w:val="24"/>
          <w:highlight w:val="none"/>
          <w:lang w:eastAsia="zh-CN"/>
        </w:rPr>
        <w:t>后</w:t>
      </w:r>
      <w:r>
        <w:rPr>
          <w:rFonts w:hint="eastAsia" w:ascii="Times New Roman" w:hAnsi="Times New Roman" w:eastAsia="宋体" w:cs="宋体"/>
          <w:b w:val="0"/>
          <w:bCs w:val="0"/>
          <w:color w:val="auto"/>
          <w:kern w:val="0"/>
          <w:sz w:val="24"/>
          <w:highlight w:val="none"/>
          <w:lang w:val="en-US" w:eastAsia="zh-CN"/>
        </w:rPr>
        <w:t>15日</w:t>
      </w:r>
      <w:r>
        <w:rPr>
          <w:rFonts w:hint="eastAsia" w:ascii="Times New Roman" w:hAnsi="Times New Roman" w:eastAsia="宋体" w:cs="宋体"/>
          <w:b w:val="0"/>
          <w:bCs w:val="0"/>
          <w:color w:val="auto"/>
          <w:kern w:val="0"/>
          <w:sz w:val="24"/>
          <w:highlight w:val="none"/>
        </w:rPr>
        <w:t>内须按</w:t>
      </w:r>
      <w:r>
        <w:rPr>
          <w:rFonts w:hint="eastAsia" w:ascii="Times New Roman" w:hAnsi="Times New Roman" w:eastAsia="宋体" w:cs="宋体"/>
          <w:color w:val="auto"/>
          <w:kern w:val="0"/>
          <w:sz w:val="24"/>
          <w:highlight w:val="none"/>
        </w:rPr>
        <w:t>照磋商文件确定的事项签订采购合同。合同一式四份，采购</w:t>
      </w:r>
      <w:r>
        <w:rPr>
          <w:rFonts w:hint="eastAsia" w:ascii="Times New Roman" w:hAnsi="Times New Roman" w:eastAsia="宋体" w:cs="宋体"/>
          <w:color w:val="auto"/>
          <w:kern w:val="0"/>
          <w:sz w:val="24"/>
          <w:szCs w:val="24"/>
          <w:highlight w:val="none"/>
        </w:rPr>
        <w:t>单位</w:t>
      </w:r>
      <w:r>
        <w:rPr>
          <w:rFonts w:hint="eastAsia" w:ascii="Times New Roman" w:hAnsi="Times New Roman" w:eastAsia="宋体" w:cs="宋体"/>
          <w:color w:val="auto"/>
          <w:kern w:val="0"/>
          <w:sz w:val="24"/>
          <w:highlight w:val="none"/>
        </w:rPr>
        <w:t xml:space="preserve">三份、供应商一份。所签合同不得对磋商文件作实质性修改。采购单位不得向成交供应商提出不合理的要求作为签订合同的条件，不得与成交供应商私下订立背离磋商文件实质性内容的协议。 </w:t>
      </w:r>
    </w:p>
    <w:p w14:paraId="5199913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二、</w:t>
      </w:r>
      <w:r>
        <w:rPr>
          <w:rFonts w:hint="eastAsia" w:ascii="Times New Roman" w:hAnsi="Times New Roman" w:eastAsia="宋体" w:cs="宋体"/>
          <w:color w:val="auto"/>
          <w:sz w:val="24"/>
          <w:highlight w:val="none"/>
        </w:rPr>
        <w:t>采购单位按合同约定积极配合成交供应商履约，成交供应商履约到位后，请以书面形式向采购单位提出验收申请。</w:t>
      </w:r>
    </w:p>
    <w:p w14:paraId="0E6273A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三、采购单位故意推迟</w:t>
      </w:r>
      <w:r>
        <w:rPr>
          <w:rFonts w:hint="eastAsia" w:ascii="Times New Roman" w:hAnsi="Times New Roman" w:eastAsia="宋体" w:cs="宋体"/>
          <w:color w:val="auto"/>
          <w:kern w:val="0"/>
          <w:sz w:val="24"/>
          <w:szCs w:val="24"/>
          <w:highlight w:val="none"/>
        </w:rPr>
        <w:t>项目</w:t>
      </w:r>
      <w:r>
        <w:rPr>
          <w:rFonts w:hint="eastAsia" w:ascii="Times New Roman" w:hAnsi="Times New Roman" w:eastAsia="宋体" w:cs="宋体"/>
          <w:color w:val="auto"/>
          <w:sz w:val="24"/>
          <w:highlight w:val="none"/>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3E11C22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四、供应商出现违约情形，应当及时纠正或补偿；造成损失的，按合同约定追究违约责任；发现有假冒、伪劣、走私产品、商业贿赂等违法情形的，应由采购单位移交工商、质监、公安等行政执法部门依法查处。</w:t>
      </w:r>
    </w:p>
    <w:p w14:paraId="3BE0838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五、不响应付款方式的，视同响应文件无效，按无效响应文件处理。</w:t>
      </w:r>
    </w:p>
    <w:p w14:paraId="49FAB9DA">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六、付款方式详见</w:t>
      </w:r>
      <w:r>
        <w:rPr>
          <w:rFonts w:hint="eastAsia" w:ascii="Times New Roman" w:hAnsi="Times New Roman" w:eastAsia="宋体" w:cs="宋体"/>
          <w:color w:val="auto"/>
          <w:kern w:val="0"/>
          <w:sz w:val="24"/>
          <w:highlight w:val="none"/>
        </w:rPr>
        <w:t>磋商</w:t>
      </w:r>
      <w:r>
        <w:rPr>
          <w:rFonts w:hint="eastAsia" w:ascii="Times New Roman" w:hAnsi="Times New Roman" w:eastAsia="宋体" w:cs="宋体"/>
          <w:color w:val="auto"/>
          <w:sz w:val="24"/>
          <w:highlight w:val="none"/>
        </w:rPr>
        <w:t>文件第三章。</w:t>
      </w:r>
    </w:p>
    <w:p w14:paraId="0A34851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
          <w:iCs/>
          <w:color w:val="auto"/>
          <w:w w:val="80"/>
          <w:sz w:val="44"/>
          <w:szCs w:val="44"/>
          <w:highlight w:val="none"/>
        </w:rPr>
      </w:pPr>
      <w:r>
        <w:rPr>
          <w:rFonts w:hint="eastAsia" w:ascii="Times New Roman" w:hAnsi="Times New Roman" w:eastAsia="宋体" w:cs="宋体"/>
          <w:color w:val="auto"/>
          <w:sz w:val="24"/>
          <w:highlight w:val="none"/>
        </w:rPr>
        <w:t>七、以上项目款的支付不计息。</w:t>
      </w:r>
    </w:p>
    <w:p w14:paraId="041D2EF8">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w w:val="80"/>
          <w:kern w:val="44"/>
          <w:highlight w:val="none"/>
        </w:rPr>
      </w:pPr>
    </w:p>
    <w:p w14:paraId="02B06A59">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color w:val="auto"/>
          <w:w w:val="80"/>
          <w:kern w:val="44"/>
          <w:sz w:val="48"/>
          <w:szCs w:val="44"/>
          <w:highlight w:val="none"/>
        </w:rPr>
      </w:pPr>
      <w:r>
        <w:rPr>
          <w:rFonts w:ascii="Times New Roman" w:hAnsi="Times New Roman" w:eastAsia="宋体" w:cs="宋体"/>
          <w:color w:val="auto"/>
          <w:w w:val="80"/>
          <w:sz w:val="48"/>
          <w:szCs w:val="44"/>
          <w:highlight w:val="none"/>
        </w:rPr>
        <w:br w:type="page"/>
      </w:r>
    </w:p>
    <w:p w14:paraId="1F2F9180">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第六章 质疑提出和处理</w:t>
      </w:r>
    </w:p>
    <w:p w14:paraId="3A85BE21">
      <w:pPr>
        <w:keepNext w:val="0"/>
        <w:keepLines w:val="0"/>
        <w:pageBreakBefore w:val="0"/>
        <w:kinsoku/>
        <w:wordWrap/>
        <w:topLinePunct w:val="0"/>
        <w:autoSpaceDE/>
        <w:autoSpaceDN/>
        <w:bidi w:val="0"/>
        <w:adjustRightInd w:val="0"/>
        <w:snapToGrid w:val="0"/>
        <w:spacing w:line="360" w:lineRule="auto"/>
        <w:ind w:firstLine="487" w:firstLineChars="202"/>
        <w:rPr>
          <w:rFonts w:ascii="Times New Roman" w:hAnsi="Times New Roman"/>
          <w:b/>
          <w:color w:val="auto"/>
          <w:sz w:val="24"/>
          <w:szCs w:val="24"/>
          <w:highlight w:val="none"/>
        </w:rPr>
      </w:pPr>
      <w:r>
        <w:rPr>
          <w:rFonts w:ascii="Times New Roman" w:hAnsi="Times New Roman"/>
          <w:b/>
          <w:color w:val="auto"/>
          <w:sz w:val="24"/>
          <w:szCs w:val="24"/>
          <w:highlight w:val="none"/>
        </w:rPr>
        <w:t>一、质疑的提出</w:t>
      </w:r>
    </w:p>
    <w:p w14:paraId="37D7A45C">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1、提出质疑的供应商应当是参与所质疑项目采购活动的供应商。潜在供应商依法获取其可质疑的采购文件的，可以对采购文件提出质疑。</w:t>
      </w:r>
    </w:p>
    <w:p w14:paraId="6EDCFC04">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37ED6BF3">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2.1对可以质疑的采购文件提出质疑的，为收到采购文件之日或者采购文件公告期限届满之日；</w:t>
      </w:r>
    </w:p>
    <w:p w14:paraId="72C3CBAF">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2.2对采购过程提出质疑的，为各采购程序环节结束之日；</w:t>
      </w:r>
    </w:p>
    <w:p w14:paraId="36F94F60">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2.3对成交结果提出质疑的，为成交结果公告期限届满之日。</w:t>
      </w:r>
    </w:p>
    <w:p w14:paraId="3365F3AA">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供应商应当在法定质疑期内一次性提出针对同一采购程序环节的质疑。</w:t>
      </w:r>
    </w:p>
    <w:p w14:paraId="3FD439BD">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3、质疑函必须按照本</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文件中《质疑函范本》要求的格式和内容进行填写。供应商如组成联合体参加采购活动，则《质疑函范本》中要求签字、盖章、加盖公章之处，联合体各方均须按要求签字、盖章、加盖公章。</w:t>
      </w:r>
    </w:p>
    <w:p w14:paraId="453DCEB2">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4、对采购方式、</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文件中项目需求、供应商资格条件、评审方法和评审标准、资格审查结果等应当由采购人答复的质疑，请向采购人提出，由采购人负责答复。</w:t>
      </w:r>
    </w:p>
    <w:p w14:paraId="7422B9E7">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采购人质疑接收人及联系方式，见</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文件第一章。</w:t>
      </w:r>
    </w:p>
    <w:p w14:paraId="0FDB4E5E">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 以下情形的质疑不予受理</w:t>
      </w:r>
    </w:p>
    <w:p w14:paraId="47503017">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5.1 内容不符合《政府采购质疑和投诉办法》财政部第94号令第十二条规定的质疑。</w:t>
      </w:r>
    </w:p>
    <w:p w14:paraId="5AB7AEB6">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5.2 超出政府采购法定期限的质疑。</w:t>
      </w:r>
    </w:p>
    <w:p w14:paraId="777BCE32">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5.3 未参加采购活动的供应商。</w:t>
      </w:r>
    </w:p>
    <w:p w14:paraId="4858754F">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5.4供应商组成联合体参加采购活动，联合体中任何一方或多方未按要求签字、盖章、加盖公章的质疑。</w:t>
      </w:r>
    </w:p>
    <w:p w14:paraId="027A3C29">
      <w:pPr>
        <w:keepNext w:val="0"/>
        <w:keepLines w:val="0"/>
        <w:pageBreakBefore w:val="0"/>
        <w:kinsoku/>
        <w:wordWrap/>
        <w:topLinePunct w:val="0"/>
        <w:autoSpaceDE/>
        <w:autoSpaceDN/>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5E8716E">
      <w:pPr>
        <w:keepNext w:val="0"/>
        <w:keepLines w:val="0"/>
        <w:pageBreakBefore w:val="0"/>
        <w:kinsoku/>
        <w:wordWrap/>
        <w:topLinePunct w:val="0"/>
        <w:autoSpaceDE/>
        <w:autoSpaceDN/>
        <w:bidi w:val="0"/>
        <w:spacing w:after="120" w:line="360" w:lineRule="auto"/>
        <w:rPr>
          <w:rFonts w:ascii="Times New Roman" w:hAnsi="Times New Roman"/>
          <w:color w:val="auto"/>
          <w:szCs w:val="21"/>
          <w:highlight w:val="none"/>
        </w:rPr>
      </w:pPr>
      <w:r>
        <w:rPr>
          <w:rFonts w:ascii="Times New Roman" w:hAnsi="Times New Roman"/>
          <w:color w:val="auto"/>
          <w:highlight w:val="none"/>
        </w:rPr>
        <w:br w:type="page"/>
      </w:r>
      <w:r>
        <w:rPr>
          <w:rFonts w:hint="eastAsia" w:ascii="Times New Roman" w:hAnsi="Times New Roman"/>
          <w:color w:val="auto"/>
          <w:szCs w:val="21"/>
          <w:highlight w:val="none"/>
        </w:rPr>
        <w:t>附件：</w:t>
      </w:r>
    </w:p>
    <w:p w14:paraId="18ED59F4">
      <w:pPr>
        <w:keepNext w:val="0"/>
        <w:keepLines w:val="0"/>
        <w:pageBreakBefore w:val="0"/>
        <w:kinsoku/>
        <w:wordWrap/>
        <w:topLinePunct w:val="0"/>
        <w:autoSpaceDE/>
        <w:autoSpaceDN/>
        <w:bidi w:val="0"/>
        <w:spacing w:line="360" w:lineRule="auto"/>
        <w:jc w:val="center"/>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质疑函范本</w:t>
      </w:r>
    </w:p>
    <w:p w14:paraId="31FAEC42">
      <w:pPr>
        <w:keepNext w:val="0"/>
        <w:keepLines w:val="0"/>
        <w:pageBreakBefore w:val="0"/>
        <w:kinsoku/>
        <w:wordWrap/>
        <w:topLinePunct w:val="0"/>
        <w:autoSpaceDE/>
        <w:autoSpaceDN/>
        <w:bidi w:val="0"/>
        <w:adjustRightInd w:val="0"/>
        <w:snapToGrid w:val="0"/>
        <w:spacing w:before="312" w:beforeLines="100"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一、质疑供应商基本信息</w:t>
      </w:r>
    </w:p>
    <w:p w14:paraId="3A2DA37C">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质疑供应商：</w:t>
      </w:r>
    </w:p>
    <w:p w14:paraId="059369A2">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地址：邮编：</w:t>
      </w:r>
    </w:p>
    <w:p w14:paraId="11573581">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联系人：联系电话：</w:t>
      </w:r>
    </w:p>
    <w:p w14:paraId="371C4B9A">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授权代表：</w:t>
      </w:r>
    </w:p>
    <w:p w14:paraId="5EFA906F">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联系电话：</w:t>
      </w:r>
    </w:p>
    <w:p w14:paraId="478705D9">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地址：邮编：</w:t>
      </w:r>
    </w:p>
    <w:p w14:paraId="2C73849D">
      <w:pPr>
        <w:keepNext w:val="0"/>
        <w:keepLines w:val="0"/>
        <w:pageBreakBefore w:val="0"/>
        <w:kinsoku/>
        <w:wordWrap/>
        <w:topLinePunct w:val="0"/>
        <w:autoSpaceDE/>
        <w:autoSpaceDN/>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二、质疑项目基本情况</w:t>
      </w:r>
    </w:p>
    <w:p w14:paraId="6A4D34E7">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质疑项目的名称：</w:t>
      </w:r>
    </w:p>
    <w:p w14:paraId="12CC5AAD">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质疑项目的编号：包号：</w:t>
      </w:r>
    </w:p>
    <w:p w14:paraId="59742146">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采购人名称：</w:t>
      </w:r>
    </w:p>
    <w:p w14:paraId="57AD400D">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采购文件获取日期：</w:t>
      </w:r>
    </w:p>
    <w:p w14:paraId="2BA08E83">
      <w:pPr>
        <w:keepNext w:val="0"/>
        <w:keepLines w:val="0"/>
        <w:pageBreakBefore w:val="0"/>
        <w:kinsoku/>
        <w:wordWrap/>
        <w:topLinePunct w:val="0"/>
        <w:autoSpaceDE/>
        <w:autoSpaceDN/>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三、质疑事项具体内容</w:t>
      </w:r>
    </w:p>
    <w:p w14:paraId="30F2DB2A">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质疑事项1：</w:t>
      </w:r>
    </w:p>
    <w:p w14:paraId="58F90407">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事实依据：</w:t>
      </w:r>
    </w:p>
    <w:p w14:paraId="7B6F2CBA">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p>
    <w:p w14:paraId="263F3E71">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法律依据：</w:t>
      </w:r>
    </w:p>
    <w:p w14:paraId="71A5AD78">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p>
    <w:p w14:paraId="4B168C3F">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质疑事项2</w:t>
      </w:r>
    </w:p>
    <w:p w14:paraId="1047AD0A">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w:t>
      </w:r>
    </w:p>
    <w:p w14:paraId="36028A73">
      <w:pPr>
        <w:keepNext w:val="0"/>
        <w:keepLines w:val="0"/>
        <w:pageBreakBefore w:val="0"/>
        <w:kinsoku/>
        <w:wordWrap/>
        <w:topLinePunct w:val="0"/>
        <w:autoSpaceDE/>
        <w:autoSpaceDN/>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四、与质疑事项相关的质疑请求</w:t>
      </w:r>
    </w:p>
    <w:p w14:paraId="20C43FF3">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请求：</w:t>
      </w:r>
    </w:p>
    <w:p w14:paraId="27D8B1B5">
      <w:pPr>
        <w:keepNext w:val="0"/>
        <w:keepLines w:val="0"/>
        <w:pageBreakBefore w:val="0"/>
        <w:kinsoku/>
        <w:wordWrap/>
        <w:topLinePunct w:val="0"/>
        <w:autoSpaceDE/>
        <w:autoSpaceDN/>
        <w:bidi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签字(签章)：                   公章：                      </w:t>
      </w:r>
    </w:p>
    <w:p w14:paraId="07BB7C65">
      <w:pPr>
        <w:keepNext w:val="0"/>
        <w:keepLines w:val="0"/>
        <w:pageBreakBefore w:val="0"/>
        <w:kinsoku/>
        <w:wordWrap/>
        <w:topLinePunct w:val="0"/>
        <w:autoSpaceDE/>
        <w:autoSpaceDN/>
        <w:bidi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日期：    </w:t>
      </w:r>
    </w:p>
    <w:p w14:paraId="5A03D8E1">
      <w:pPr>
        <w:keepNext w:val="0"/>
        <w:keepLines w:val="0"/>
        <w:pageBreakBefore w:val="0"/>
        <w:kinsoku/>
        <w:wordWrap/>
        <w:topLinePunct w:val="0"/>
        <w:autoSpaceDE/>
        <w:autoSpaceDN/>
        <w:bidi w:val="0"/>
        <w:adjustRightInd w:val="0"/>
        <w:snapToGrid w:val="0"/>
        <w:spacing w:line="360" w:lineRule="auto"/>
        <w:rPr>
          <w:rFonts w:ascii="Times New Roman" w:hAnsi="Times New Roman" w:cs="仿宋"/>
          <w:color w:val="auto"/>
          <w:sz w:val="24"/>
          <w:szCs w:val="24"/>
          <w:highlight w:val="none"/>
        </w:rPr>
      </w:pPr>
    </w:p>
    <w:p w14:paraId="5BE312B0">
      <w:pPr>
        <w:keepNext w:val="0"/>
        <w:keepLines w:val="0"/>
        <w:pageBreakBefore w:val="0"/>
        <w:kinsoku/>
        <w:wordWrap/>
        <w:topLinePunct w:val="0"/>
        <w:autoSpaceDE/>
        <w:autoSpaceDN/>
        <w:bidi w:val="0"/>
        <w:spacing w:line="360" w:lineRule="auto"/>
        <w:rPr>
          <w:rFonts w:ascii="Times New Roman" w:hAnsi="Times New Roman"/>
          <w:b/>
          <w:color w:val="auto"/>
          <w:sz w:val="24"/>
          <w:szCs w:val="24"/>
          <w:highlight w:val="none"/>
        </w:rPr>
      </w:pPr>
    </w:p>
    <w:p w14:paraId="7AB4BB50">
      <w:pPr>
        <w:keepNext w:val="0"/>
        <w:keepLines w:val="0"/>
        <w:pageBreakBefore w:val="0"/>
        <w:kinsoku/>
        <w:wordWrap/>
        <w:topLinePunct w:val="0"/>
        <w:autoSpaceDE/>
        <w:autoSpaceDN/>
        <w:bidi w:val="0"/>
        <w:spacing w:line="360" w:lineRule="auto"/>
        <w:jc w:val="left"/>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14:paraId="50FCFBD3">
      <w:pPr>
        <w:keepNext w:val="0"/>
        <w:keepLines w:val="0"/>
        <w:pageBreakBefore w:val="0"/>
        <w:kinsoku/>
        <w:wordWrap/>
        <w:topLinePunct w:val="0"/>
        <w:autoSpaceDE/>
        <w:autoSpaceDN/>
        <w:bidi w:val="0"/>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rPr>
        <w:t>质疑函制作说明：</w:t>
      </w:r>
    </w:p>
    <w:p w14:paraId="501C55F3">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1、供应商提出质疑时，应提交质疑函和必要的证明材料。</w:t>
      </w:r>
    </w:p>
    <w:p w14:paraId="034555C5">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2、质疑供应商若委托代理人进行质疑的，质疑函应按要求列明“授权代表”的有关内容，并在附件中提交由质疑</w:t>
      </w:r>
      <w:r>
        <w:rPr>
          <w:rFonts w:hint="eastAsia" w:ascii="Times New Roman" w:hAnsi="Times New Roman" w:cs="宋体"/>
          <w:color w:val="auto"/>
          <w:kern w:val="0"/>
          <w:sz w:val="24"/>
          <w:szCs w:val="24"/>
          <w:highlight w:val="none"/>
        </w:rPr>
        <w:t>供应商签署的授权委托书。授权委托书应载明代理人的姓名或者名称、代理事项、具体权限、期限和相关事项。</w:t>
      </w:r>
    </w:p>
    <w:p w14:paraId="5417C015">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3、质疑供应商若对项目的某一分包进行质疑，质疑函中应列明具体分包号。</w:t>
      </w:r>
    </w:p>
    <w:p w14:paraId="7619B8C7">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4、质疑函的质疑事项应具体、明确，并有必要的事实依据和法律依据。</w:t>
      </w:r>
    </w:p>
    <w:p w14:paraId="07EB8184">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5、质疑函的质疑请求应与质疑事项相关。</w:t>
      </w:r>
    </w:p>
    <w:p w14:paraId="614145E0">
      <w:pPr>
        <w:keepNext w:val="0"/>
        <w:keepLines w:val="0"/>
        <w:pageBreakBefore w:val="0"/>
        <w:kinsoku/>
        <w:wordWrap/>
        <w:topLinePunct w:val="0"/>
        <w:autoSpaceDE/>
        <w:autoSpaceDN/>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auto"/>
          <w:sz w:val="24"/>
          <w:szCs w:val="24"/>
          <w:highlight w:val="none"/>
        </w:rPr>
        <w:t>。</w:t>
      </w:r>
    </w:p>
    <w:p w14:paraId="10C18DFA">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br w:type="page"/>
      </w:r>
    </w:p>
    <w:p w14:paraId="5C7EB916">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第七章 响应文件组成及格式</w:t>
      </w:r>
    </w:p>
    <w:p w14:paraId="12373B11">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响应文件由资格审查文件、技术响应文件、商务报价响应文件三部分组成。本次竞争性磋商采用资格后审方式，供应商须将资格审查文件作为响应文件组成部分，按磋商文件要求装订密封后一起递交。</w:t>
      </w:r>
    </w:p>
    <w:p w14:paraId="45F8B46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kern w:val="0"/>
          <w:sz w:val="24"/>
          <w:highlight w:val="none"/>
          <w:lang w:val="zh-CN"/>
        </w:rPr>
      </w:pPr>
      <w:r>
        <w:rPr>
          <w:rFonts w:hint="eastAsia" w:ascii="Times New Roman" w:hAnsi="Times New Roman" w:eastAsia="宋体" w:cs="宋体"/>
          <w:b/>
          <w:bCs/>
          <w:color w:val="auto"/>
          <w:kern w:val="0"/>
          <w:sz w:val="24"/>
          <w:highlight w:val="none"/>
          <w:lang w:val="zh-CN"/>
        </w:rPr>
        <w:t>一、资格审查文件（单独密封）：</w:t>
      </w:r>
    </w:p>
    <w:p w14:paraId="4B081E8D">
      <w:pPr>
        <w:keepNext w:val="0"/>
        <w:keepLines w:val="0"/>
        <w:pageBreakBefore w:val="0"/>
        <w:kinsoku/>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rPr>
        <w:t>1、</w:t>
      </w:r>
      <w:r>
        <w:rPr>
          <w:rFonts w:hint="eastAsia" w:ascii="Times New Roman" w:hAnsi="Times New Roman" w:eastAsia="宋体"/>
          <w:bCs/>
          <w:color w:val="auto"/>
          <w:sz w:val="24"/>
          <w:szCs w:val="24"/>
          <w:highlight w:val="none"/>
        </w:rPr>
        <w:t>供应商须具有独立法人资格，具有有效的三证合一的营业执照（或事业单位法人证书）</w:t>
      </w:r>
      <w:r>
        <w:rPr>
          <w:rFonts w:hint="eastAsia" w:ascii="Times New Roman" w:hAnsi="Times New Roman" w:eastAsia="宋体"/>
          <w:bCs/>
          <w:color w:val="auto"/>
          <w:sz w:val="24"/>
          <w:szCs w:val="24"/>
          <w:highlight w:val="none"/>
          <w:lang w:eastAsia="zh-CN"/>
        </w:rPr>
        <w:t>复印件并加盖公章</w:t>
      </w:r>
      <w:r>
        <w:rPr>
          <w:rFonts w:hint="eastAsia" w:ascii="Times New Roman" w:hAnsi="Times New Roman" w:eastAsia="宋体"/>
          <w:color w:val="auto"/>
          <w:sz w:val="24"/>
          <w:szCs w:val="24"/>
          <w:highlight w:val="none"/>
          <w:lang w:eastAsia="zh-CN"/>
        </w:rPr>
        <w:t>；</w:t>
      </w:r>
    </w:p>
    <w:p w14:paraId="63547708">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rPr>
        <w:t>2、法定代表人参加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的，必须提供法定代表人身份证明及法定代表人本人身份证两项复印件（须加盖单位公章）；非法定代表人参加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的，必须提供法定代表人签字或印章的授权委托书及被授权人本人身份证两项复印件；（须加盖单位公章）</w:t>
      </w:r>
      <w:r>
        <w:rPr>
          <w:rFonts w:hint="eastAsia" w:ascii="Times New Roman" w:hAnsi="Times New Roman" w:eastAsia="宋体"/>
          <w:color w:val="auto"/>
          <w:sz w:val="24"/>
          <w:szCs w:val="24"/>
          <w:highlight w:val="none"/>
          <w:lang w:eastAsia="zh-CN"/>
        </w:rPr>
        <w:t>；</w:t>
      </w:r>
    </w:p>
    <w:p w14:paraId="31CC6D8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3、提供供应商符合《中华人民共和国政府采购法》第二十二条规定条件的声明函。</w:t>
      </w:r>
    </w:p>
    <w:p w14:paraId="3D2AF66D">
      <w:pPr>
        <w:keepNext w:val="0"/>
        <w:keepLines w:val="0"/>
        <w:pageBreakBefore w:val="0"/>
        <w:kinsoku/>
        <w:topLinePunct w:val="0"/>
        <w:autoSpaceDE/>
        <w:autoSpaceDN/>
        <w:bidi w:val="0"/>
        <w:spacing w:line="360" w:lineRule="auto"/>
        <w:ind w:firstLine="480" w:firstLineChars="20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4、供应商须提供诚信承诺书（</w:t>
      </w:r>
      <w:r>
        <w:rPr>
          <w:rFonts w:hint="eastAsia" w:ascii="Times New Roman" w:hAnsi="Times New Roman" w:cs="宋体"/>
          <w:color w:val="auto"/>
          <w:sz w:val="24"/>
          <w:szCs w:val="24"/>
          <w:highlight w:val="none"/>
        </w:rPr>
        <w:t>格式参见附件）；</w:t>
      </w:r>
    </w:p>
    <w:p w14:paraId="5D10AC2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eastAsia="宋体"/>
          <w:color w:val="auto"/>
          <w:sz w:val="24"/>
          <w:szCs w:val="24"/>
          <w:highlight w:val="none"/>
        </w:rPr>
        <w:t>其它需要提交的资格审查证明材料。</w:t>
      </w:r>
    </w:p>
    <w:p w14:paraId="3EC6E51E">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以上材料如为复印件均需加盖</w:t>
      </w:r>
      <w:r>
        <w:rPr>
          <w:rFonts w:hint="eastAsia" w:ascii="Times New Roman" w:hAnsi="Times New Roman" w:eastAsia="宋体"/>
          <w:b/>
          <w:color w:val="auto"/>
          <w:sz w:val="24"/>
          <w:szCs w:val="24"/>
          <w:highlight w:val="none"/>
          <w:lang w:eastAsia="zh-CN"/>
        </w:rPr>
        <w:t>响应</w:t>
      </w:r>
      <w:r>
        <w:rPr>
          <w:rFonts w:hint="eastAsia" w:ascii="Times New Roman" w:hAnsi="Times New Roman" w:eastAsia="宋体"/>
          <w:b/>
          <w:color w:val="auto"/>
          <w:sz w:val="24"/>
          <w:szCs w:val="24"/>
          <w:highlight w:val="none"/>
        </w:rPr>
        <w:t>单位公章。</w:t>
      </w:r>
    </w:p>
    <w:p w14:paraId="1B659E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rPr>
        <w:t>二、技术响应文件（单独密封）：</w:t>
      </w:r>
    </w:p>
    <w:p w14:paraId="040FBD7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rPr>
        <w:t>1、</w:t>
      </w:r>
      <w:r>
        <w:rPr>
          <w:rFonts w:hint="eastAsia" w:ascii="Times New Roman" w:hAnsi="Times New Roman" w:eastAsia="宋体" w:cs="宋体"/>
          <w:color w:val="auto"/>
          <w:sz w:val="24"/>
          <w:szCs w:val="24"/>
          <w:highlight w:val="none"/>
        </w:rPr>
        <w:t>磋商</w:t>
      </w:r>
      <w:r>
        <w:rPr>
          <w:rFonts w:ascii="Times New Roman" w:hAnsi="Times New Roman" w:eastAsia="宋体" w:cs="宋体"/>
          <w:color w:val="auto"/>
          <w:sz w:val="24"/>
          <w:szCs w:val="24"/>
          <w:highlight w:val="none"/>
        </w:rPr>
        <w:t>响应函（格式参见第</w:t>
      </w:r>
      <w:r>
        <w:rPr>
          <w:rFonts w:hint="eastAsia" w:ascii="Times New Roman" w:hAnsi="Times New Roman" w:eastAsia="宋体" w:cs="宋体"/>
          <w:color w:val="auto"/>
          <w:sz w:val="24"/>
          <w:szCs w:val="24"/>
          <w:highlight w:val="none"/>
          <w:lang w:eastAsia="zh-CN"/>
        </w:rPr>
        <w:t>七</w:t>
      </w:r>
      <w:r>
        <w:rPr>
          <w:rFonts w:ascii="Times New Roman" w:hAnsi="Times New Roman" w:eastAsia="宋体" w:cs="宋体"/>
          <w:color w:val="auto"/>
          <w:sz w:val="24"/>
          <w:szCs w:val="24"/>
          <w:highlight w:val="none"/>
        </w:rPr>
        <w:t>章）</w:t>
      </w:r>
    </w:p>
    <w:p w14:paraId="56119F8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lang w:val="en-US" w:eastAsia="zh-CN"/>
        </w:rPr>
        <w:t>2、供应商一般情况表</w:t>
      </w:r>
      <w:r>
        <w:rPr>
          <w:rFonts w:ascii="Times New Roman" w:hAnsi="Times New Roman" w:eastAsia="宋体" w:cs="宋体"/>
          <w:color w:val="auto"/>
          <w:sz w:val="24"/>
          <w:szCs w:val="24"/>
          <w:highlight w:val="none"/>
        </w:rPr>
        <w:t>（格式参见第</w:t>
      </w:r>
      <w:r>
        <w:rPr>
          <w:rFonts w:hint="eastAsia" w:ascii="Times New Roman" w:hAnsi="Times New Roman" w:eastAsia="宋体" w:cs="宋体"/>
          <w:color w:val="auto"/>
          <w:sz w:val="24"/>
          <w:szCs w:val="24"/>
          <w:highlight w:val="none"/>
          <w:lang w:eastAsia="zh-CN"/>
        </w:rPr>
        <w:t>七</w:t>
      </w:r>
      <w:r>
        <w:rPr>
          <w:rFonts w:ascii="Times New Roman" w:hAnsi="Times New Roman" w:eastAsia="宋体" w:cs="宋体"/>
          <w:color w:val="auto"/>
          <w:sz w:val="24"/>
          <w:szCs w:val="24"/>
          <w:highlight w:val="none"/>
        </w:rPr>
        <w:t>章）</w:t>
      </w:r>
    </w:p>
    <w:p w14:paraId="4FBAAF27">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3、</w:t>
      </w:r>
      <w:r>
        <w:rPr>
          <w:rFonts w:hint="eastAsia" w:ascii="Times New Roman" w:hAnsi="Times New Roman" w:eastAsia="宋体" w:cs="宋体"/>
          <w:bCs/>
          <w:color w:val="auto"/>
          <w:sz w:val="24"/>
          <w:szCs w:val="24"/>
          <w:highlight w:val="none"/>
          <w:lang w:eastAsia="zh-CN"/>
        </w:rPr>
        <w:t>技术</w:t>
      </w:r>
      <w:r>
        <w:rPr>
          <w:rFonts w:hint="eastAsia" w:ascii="Times New Roman" w:hAnsi="Times New Roman" w:eastAsia="宋体" w:cs="宋体"/>
          <w:bCs/>
          <w:color w:val="auto"/>
          <w:sz w:val="24"/>
          <w:szCs w:val="24"/>
          <w:highlight w:val="none"/>
        </w:rPr>
        <w:t>部分正负偏离表（格式参见第</w:t>
      </w:r>
      <w:r>
        <w:rPr>
          <w:rFonts w:hint="eastAsia" w:ascii="Times New Roman" w:hAnsi="Times New Roman" w:eastAsia="宋体" w:cs="宋体"/>
          <w:bCs/>
          <w:color w:val="auto"/>
          <w:sz w:val="24"/>
          <w:szCs w:val="24"/>
          <w:highlight w:val="none"/>
          <w:lang w:eastAsia="zh-CN"/>
        </w:rPr>
        <w:t>七</w:t>
      </w:r>
      <w:r>
        <w:rPr>
          <w:rFonts w:hint="eastAsia" w:ascii="Times New Roman" w:hAnsi="Times New Roman" w:eastAsia="宋体" w:cs="宋体"/>
          <w:bCs/>
          <w:color w:val="auto"/>
          <w:sz w:val="24"/>
          <w:szCs w:val="24"/>
          <w:highlight w:val="none"/>
        </w:rPr>
        <w:t>章）</w:t>
      </w:r>
    </w:p>
    <w:p w14:paraId="5490AE2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4、</w:t>
      </w:r>
      <w:r>
        <w:rPr>
          <w:rFonts w:hint="eastAsia" w:ascii="Times New Roman" w:hAnsi="Times New Roman" w:eastAsia="宋体" w:cs="宋体"/>
          <w:bCs/>
          <w:color w:val="auto"/>
          <w:sz w:val="24"/>
          <w:szCs w:val="24"/>
          <w:highlight w:val="none"/>
        </w:rPr>
        <w:t>商务部分正负偏离表（格式参见第</w:t>
      </w:r>
      <w:r>
        <w:rPr>
          <w:rFonts w:hint="eastAsia" w:ascii="Times New Roman" w:hAnsi="Times New Roman" w:eastAsia="宋体" w:cs="宋体"/>
          <w:bCs/>
          <w:color w:val="auto"/>
          <w:sz w:val="24"/>
          <w:szCs w:val="24"/>
          <w:highlight w:val="none"/>
          <w:lang w:eastAsia="zh-CN"/>
        </w:rPr>
        <w:t>七</w:t>
      </w:r>
      <w:r>
        <w:rPr>
          <w:rFonts w:hint="eastAsia" w:ascii="Times New Roman" w:hAnsi="Times New Roman" w:eastAsia="宋体" w:cs="宋体"/>
          <w:bCs/>
          <w:color w:val="auto"/>
          <w:sz w:val="24"/>
          <w:szCs w:val="24"/>
          <w:highlight w:val="none"/>
        </w:rPr>
        <w:t>章）</w:t>
      </w:r>
    </w:p>
    <w:p w14:paraId="0B176A5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5、</w:t>
      </w:r>
      <w:r>
        <w:rPr>
          <w:rFonts w:hint="eastAsia" w:ascii="Times New Roman" w:hAnsi="Times New Roman" w:eastAsia="宋体" w:cs="宋体"/>
          <w:bCs/>
          <w:color w:val="auto"/>
          <w:sz w:val="24"/>
          <w:szCs w:val="24"/>
          <w:highlight w:val="none"/>
        </w:rPr>
        <w:t>磋商文件中评分标准所涉及的事项需提供的所有资料；</w:t>
      </w:r>
    </w:p>
    <w:p w14:paraId="0C5272E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6</w:t>
      </w:r>
      <w:r>
        <w:rPr>
          <w:rFonts w:hint="eastAsia" w:ascii="Times New Roman" w:hAnsi="Times New Roman" w:eastAsia="宋体" w:cs="宋体"/>
          <w:bCs/>
          <w:color w:val="auto"/>
          <w:sz w:val="24"/>
          <w:szCs w:val="24"/>
          <w:highlight w:val="none"/>
        </w:rPr>
        <w:t>、磋商文件中未涉及的事项，</w:t>
      </w:r>
      <w:r>
        <w:rPr>
          <w:rFonts w:hint="eastAsia" w:ascii="Times New Roman" w:hAnsi="Times New Roman" w:eastAsia="宋体" w:cs="宋体"/>
          <w:bCs/>
          <w:color w:val="auto"/>
          <w:sz w:val="24"/>
          <w:szCs w:val="24"/>
          <w:highlight w:val="none"/>
          <w:lang w:eastAsia="zh-CN"/>
        </w:rPr>
        <w:t>响应</w:t>
      </w:r>
      <w:r>
        <w:rPr>
          <w:rFonts w:hint="eastAsia" w:ascii="Times New Roman" w:hAnsi="Times New Roman" w:eastAsia="宋体" w:cs="宋体"/>
          <w:bCs/>
          <w:color w:val="auto"/>
          <w:sz w:val="24"/>
          <w:szCs w:val="24"/>
          <w:highlight w:val="none"/>
        </w:rPr>
        <w:t>供应商认为需要提交的其他资料。</w:t>
      </w:r>
    </w:p>
    <w:p w14:paraId="56F9402B">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特别提醒：</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资格审查文件</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技术响应文件</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所须提供的材料按磋商文件要求装订，密封，递交。</w:t>
      </w:r>
    </w:p>
    <w:p w14:paraId="4EEF105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三、报价响应文件（单独密封）</w:t>
      </w:r>
    </w:p>
    <w:p w14:paraId="302487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1、磋商响应报价表（格式参见附件）；</w:t>
      </w:r>
    </w:p>
    <w:p w14:paraId="1E90A19A">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2、磋商响应报价明细表</w:t>
      </w:r>
      <w:r>
        <w:rPr>
          <w:rFonts w:hint="eastAsia" w:ascii="Times New Roman" w:hAnsi="Times New Roman" w:eastAsia="宋体" w:cs="宋体"/>
          <w:color w:val="auto"/>
          <w:sz w:val="24"/>
          <w:szCs w:val="24"/>
          <w:highlight w:val="none"/>
        </w:rPr>
        <w:t>（格式参见附件）</w:t>
      </w:r>
      <w:r>
        <w:rPr>
          <w:rFonts w:hint="eastAsia" w:ascii="Times New Roman" w:hAnsi="Times New Roman" w:eastAsia="宋体" w:cs="宋体"/>
          <w:bCs/>
          <w:color w:val="auto"/>
          <w:sz w:val="24"/>
          <w:szCs w:val="24"/>
          <w:highlight w:val="none"/>
          <w:lang w:val="en-US" w:eastAsia="zh-CN"/>
        </w:rPr>
        <w:t>；</w:t>
      </w:r>
    </w:p>
    <w:p w14:paraId="0F163ADB">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ascii="Times New Roman" w:hAnsi="Times New Roman" w:eastAsia="宋体"/>
          <w:b/>
          <w:color w:val="auto"/>
          <w:sz w:val="24"/>
          <w:szCs w:val="24"/>
          <w:highlight w:val="none"/>
        </w:rPr>
      </w:pPr>
      <w:r>
        <w:rPr>
          <w:rFonts w:hint="eastAsia" w:ascii="Times New Roman" w:hAnsi="Times New Roman" w:eastAsia="宋体" w:cs="宋体"/>
          <w:color w:val="auto"/>
          <w:sz w:val="24"/>
          <w:szCs w:val="24"/>
          <w:highlight w:val="none"/>
        </w:rPr>
        <w:br w:type="page"/>
      </w:r>
    </w:p>
    <w:p w14:paraId="4C3EB441">
      <w:pPr>
        <w:keepNext w:val="0"/>
        <w:keepLines w:val="0"/>
        <w:pageBreakBefore w:val="0"/>
        <w:widowControl w:val="0"/>
        <w:kinsoku/>
        <w:wordWrap/>
        <w:topLinePunct w:val="0"/>
        <w:autoSpaceDE/>
        <w:autoSpaceDN/>
        <w:bidi w:val="0"/>
        <w:spacing w:line="360" w:lineRule="auto"/>
        <w:jc w:val="left"/>
        <w:textAlignment w:val="baseline"/>
        <w:rPr>
          <w:rFonts w:ascii="Times New Roman" w:hAnsi="Times New Roman" w:eastAsia="宋体"/>
          <w:b/>
          <w:color w:val="auto"/>
          <w:sz w:val="24"/>
          <w:highlight w:val="none"/>
        </w:rPr>
      </w:pPr>
      <w:r>
        <w:rPr>
          <w:rFonts w:hint="eastAsia" w:ascii="Times New Roman" w:hAnsi="Times New Roman" w:eastAsia="宋体"/>
          <w:b/>
          <w:color w:val="auto"/>
          <w:sz w:val="24"/>
          <w:szCs w:val="24"/>
          <w:highlight w:val="none"/>
        </w:rPr>
        <w:t>附件:</w:t>
      </w:r>
    </w:p>
    <w:p w14:paraId="732A05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1、法定代表人身份证明</w:t>
      </w:r>
    </w:p>
    <w:p w14:paraId="6AE0EE61">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（法定代表人参加投标，须出示此证明）</w:t>
      </w:r>
    </w:p>
    <w:p w14:paraId="724B7DC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p>
    <w:p w14:paraId="1E671B2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7A312EA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我公司法定代表人</w:t>
      </w:r>
      <w:r>
        <w:rPr>
          <w:rFonts w:hint="eastAsia" w:ascii="Times New Roman" w:hAnsi="Times New Roman" w:eastAsia="宋体" w:cs="宋体"/>
          <w:color w:val="auto"/>
          <w:sz w:val="24"/>
          <w:szCs w:val="24"/>
          <w:highlight w:val="none"/>
          <w:u w:val="single"/>
        </w:rPr>
        <w:t>　　　</w:t>
      </w:r>
      <w:r>
        <w:rPr>
          <w:rFonts w:hint="eastAsia" w:ascii="Times New Roman" w:hAnsi="Times New Roman" w:eastAsia="宋体" w:cs="宋体"/>
          <w:color w:val="auto"/>
          <w:sz w:val="24"/>
          <w:szCs w:val="24"/>
          <w:highlight w:val="none"/>
        </w:rPr>
        <w:t>参加贵单位组织的</w:t>
      </w:r>
      <w:r>
        <w:rPr>
          <w:rFonts w:hint="eastAsia" w:ascii="Times New Roman" w:hAnsi="Times New Roman" w:eastAsia="宋体"/>
          <w:color w:val="auto"/>
          <w:sz w:val="24"/>
          <w:szCs w:val="24"/>
          <w:highlight w:val="none"/>
          <w:u w:val="single"/>
          <w:lang w:eastAsia="zh-CN"/>
        </w:rPr>
        <w:t>南通市第三人民医院传染病智能检测预警前置软件服务及设备项目</w:t>
      </w:r>
      <w:r>
        <w:rPr>
          <w:rFonts w:hint="eastAsia" w:ascii="Times New Roman" w:hAnsi="Times New Roman" w:eastAsia="宋体" w:cs="宋体"/>
          <w:color w:val="auto"/>
          <w:sz w:val="24"/>
          <w:szCs w:val="24"/>
          <w:highlight w:val="none"/>
        </w:rPr>
        <w:t>（竞争性磋商项目名称）项目的磋商活动，全权代表我公司处理该磋商活动的有关事宜。</w:t>
      </w:r>
    </w:p>
    <w:p w14:paraId="09B35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6C411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附：法定代表人情况：</w:t>
      </w:r>
    </w:p>
    <w:p w14:paraId="5A9425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姓名：性别：年龄：职务：</w:t>
      </w:r>
    </w:p>
    <w:p w14:paraId="476C152C">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p>
    <w:p w14:paraId="68B46FC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手机：传真：</w:t>
      </w:r>
    </w:p>
    <w:p w14:paraId="069BEC9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w:t>
      </w:r>
    </w:p>
    <w:p w14:paraId="50F6DA97">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1F5CC40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单位名称（公章）法定代表人（签字或盖章）</w:t>
      </w:r>
    </w:p>
    <w:p w14:paraId="52938C0C">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年月日年月日</w:t>
      </w:r>
    </w:p>
    <w:p w14:paraId="0D63A7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3526DD7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法定代表人身份证复印件</w:t>
      </w:r>
    </w:p>
    <w:p w14:paraId="35F64DD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5DA3EF31">
      <w:pPr>
        <w:keepNext w:val="0"/>
        <w:keepLines w:val="0"/>
        <w:pageBreakBefore w:val="0"/>
        <w:widowControl w:val="0"/>
        <w:kinsoku/>
        <w:wordWrap/>
        <w:topLinePunct w:val="0"/>
        <w:autoSpaceDE/>
        <w:autoSpaceDN/>
        <w:bidi w:val="0"/>
        <w:spacing w:line="360" w:lineRule="auto"/>
        <w:ind w:firstLine="2280" w:firstLineChars="95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（粘贴此处）</w:t>
      </w:r>
    </w:p>
    <w:p w14:paraId="2877421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注:参加磋商活动时法定代表人将身份证原件带至开标现场备查。</w:t>
      </w:r>
    </w:p>
    <w:p w14:paraId="19A2CB54">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br w:type="page"/>
      </w:r>
    </w:p>
    <w:p w14:paraId="20390B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olor w:val="auto"/>
          <w:sz w:val="20"/>
          <w:highlight w:val="none"/>
        </w:rPr>
      </w:pPr>
      <w:r>
        <w:rPr>
          <w:rFonts w:hint="eastAsia" w:ascii="Times New Roman" w:hAnsi="Times New Roman" w:eastAsia="宋体"/>
          <w:b/>
          <w:color w:val="auto"/>
          <w:sz w:val="24"/>
          <w:szCs w:val="24"/>
          <w:highlight w:val="none"/>
        </w:rPr>
        <w:t>2、授权委托书</w:t>
      </w:r>
    </w:p>
    <w:p w14:paraId="440039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（委托代理人参加投标，须出示此证明）</w:t>
      </w:r>
    </w:p>
    <w:p w14:paraId="7E2D926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Cs/>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23E00D13">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兹授权</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rPr>
        <w:t>被授权人的姓名）代表我公司参加</w:t>
      </w:r>
      <w:r>
        <w:rPr>
          <w:rFonts w:hint="eastAsia" w:ascii="Times New Roman" w:hAnsi="Times New Roman" w:eastAsia="宋体"/>
          <w:color w:val="auto"/>
          <w:sz w:val="24"/>
          <w:szCs w:val="24"/>
          <w:highlight w:val="none"/>
          <w:u w:val="single"/>
          <w:lang w:eastAsia="zh-CN"/>
        </w:rPr>
        <w:t>南通市第三人民医院传染病智能检测预警前置软件服务及设备项目</w:t>
      </w:r>
      <w:r>
        <w:rPr>
          <w:rFonts w:hint="eastAsia" w:ascii="Times New Roman" w:hAnsi="Times New Roman" w:eastAsia="宋体" w:cs="宋体"/>
          <w:color w:val="auto"/>
          <w:sz w:val="24"/>
          <w:szCs w:val="24"/>
          <w:highlight w:val="none"/>
        </w:rPr>
        <w:t>（竞争性磋商项目名称）项目的磋商活动，全权处理一切与该项目磋商有关的事务。其在办理上述事宜过程中所签署的所有文件我公司均予以承认。</w:t>
      </w:r>
    </w:p>
    <w:p w14:paraId="6EC5AE49">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被授权人无转委托权。特此委托。</w:t>
      </w:r>
    </w:p>
    <w:p w14:paraId="4C4264BF">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color w:val="auto"/>
          <w:sz w:val="24"/>
          <w:szCs w:val="24"/>
          <w:highlight w:val="none"/>
        </w:rPr>
      </w:pPr>
    </w:p>
    <w:p w14:paraId="5654175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7188B0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附：被授权人情况：</w:t>
      </w:r>
    </w:p>
    <w:p w14:paraId="1ADC34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姓名：性别：年龄：职务：</w:t>
      </w:r>
    </w:p>
    <w:p w14:paraId="1369133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p>
    <w:p w14:paraId="58FA5C6A">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手机：传真：</w:t>
      </w:r>
    </w:p>
    <w:p w14:paraId="6368833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w:t>
      </w:r>
    </w:p>
    <w:p w14:paraId="1BF1A06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单位名称（公章）法定代表人（签字或盖章）</w:t>
      </w:r>
    </w:p>
    <w:p w14:paraId="1BAFC67B">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年月日年月日</w:t>
      </w:r>
    </w:p>
    <w:p w14:paraId="5CAEAFE6">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2B4875B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法定代表人身份证复印件</w:t>
      </w:r>
    </w:p>
    <w:p w14:paraId="134EFE6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699508A2">
      <w:pPr>
        <w:keepNext w:val="0"/>
        <w:keepLines w:val="0"/>
        <w:pageBreakBefore w:val="0"/>
        <w:widowControl w:val="0"/>
        <w:kinsoku/>
        <w:wordWrap/>
        <w:topLinePunct w:val="0"/>
        <w:autoSpaceDE/>
        <w:autoSpaceDN/>
        <w:bidi w:val="0"/>
        <w:spacing w:line="360" w:lineRule="auto"/>
        <w:ind w:firstLine="3960" w:firstLineChars="165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（粘贴此处）</w:t>
      </w:r>
    </w:p>
    <w:p w14:paraId="67B3912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被授权人身份证复印件</w:t>
      </w:r>
    </w:p>
    <w:p w14:paraId="7BDF9F0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color w:val="auto"/>
          <w:sz w:val="24"/>
          <w:szCs w:val="24"/>
          <w:highlight w:val="none"/>
        </w:rPr>
        <w:t>（粘贴此处）</w:t>
      </w:r>
    </w:p>
    <w:p w14:paraId="3B5C7E52">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注:参加磋商活动时被授权人将身份证原件带至开标现场备查。</w:t>
      </w:r>
    </w:p>
    <w:p w14:paraId="4499F4A3">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color w:val="auto"/>
          <w:sz w:val="24"/>
          <w:szCs w:val="24"/>
          <w:highlight w:val="none"/>
        </w:rPr>
      </w:pPr>
    </w:p>
    <w:p w14:paraId="294A71F8">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28B6A7E0">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3、供应商符合《中华人民共和国政府采购法》第二十二条规定条件的声明函</w:t>
      </w:r>
    </w:p>
    <w:p w14:paraId="4C04BA76">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color w:val="auto"/>
          <w:sz w:val="24"/>
          <w:szCs w:val="21"/>
          <w:highlight w:val="none"/>
          <w:u w:val="single"/>
        </w:rPr>
      </w:pPr>
    </w:p>
    <w:p w14:paraId="4ABC32A0">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bCs/>
          <w:color w:val="auto"/>
          <w:sz w:val="24"/>
          <w:szCs w:val="21"/>
          <w:highlight w:val="none"/>
        </w:rPr>
      </w:pPr>
      <w:r>
        <w:rPr>
          <w:rFonts w:hint="eastAsia" w:ascii="Times New Roman" w:hAnsi="Times New Roman" w:eastAsia="宋体"/>
          <w:color w:val="auto"/>
          <w:sz w:val="24"/>
          <w:szCs w:val="24"/>
          <w:highlight w:val="none"/>
          <w:u w:val="single"/>
        </w:rPr>
        <w:t>南通市第三人民医院</w:t>
      </w:r>
      <w:r>
        <w:rPr>
          <w:rFonts w:ascii="Times New Roman" w:hAnsi="Times New Roman" w:eastAsia="宋体" w:cs="Times New Roman"/>
          <w:bCs/>
          <w:color w:val="auto"/>
          <w:sz w:val="24"/>
          <w:szCs w:val="21"/>
          <w:highlight w:val="none"/>
        </w:rPr>
        <w:t>：</w:t>
      </w:r>
    </w:p>
    <w:p w14:paraId="10272BC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
          <w:bCs/>
          <w:color w:val="auto"/>
          <w:sz w:val="24"/>
          <w:szCs w:val="21"/>
          <w:highlight w:val="none"/>
        </w:rPr>
      </w:pPr>
      <w:r>
        <w:rPr>
          <w:rFonts w:hint="eastAsia" w:ascii="Times New Roman" w:hAnsi="Times New Roman" w:eastAsia="宋体" w:cs="Times New Roman"/>
          <w:bCs/>
          <w:color w:val="auto"/>
          <w:sz w:val="24"/>
          <w:szCs w:val="21"/>
          <w:highlight w:val="none"/>
        </w:rPr>
        <w:t>我单位参加</w:t>
      </w:r>
      <w:r>
        <w:rPr>
          <w:rFonts w:hint="eastAsia" w:ascii="Times New Roman" w:hAnsi="Times New Roman" w:eastAsia="宋体" w:cs="Times New Roman"/>
          <w:bCs/>
          <w:color w:val="auto"/>
          <w:sz w:val="24"/>
          <w:szCs w:val="21"/>
          <w:highlight w:val="none"/>
          <w:u w:val="single"/>
        </w:rPr>
        <w:t>________________ _</w:t>
      </w:r>
      <w:r>
        <w:rPr>
          <w:rFonts w:hint="eastAsia" w:ascii="Times New Roman" w:hAnsi="Times New Roman" w:eastAsia="宋体" w:cs="Times New Roman"/>
          <w:bCs/>
          <w:color w:val="auto"/>
          <w:sz w:val="24"/>
          <w:szCs w:val="21"/>
          <w:highlight w:val="none"/>
        </w:rPr>
        <w:t>（项目名称），</w:t>
      </w:r>
      <w:r>
        <w:rPr>
          <w:rFonts w:hint="eastAsia" w:ascii="Times New Roman" w:hAnsi="Times New Roman" w:eastAsia="宋体" w:cs="Times New Roman"/>
          <w:bCs/>
          <w:color w:val="auto"/>
          <w:sz w:val="24"/>
          <w:szCs w:val="21"/>
          <w:highlight w:val="none"/>
          <w:u w:val="single"/>
        </w:rPr>
        <w:t>_______ __________</w:t>
      </w:r>
      <w:r>
        <w:rPr>
          <w:rFonts w:hint="eastAsia" w:ascii="Times New Roman" w:hAnsi="Times New Roman" w:eastAsia="宋体" w:cs="Times New Roman"/>
          <w:bCs/>
          <w:color w:val="auto"/>
          <w:sz w:val="24"/>
          <w:szCs w:val="21"/>
          <w:highlight w:val="none"/>
        </w:rPr>
        <w:t>（项目编号）竞争性磋商活动。针对《中华人民共和国政府采购法》第二十二条规定做出如下声明：</w:t>
      </w:r>
    </w:p>
    <w:p w14:paraId="19EA956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bCs/>
          <w:color w:val="auto"/>
          <w:sz w:val="24"/>
          <w:szCs w:val="21"/>
          <w:highlight w:val="none"/>
        </w:rPr>
        <w:t>1.我单位具有独立承担民事责任的能力；</w:t>
      </w:r>
    </w:p>
    <w:p w14:paraId="1A785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2.我单位具有良好的商业信誉和健全的财务会计制度；</w:t>
      </w:r>
    </w:p>
    <w:p w14:paraId="31A8F42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3.我单位具有履行合同所必需的设备和专业技术能力；</w:t>
      </w:r>
    </w:p>
    <w:p w14:paraId="1900871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4.我单位有依法缴纳税收和社会保障资金的良好记录；</w:t>
      </w:r>
    </w:p>
    <w:p w14:paraId="0FCD552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较大数额罚款</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认定为200万元以上的罚款，法律、行政法规以及国务院有关部门明确规定相关领域</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较大数额罚款</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标准高于200万元的，从其规定。）</w:t>
      </w:r>
    </w:p>
    <w:p w14:paraId="768A4146">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Cs/>
          <w:color w:val="auto"/>
          <w:sz w:val="24"/>
          <w:szCs w:val="21"/>
          <w:highlight w:val="none"/>
        </w:rPr>
      </w:pPr>
      <w:r>
        <w:rPr>
          <w:rFonts w:hint="eastAsia" w:ascii="Times New Roman" w:hAnsi="Times New Roman" w:eastAsia="宋体" w:cs="Times New Roman"/>
          <w:color w:val="auto"/>
          <w:sz w:val="24"/>
          <w:szCs w:val="21"/>
          <w:highlight w:val="none"/>
        </w:rPr>
        <w:t>6.我单位满足法律、行政法规规定的其他条件。</w:t>
      </w:r>
    </w:p>
    <w:p w14:paraId="3E31EBA1">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color w:val="auto"/>
          <w:sz w:val="28"/>
          <w:szCs w:val="20"/>
          <w:highlight w:val="none"/>
        </w:rPr>
      </w:pPr>
    </w:p>
    <w:p w14:paraId="1345351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p>
    <w:p w14:paraId="06041CA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供应商：（加盖公章）</w:t>
      </w:r>
    </w:p>
    <w:p w14:paraId="71726D7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法定代表人或被授权人：（签字或盖章）</w:t>
      </w:r>
    </w:p>
    <w:p w14:paraId="58A40EDC">
      <w:pPr>
        <w:keepNext w:val="0"/>
        <w:keepLines w:val="0"/>
        <w:pageBreakBefore w:val="0"/>
        <w:widowControl w:val="0"/>
        <w:kinsoku/>
        <w:wordWrap/>
        <w:topLinePunct w:val="0"/>
        <w:autoSpaceDE/>
        <w:autoSpaceDN/>
        <w:bidi w:val="0"/>
        <w:spacing w:line="360" w:lineRule="auto"/>
        <w:ind w:firstLine="1320" w:firstLineChars="55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p w14:paraId="7B970FE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1DC4C2D6">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Times New Roman"/>
          <w:b/>
          <w:color w:val="auto"/>
          <w:sz w:val="24"/>
          <w:szCs w:val="24"/>
          <w:highlight w:val="none"/>
        </w:rPr>
      </w:pPr>
      <w:r>
        <w:rPr>
          <w:rFonts w:hint="eastAsia" w:ascii="Times New Roman" w:hAnsi="Times New Roman" w:eastAsia="宋体"/>
          <w:b/>
          <w:color w:val="auto"/>
          <w:sz w:val="24"/>
          <w:szCs w:val="24"/>
          <w:highlight w:val="none"/>
        </w:rPr>
        <w:t>4、</w:t>
      </w:r>
      <w:r>
        <w:rPr>
          <w:rFonts w:hint="eastAsia" w:ascii="Times New Roman" w:hAnsi="Times New Roman" w:eastAsia="宋体" w:cs="Times New Roman"/>
          <w:b/>
          <w:color w:val="auto"/>
          <w:sz w:val="24"/>
          <w:szCs w:val="24"/>
          <w:highlight w:val="none"/>
        </w:rPr>
        <w:t>诚信承诺书</w:t>
      </w:r>
    </w:p>
    <w:p w14:paraId="4C039A2A">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color w:val="auto"/>
          <w:sz w:val="28"/>
          <w:szCs w:val="28"/>
          <w:highlight w:val="none"/>
          <w:u w:val="single"/>
        </w:rPr>
      </w:pPr>
      <w:r>
        <w:rPr>
          <w:rFonts w:ascii="Times New Roman" w:hAnsi="Times New Roman" w:eastAsia="宋体" w:cs="仿宋_GB2312"/>
          <w:color w:val="auto"/>
          <w:sz w:val="24"/>
          <w:szCs w:val="24"/>
          <w:highlight w:val="none"/>
          <w:u w:val="single"/>
        </w:rPr>
        <w:softHyphen/>
      </w:r>
      <w:r>
        <w:rPr>
          <w:rFonts w:hint="eastAsia" w:ascii="Times New Roman" w:hAnsi="Times New Roman" w:eastAsia="宋体" w:cs="仿宋_GB2312"/>
          <w:color w:val="auto"/>
          <w:sz w:val="24"/>
          <w:szCs w:val="24"/>
          <w:highlight w:val="none"/>
          <w:u w:val="single"/>
        </w:rPr>
        <w:t>______</w:t>
      </w:r>
      <w:r>
        <w:rPr>
          <w:rFonts w:hint="eastAsia" w:ascii="Times New Roman" w:hAnsi="Times New Roman" w:eastAsia="宋体" w:cs="宋体"/>
          <w:color w:val="auto"/>
          <w:sz w:val="24"/>
          <w:szCs w:val="24"/>
          <w:highlight w:val="none"/>
          <w:u w:val="single"/>
        </w:rPr>
        <w:t>：</w:t>
      </w:r>
    </w:p>
    <w:p w14:paraId="6D322D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我单位在参加贵单位组织的</w:t>
      </w:r>
      <w:r>
        <w:rPr>
          <w:rFonts w:hint="eastAsia" w:ascii="Times New Roman" w:hAnsi="Times New Roman" w:eastAsia="宋体" w:cs="宋体"/>
          <w:color w:val="auto"/>
          <w:sz w:val="24"/>
          <w:szCs w:val="24"/>
          <w:highlight w:val="none"/>
          <w:u w:val="single"/>
        </w:rPr>
        <w:t xml:space="preserve">     项目</w:t>
      </w:r>
      <w:r>
        <w:rPr>
          <w:rFonts w:hint="eastAsia" w:ascii="Times New Roman" w:hAnsi="Times New Roman" w:eastAsia="宋体" w:cs="宋体"/>
          <w:color w:val="auto"/>
          <w:sz w:val="24"/>
          <w:szCs w:val="24"/>
          <w:highlight w:val="none"/>
        </w:rPr>
        <w:t>的招投标活动中，郑重承诺如下：</w:t>
      </w:r>
    </w:p>
    <w:p w14:paraId="4FC44F01">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1、我方申报的所有资料都是真实、准确、完整的；</w:t>
      </w:r>
    </w:p>
    <w:p w14:paraId="1E8C534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2、我方无资质挂靠或参与串标、围标、及抬标情形；</w:t>
      </w:r>
    </w:p>
    <w:p w14:paraId="58D22709">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3、我方没有被各级行政主管部门做出停止市场行为的处罚；</w:t>
      </w:r>
    </w:p>
    <w:p w14:paraId="445D709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4、若我方中标，将严格按照规定及时与招标单位签订合同；</w:t>
      </w:r>
    </w:p>
    <w:p w14:paraId="5D33C2DC">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5、若我方中标，将严格按照</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文件所承诺的报价、质量、供货期等内容组织实施；</w:t>
      </w:r>
    </w:p>
    <w:p w14:paraId="40DBAAF4">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若我方违反上述承诺，隐瞒、提供虚假资料或不按</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文件要求组织实施，被贵方发现或被他人举报查实，无条件接受有关行政监督部门做出的取消投标资格、中标资格、没收</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保证金、不良行为记录、限制其一定期限内投标资格等处罚。对造成的损失，任何法律和经济责任完全由我方负责。</w:t>
      </w:r>
    </w:p>
    <w:p w14:paraId="10CA0CFA">
      <w:pPr>
        <w:keepNext w:val="0"/>
        <w:keepLines w:val="0"/>
        <w:pageBreakBefore w:val="0"/>
        <w:widowControl w:val="0"/>
        <w:kinsoku/>
        <w:wordWrap/>
        <w:topLinePunct w:val="0"/>
        <w:autoSpaceDE/>
        <w:autoSpaceDN/>
        <w:bidi w:val="0"/>
        <w:spacing w:line="360" w:lineRule="auto"/>
        <w:ind w:firstLine="560" w:firstLineChars="200"/>
        <w:rPr>
          <w:rFonts w:ascii="Times New Roman" w:hAnsi="Times New Roman" w:eastAsia="宋体" w:cs="宋体"/>
          <w:bCs/>
          <w:color w:val="auto"/>
          <w:sz w:val="28"/>
          <w:szCs w:val="28"/>
          <w:highlight w:val="none"/>
        </w:rPr>
      </w:pPr>
    </w:p>
    <w:p w14:paraId="0E306E57">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供应商：（加盖公章）</w:t>
      </w:r>
    </w:p>
    <w:p w14:paraId="1C2E879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法定代表人或被授权人：（签字或盖章）</w:t>
      </w:r>
    </w:p>
    <w:p w14:paraId="06093B84">
      <w:pPr>
        <w:keepNext w:val="0"/>
        <w:keepLines w:val="0"/>
        <w:pageBreakBefore w:val="0"/>
        <w:widowControl w:val="0"/>
        <w:kinsoku/>
        <w:wordWrap/>
        <w:topLinePunct w:val="0"/>
        <w:autoSpaceDE/>
        <w:autoSpaceDN/>
        <w:bidi w:val="0"/>
        <w:spacing w:line="360" w:lineRule="auto"/>
        <w:ind w:firstLine="1320" w:firstLineChars="550"/>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p w14:paraId="030B8FD7">
      <w:pPr>
        <w:keepNext w:val="0"/>
        <w:keepLines w:val="0"/>
        <w:pageBreakBefore w:val="0"/>
        <w:kinsoku/>
        <w:topLinePunct w:val="0"/>
        <w:autoSpaceDE/>
        <w:autoSpaceDN/>
        <w:bidi w:val="0"/>
        <w:spacing w:line="360" w:lineRule="auto"/>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color w:val="auto"/>
          <w:sz w:val="24"/>
          <w:szCs w:val="24"/>
          <w:highlight w:val="none"/>
        </w:rPr>
        <w:br w:type="page"/>
      </w:r>
    </w:p>
    <w:p w14:paraId="49A9F47F">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5</w:t>
      </w:r>
      <w:r>
        <w:rPr>
          <w:rFonts w:hint="eastAsia" w:ascii="Times New Roman" w:hAnsi="Times New Roman" w:eastAsia="宋体" w:cs="宋体"/>
          <w:b/>
          <w:bCs/>
          <w:color w:val="auto"/>
          <w:sz w:val="24"/>
          <w:szCs w:val="24"/>
          <w:highlight w:val="none"/>
        </w:rPr>
        <w:t>、竞争性磋商响应函</w:t>
      </w:r>
    </w:p>
    <w:p w14:paraId="41CFE15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64E039D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依据贵单位委托代理机构组织的（磋商项目名称)项目竞争性磋商的邀请，我方授权</w:t>
      </w:r>
      <w:r>
        <w:rPr>
          <w:rFonts w:hint="eastAsia" w:ascii="Times New Roman" w:hAnsi="Times New Roman" w:eastAsia="宋体"/>
          <w:color w:val="auto"/>
          <w:sz w:val="24"/>
          <w:szCs w:val="24"/>
          <w:highlight w:val="none"/>
          <w:u w:val="single"/>
        </w:rPr>
        <w:t>（姓名）（职务）为</w:t>
      </w:r>
      <w:r>
        <w:rPr>
          <w:rFonts w:hint="eastAsia" w:ascii="Times New Roman" w:hAnsi="Times New Roman" w:eastAsia="宋体"/>
          <w:color w:val="auto"/>
          <w:sz w:val="24"/>
          <w:szCs w:val="24"/>
          <w:highlight w:val="none"/>
        </w:rPr>
        <w:t>全权代表参加该项目的磋商工作，全权处理本次竞争性磋商的有关事宜。同时，我公司声明如下：</w:t>
      </w:r>
    </w:p>
    <w:p w14:paraId="51FBA21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1、同意并接受竞争性磋商文件的各项要求，遵守竞争性磋商文件中的各项规定，按竞争性磋商文件的要求提供报价。</w:t>
      </w:r>
    </w:p>
    <w:p w14:paraId="6C6A61C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F3D4B6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3、我公司已毫无保留地向贵方提供一切所需的证明材料。</w:t>
      </w:r>
    </w:p>
    <w:p w14:paraId="1CD14FA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4、我公司承诺在本次磋商响应中提供的一切文件，无论是原件还是复印件均真实有效，绝无任何虚假、伪造和夸大的成份。否则，愿承担相应的后果和法律责任。</w:t>
      </w:r>
    </w:p>
    <w:p w14:paraId="67F4F44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color w:val="auto"/>
          <w:sz w:val="24"/>
          <w:szCs w:val="24"/>
          <w:highlight w:val="none"/>
        </w:rPr>
        <w:t>5、</w:t>
      </w:r>
      <w:r>
        <w:rPr>
          <w:rFonts w:hint="eastAsia" w:ascii="Times New Roman" w:hAnsi="Times New Roman" w:eastAsia="宋体"/>
          <w:b/>
          <w:color w:val="auto"/>
          <w:sz w:val="24"/>
          <w:szCs w:val="24"/>
          <w:highlight w:val="none"/>
        </w:rPr>
        <w:t>我公司尊重磋商小组所作的评定结果，同时清楚理解到报价最低并非意味着必定获得成交资格。</w:t>
      </w:r>
    </w:p>
    <w:p w14:paraId="58857A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6</w:t>
      </w:r>
      <w:r>
        <w:rPr>
          <w:rFonts w:hint="eastAsia" w:ascii="Times New Roman" w:hAnsi="Times New Roman" w:eastAsia="宋体"/>
          <w:color w:val="auto"/>
          <w:sz w:val="24"/>
          <w:szCs w:val="24"/>
          <w:highlight w:val="none"/>
        </w:rPr>
        <w:t>、一旦成交，我方承诺无正当理由拒绝签订合同，将被贵方取消成交资格，同意贵方将磋商保证金作为违约金全额不予退还的处理。</w:t>
      </w:r>
    </w:p>
    <w:p w14:paraId="308FC1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7</w:t>
      </w:r>
      <w:r>
        <w:rPr>
          <w:rFonts w:hint="eastAsia" w:ascii="Times New Roman" w:hAnsi="Times New Roman" w:eastAsia="宋体"/>
          <w:color w:val="auto"/>
          <w:sz w:val="24"/>
          <w:szCs w:val="24"/>
          <w:highlight w:val="none"/>
        </w:rPr>
        <w:t>、</w:t>
      </w:r>
      <w:r>
        <w:rPr>
          <w:rFonts w:hint="eastAsia" w:ascii="Times New Roman" w:hAnsi="Times New Roman" w:eastAsia="宋体"/>
          <w:b/>
          <w:color w:val="auto"/>
          <w:sz w:val="24"/>
          <w:szCs w:val="24"/>
          <w:highlight w:val="none"/>
        </w:rPr>
        <w:t>一旦成交，我方将根据竞争性磋商文件的规定，严格履行合同规定的责任和义务，并保证在竞争性磋商文件中规定的时间期限内完成合同项目。</w:t>
      </w:r>
    </w:p>
    <w:p w14:paraId="5EEBBD7C">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color w:val="auto"/>
          <w:sz w:val="24"/>
          <w:szCs w:val="24"/>
          <w:highlight w:val="none"/>
        </w:rPr>
      </w:pPr>
    </w:p>
    <w:p w14:paraId="2D5797B5">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竞争性磋商响应单位：（加盖公章）</w:t>
      </w:r>
    </w:p>
    <w:p w14:paraId="5F1E5940">
      <w:pPr>
        <w:keepNext w:val="0"/>
        <w:keepLines w:val="0"/>
        <w:pageBreakBefore w:val="0"/>
        <w:widowControl w:val="0"/>
        <w:kinsoku/>
        <w:wordWrap/>
        <w:topLinePunct w:val="0"/>
        <w:autoSpaceDE/>
        <w:autoSpaceDN/>
        <w:bidi w:val="0"/>
        <w:spacing w:line="360" w:lineRule="auto"/>
        <w:ind w:firstLine="3600" w:firstLineChars="15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法定代表人：（签字或盖章）</w:t>
      </w:r>
    </w:p>
    <w:p w14:paraId="080E7D08">
      <w:pPr>
        <w:keepNext w:val="0"/>
        <w:keepLines w:val="0"/>
        <w:pageBreakBefore w:val="0"/>
        <w:widowControl w:val="0"/>
        <w:kinsoku/>
        <w:wordWrap/>
        <w:topLinePunct w:val="0"/>
        <w:autoSpaceDE/>
        <w:autoSpaceDN/>
        <w:bidi w:val="0"/>
        <w:spacing w:line="360" w:lineRule="auto"/>
        <w:ind w:firstLine="6840" w:firstLineChars="28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年月日</w:t>
      </w:r>
    </w:p>
    <w:p w14:paraId="29FDDB08">
      <w:pPr>
        <w:keepNext w:val="0"/>
        <w:keepLines w:val="0"/>
        <w:pageBreakBefore w:val="0"/>
        <w:kinsoku/>
        <w:topLinePunct w:val="0"/>
        <w:autoSpaceDE/>
        <w:autoSpaceDN/>
        <w:bidi w:val="0"/>
        <w:spacing w:line="360" w:lineRule="auto"/>
        <w:rPr>
          <w:rFonts w:hint="eastAsia" w:ascii="Times New Roman" w:hAnsi="Times New Roman" w:eastAsia="宋体"/>
          <w:b/>
          <w:color w:val="auto"/>
          <w:sz w:val="24"/>
          <w:szCs w:val="24"/>
          <w:highlight w:val="none"/>
          <w:lang w:val="en-US" w:eastAsia="zh-CN"/>
        </w:rPr>
      </w:pPr>
    </w:p>
    <w:p w14:paraId="0B0F1166">
      <w:pPr>
        <w:keepNext w:val="0"/>
        <w:keepLines w:val="0"/>
        <w:pageBreakBefore w:val="0"/>
        <w:kinsoku/>
        <w:topLinePunct w:val="0"/>
        <w:autoSpaceDE/>
        <w:autoSpaceDN/>
        <w:bidi w:val="0"/>
        <w:spacing w:line="360" w:lineRule="auto"/>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br w:type="page"/>
      </w:r>
    </w:p>
    <w:p w14:paraId="5EFC8A36">
      <w:pPr>
        <w:keepNext w:val="0"/>
        <w:keepLines w:val="0"/>
        <w:pageBreakBefore w:val="0"/>
        <w:kinsoku/>
        <w:topLinePunct w:val="0"/>
        <w:autoSpaceDE/>
        <w:autoSpaceDN/>
        <w:bidi w:val="0"/>
        <w:spacing w:line="360" w:lineRule="auto"/>
        <w:jc w:val="center"/>
        <w:rPr>
          <w:rFonts w:ascii="Times New Roman" w:hAnsi="Times New Roman" w:cs="宋体"/>
          <w:b/>
          <w:color w:val="auto"/>
          <w:sz w:val="24"/>
          <w:szCs w:val="24"/>
          <w:highlight w:val="none"/>
        </w:rPr>
      </w:pPr>
      <w:r>
        <w:rPr>
          <w:rFonts w:hint="eastAsia" w:ascii="Times New Roman" w:hAnsi="Times New Roman"/>
          <w:b/>
          <w:color w:val="auto"/>
          <w:sz w:val="24"/>
          <w:szCs w:val="24"/>
          <w:highlight w:val="none"/>
          <w:lang w:val="en-US" w:eastAsia="zh-CN"/>
        </w:rPr>
        <w:t>6</w:t>
      </w:r>
      <w:r>
        <w:rPr>
          <w:rFonts w:hint="eastAsia" w:ascii="Times New Roman" w:hAnsi="Times New Roman"/>
          <w:b/>
          <w:color w:val="auto"/>
          <w:sz w:val="24"/>
          <w:szCs w:val="24"/>
          <w:highlight w:val="none"/>
        </w:rPr>
        <w:t>、</w:t>
      </w:r>
      <w:r>
        <w:rPr>
          <w:rFonts w:ascii="Times New Roman" w:hAnsi="Times New Roman"/>
          <w:b/>
          <w:bCs/>
          <w:color w:val="auto"/>
          <w:sz w:val="24"/>
          <w:szCs w:val="24"/>
          <w:highlight w:val="none"/>
        </w:rPr>
        <w:t>供应商一般情况表</w:t>
      </w:r>
    </w:p>
    <w:tbl>
      <w:tblPr>
        <w:tblStyle w:val="2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40A215F">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997F416">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4A6F1267">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2D06D9D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8DB13B8">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03F87BB1">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1741608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B88F46C">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7463C496">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27DF4E7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30A736D">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6CEE8DE6">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6CE3ACD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E117316">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3C50B9EF">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09D3AF5D">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338688B5">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1FC0E33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127E447">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1988CDAB">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5FBF3F37">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7C14C35B">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39C59AEC">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EE8C6FD">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2CD32C1C">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7BE2FE5E">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7944468E">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5C1033E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2398A18">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4968E794">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公司具备的相关资质等级及相应的证书号</w:t>
            </w:r>
          </w:p>
          <w:p w14:paraId="2565F232">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（请附有关证书的复印件）</w:t>
            </w:r>
          </w:p>
        </w:tc>
      </w:tr>
      <w:tr w14:paraId="09A8DFA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922CA55">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78882D71">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w:t>
            </w:r>
            <w:r>
              <w:rPr>
                <w:rFonts w:hint="eastAsia" w:ascii="Times New Roman" w:hAnsi="Times New Roman" w:cs="宋体"/>
                <w:color w:val="auto"/>
                <w:sz w:val="24"/>
                <w:szCs w:val="24"/>
                <w:highlight w:val="none"/>
                <w:u w:val="single"/>
              </w:rPr>
              <w:t xml:space="preserve">   （是否通过，何种）   </w:t>
            </w:r>
            <w:r>
              <w:rPr>
                <w:rFonts w:hint="eastAsia" w:ascii="Times New Roman" w:hAnsi="Times New Roman" w:cs="宋体"/>
                <w:color w:val="auto"/>
                <w:sz w:val="24"/>
                <w:szCs w:val="24"/>
                <w:highlight w:val="none"/>
              </w:rPr>
              <w:t>质量保证体系认证（如通过请附相关在有效期内的证书复印件）</w:t>
            </w:r>
          </w:p>
        </w:tc>
      </w:tr>
      <w:tr w14:paraId="5285AB8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7394BEB">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14FD4989">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p>
        </w:tc>
        <w:tc>
          <w:tcPr>
            <w:tcW w:w="1417" w:type="dxa"/>
            <w:gridSpan w:val="2"/>
            <w:tcBorders>
              <w:top w:val="single" w:color="auto" w:sz="4" w:space="0"/>
              <w:left w:val="nil"/>
              <w:bottom w:val="single" w:color="auto" w:sz="4" w:space="0"/>
              <w:right w:val="single" w:color="auto" w:sz="4" w:space="0"/>
            </w:tcBorders>
            <w:noWrap w:val="0"/>
            <w:vAlign w:val="top"/>
          </w:tcPr>
          <w:p w14:paraId="540B98AF">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20069AC9">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p>
        </w:tc>
        <w:tc>
          <w:tcPr>
            <w:tcW w:w="1320" w:type="dxa"/>
            <w:tcBorders>
              <w:top w:val="single" w:color="auto" w:sz="4" w:space="0"/>
              <w:left w:val="nil"/>
              <w:bottom w:val="single" w:color="auto" w:sz="4" w:space="0"/>
              <w:right w:val="single" w:color="auto" w:sz="4" w:space="0"/>
            </w:tcBorders>
            <w:noWrap w:val="0"/>
            <w:vAlign w:val="top"/>
          </w:tcPr>
          <w:p w14:paraId="73F75210">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性别</w:t>
            </w:r>
          </w:p>
        </w:tc>
        <w:tc>
          <w:tcPr>
            <w:tcW w:w="1467" w:type="dxa"/>
            <w:tcBorders>
              <w:top w:val="single" w:color="auto" w:sz="4" w:space="0"/>
              <w:left w:val="nil"/>
              <w:bottom w:val="single" w:color="auto" w:sz="4" w:space="0"/>
              <w:right w:val="single" w:color="auto" w:sz="4" w:space="0"/>
            </w:tcBorders>
            <w:noWrap w:val="0"/>
            <w:vAlign w:val="top"/>
          </w:tcPr>
          <w:p w14:paraId="4BCB8897">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p>
        </w:tc>
      </w:tr>
      <w:tr w14:paraId="40781A4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8B0A8C9">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32AD43DD">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c>
          <w:tcPr>
            <w:tcW w:w="1466" w:type="dxa"/>
            <w:gridSpan w:val="2"/>
            <w:tcBorders>
              <w:top w:val="single" w:color="auto" w:sz="4" w:space="0"/>
              <w:left w:val="nil"/>
              <w:bottom w:val="single" w:color="auto" w:sz="4" w:space="0"/>
              <w:right w:val="single" w:color="auto" w:sz="4" w:space="0"/>
            </w:tcBorders>
            <w:noWrap w:val="0"/>
            <w:vAlign w:val="top"/>
          </w:tcPr>
          <w:p w14:paraId="67B38DDD">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606BB6B0">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18FA155E">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475356B">
            <w:pPr>
              <w:keepNext w:val="0"/>
              <w:keepLines w:val="0"/>
              <w:pageBreakBefore w:val="0"/>
              <w:kinsoku/>
              <w:topLinePunct w:val="0"/>
              <w:autoSpaceDE/>
              <w:autoSpaceDN/>
              <w:bidi w:val="0"/>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51ADCFC9">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营业执照载明：</w:t>
            </w:r>
          </w:p>
          <w:p w14:paraId="5EE0BD47">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1.</w:t>
            </w:r>
          </w:p>
          <w:p w14:paraId="07B584BE">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2.</w:t>
            </w:r>
          </w:p>
          <w:p w14:paraId="29E64E2B">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w:t>
            </w:r>
          </w:p>
        </w:tc>
      </w:tr>
      <w:tr w14:paraId="0735234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B7E6512">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23470065">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r w14:paraId="2607E268">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1FE15FE">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43EAD9AF">
            <w:pPr>
              <w:keepNext w:val="0"/>
              <w:keepLines w:val="0"/>
              <w:pageBreakBefore w:val="0"/>
              <w:kinsoku/>
              <w:topLinePunct w:val="0"/>
              <w:autoSpaceDE/>
              <w:autoSpaceDN/>
              <w:bidi w:val="0"/>
              <w:spacing w:line="360" w:lineRule="auto"/>
              <w:rPr>
                <w:rFonts w:ascii="Times New Roman" w:hAnsi="Times New Roman" w:cs="宋体"/>
                <w:color w:val="auto"/>
                <w:sz w:val="24"/>
                <w:szCs w:val="24"/>
                <w:highlight w:val="none"/>
              </w:rPr>
            </w:pPr>
          </w:p>
        </w:tc>
      </w:tr>
    </w:tbl>
    <w:p w14:paraId="1498CB8B">
      <w:pPr>
        <w:keepNext w:val="0"/>
        <w:keepLines w:val="0"/>
        <w:pageBreakBefore w:val="0"/>
        <w:kinsoku/>
        <w:topLinePunct w:val="0"/>
        <w:autoSpaceDE/>
        <w:autoSpaceDN/>
        <w:bidi w:val="0"/>
        <w:spacing w:line="360" w:lineRule="auto"/>
        <w:ind w:firstLine="480" w:firstLineChars="20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供应商：（加盖公章）</w:t>
      </w:r>
    </w:p>
    <w:p w14:paraId="68FA0755">
      <w:pPr>
        <w:keepNext w:val="0"/>
        <w:keepLines w:val="0"/>
        <w:pageBreakBefore w:val="0"/>
        <w:kinsoku/>
        <w:topLinePunct w:val="0"/>
        <w:autoSpaceDE/>
        <w:autoSpaceDN/>
        <w:bidi w:val="0"/>
        <w:spacing w:line="360" w:lineRule="auto"/>
        <w:ind w:firstLine="480" w:firstLineChars="20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法定代表人或被授权人：（签字或盖章）</w:t>
      </w:r>
    </w:p>
    <w:p w14:paraId="37205B1E">
      <w:pPr>
        <w:keepNext w:val="0"/>
        <w:keepLines w:val="0"/>
        <w:pageBreakBefore w:val="0"/>
        <w:kinsoku/>
        <w:topLinePunct w:val="0"/>
        <w:autoSpaceDE/>
        <w:autoSpaceDN/>
        <w:bidi w:val="0"/>
        <w:spacing w:line="360" w:lineRule="auto"/>
        <w:ind w:firstLine="1320" w:firstLineChars="55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年      月     日</w:t>
      </w:r>
    </w:p>
    <w:p w14:paraId="75556BD6">
      <w:pPr>
        <w:keepNext w:val="0"/>
        <w:keepLines w:val="0"/>
        <w:pageBreakBefore w:val="0"/>
        <w:kinsoku/>
        <w:topLinePunct w:val="0"/>
        <w:autoSpaceDE/>
        <w:autoSpaceDN/>
        <w:bidi w:val="0"/>
        <w:spacing w:line="360" w:lineRule="auto"/>
        <w:rPr>
          <w:rFonts w:hint="eastAsia" w:ascii="Times New Roman" w:hAnsi="Times New Roman" w:eastAsia="宋体"/>
          <w:b/>
          <w:color w:val="auto"/>
          <w:sz w:val="24"/>
          <w:szCs w:val="24"/>
          <w:highlight w:val="none"/>
          <w:lang w:val="en-US" w:eastAsia="zh-CN"/>
        </w:rPr>
      </w:pPr>
    </w:p>
    <w:p w14:paraId="7371FE56">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lang w:val="en-US" w:eastAsia="zh-CN"/>
        </w:rPr>
        <w:br w:type="page"/>
      </w:r>
    </w:p>
    <w:p w14:paraId="58B09442">
      <w:pPr>
        <w:keepNext w:val="0"/>
        <w:keepLines w:val="0"/>
        <w:pageBreakBefore w:val="0"/>
        <w:kinsoku/>
        <w:topLinePunct w:val="0"/>
        <w:autoSpaceDE/>
        <w:autoSpaceDN/>
        <w:bidi w:val="0"/>
        <w:spacing w:line="360" w:lineRule="auto"/>
        <w:jc w:val="center"/>
        <w:outlineLvl w:val="3"/>
        <w:rPr>
          <w:rFonts w:ascii="宋体" w:hAnsi="宋体"/>
          <w:b/>
          <w:color w:val="auto"/>
          <w:sz w:val="24"/>
          <w:szCs w:val="24"/>
          <w:highlight w:val="none"/>
        </w:rPr>
      </w:pPr>
      <w:r>
        <w:rPr>
          <w:rFonts w:hint="eastAsia" w:ascii="Times New Roman" w:hAnsi="Times New Roman"/>
          <w:b/>
          <w:bCs/>
          <w:color w:val="auto"/>
          <w:sz w:val="24"/>
          <w:szCs w:val="21"/>
          <w:highlight w:val="none"/>
          <w:lang w:val="en-US" w:eastAsia="zh-CN"/>
        </w:rPr>
        <w:t>7</w:t>
      </w:r>
      <w:r>
        <w:rPr>
          <w:rFonts w:hint="eastAsia" w:ascii="Times New Roman" w:hAnsi="Times New Roman"/>
          <w:b/>
          <w:bCs/>
          <w:color w:val="auto"/>
          <w:sz w:val="24"/>
          <w:szCs w:val="21"/>
          <w:highlight w:val="none"/>
        </w:rPr>
        <w:t>、技术部分正负偏离表</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3"/>
        <w:gridCol w:w="1455"/>
        <w:gridCol w:w="2220"/>
        <w:gridCol w:w="2720"/>
        <w:gridCol w:w="1417"/>
      </w:tblGrid>
      <w:tr w14:paraId="4D566E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943" w:type="dxa"/>
            <w:tcBorders>
              <w:top w:val="single" w:color="000000" w:sz="12" w:space="0"/>
              <w:left w:val="single" w:color="000000" w:sz="12" w:space="0"/>
              <w:bottom w:val="single" w:color="000000" w:sz="6" w:space="0"/>
              <w:right w:val="single" w:color="000000" w:sz="6" w:space="0"/>
            </w:tcBorders>
            <w:noWrap w:val="0"/>
            <w:vAlign w:val="center"/>
          </w:tcPr>
          <w:p w14:paraId="3A9F38E2">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序号</w:t>
            </w:r>
          </w:p>
        </w:tc>
        <w:tc>
          <w:tcPr>
            <w:tcW w:w="1455" w:type="dxa"/>
            <w:tcBorders>
              <w:top w:val="single" w:color="000000" w:sz="12" w:space="0"/>
              <w:left w:val="single" w:color="000000" w:sz="6" w:space="0"/>
              <w:bottom w:val="single" w:color="000000" w:sz="6" w:space="0"/>
              <w:right w:val="single" w:color="000000" w:sz="6" w:space="0"/>
            </w:tcBorders>
            <w:noWrap w:val="0"/>
            <w:vAlign w:val="center"/>
          </w:tcPr>
          <w:p w14:paraId="7A798ECD">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货物或服务名称</w:t>
            </w:r>
          </w:p>
        </w:tc>
        <w:tc>
          <w:tcPr>
            <w:tcW w:w="2220" w:type="dxa"/>
            <w:tcBorders>
              <w:top w:val="single" w:color="000000" w:sz="12" w:space="0"/>
              <w:left w:val="single" w:color="000000" w:sz="6" w:space="0"/>
              <w:bottom w:val="single" w:color="000000" w:sz="6" w:space="0"/>
              <w:right w:val="single" w:color="000000" w:sz="6" w:space="0"/>
            </w:tcBorders>
            <w:noWrap w:val="0"/>
            <w:vAlign w:val="center"/>
          </w:tcPr>
          <w:p w14:paraId="44B616B8">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r>
              <w:rPr>
                <w:rFonts w:hint="eastAsia" w:cs="宋体"/>
                <w:color w:val="auto"/>
                <w:sz w:val="24"/>
                <w:szCs w:val="24"/>
                <w:highlight w:val="none"/>
              </w:rPr>
              <w:t>磋商文件要求</w:t>
            </w:r>
          </w:p>
        </w:tc>
        <w:tc>
          <w:tcPr>
            <w:tcW w:w="2720" w:type="dxa"/>
            <w:tcBorders>
              <w:top w:val="single" w:color="000000" w:sz="12" w:space="0"/>
              <w:left w:val="single" w:color="000000" w:sz="6" w:space="0"/>
              <w:bottom w:val="single" w:color="000000" w:sz="6" w:space="0"/>
              <w:right w:val="single" w:color="000000" w:sz="6" w:space="0"/>
            </w:tcBorders>
            <w:noWrap w:val="0"/>
            <w:vAlign w:val="center"/>
          </w:tcPr>
          <w:p w14:paraId="2DB26E88">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响应文件响应情况</w:t>
            </w:r>
          </w:p>
        </w:tc>
        <w:tc>
          <w:tcPr>
            <w:tcW w:w="1417" w:type="dxa"/>
            <w:tcBorders>
              <w:top w:val="single" w:color="000000" w:sz="12" w:space="0"/>
              <w:left w:val="single" w:color="000000" w:sz="6" w:space="0"/>
              <w:bottom w:val="single" w:color="000000" w:sz="6" w:space="0"/>
              <w:right w:val="single" w:color="000000" w:sz="12" w:space="0"/>
            </w:tcBorders>
            <w:noWrap w:val="0"/>
            <w:vAlign w:val="center"/>
          </w:tcPr>
          <w:p w14:paraId="61A21FD4">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偏离说明</w:t>
            </w:r>
          </w:p>
        </w:tc>
      </w:tr>
      <w:tr w14:paraId="567F6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4BC2548B">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475AD75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424B45A0">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29FAF1DA">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44C003A">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5F606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5CA98082">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0E8C6D23">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98CCAA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616C015A">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3E6449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5B392D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2627D793">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3</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36557D0A">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9430CB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6CAED5E8">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33686DD">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4AD420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439D7447">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7FC562E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04D38D5">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AC42E36">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4F07219D">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bl>
    <w:p w14:paraId="670C64CB">
      <w:pPr>
        <w:keepNext w:val="0"/>
        <w:keepLines w:val="0"/>
        <w:pageBreakBefore w:val="0"/>
        <w:kinsoku/>
        <w:topLinePunct w:val="0"/>
        <w:autoSpaceDE/>
        <w:autoSpaceDN/>
        <w:bidi w:val="0"/>
        <w:spacing w:line="360" w:lineRule="auto"/>
        <w:rPr>
          <w:rFonts w:ascii="宋体" w:hAnsi="宋体"/>
          <w:color w:val="auto"/>
          <w:sz w:val="24"/>
          <w:szCs w:val="24"/>
          <w:highlight w:val="none"/>
        </w:rPr>
      </w:pPr>
    </w:p>
    <w:p w14:paraId="1CB29C14">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响应供应商：（盖章）             </w:t>
      </w:r>
    </w:p>
    <w:p w14:paraId="66F93DE1">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708E17FE">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日期：</w:t>
      </w:r>
    </w:p>
    <w:p w14:paraId="6BE3E12C">
      <w:pPr>
        <w:keepNext w:val="0"/>
        <w:keepLines w:val="0"/>
        <w:pageBreakBefore w:val="0"/>
        <w:kinsoku/>
        <w:topLinePunct w:val="0"/>
        <w:autoSpaceDE/>
        <w:autoSpaceDN/>
        <w:bidi w:val="0"/>
        <w:spacing w:line="360" w:lineRule="auto"/>
        <w:rPr>
          <w:rFonts w:ascii="宋体" w:hAnsi="宋体"/>
          <w:color w:val="auto"/>
          <w:sz w:val="24"/>
          <w:szCs w:val="24"/>
          <w:highlight w:val="none"/>
        </w:rPr>
      </w:pPr>
    </w:p>
    <w:p w14:paraId="31A1DDC1">
      <w:pPr>
        <w:keepNext w:val="0"/>
        <w:keepLines w:val="0"/>
        <w:pageBreakBefore w:val="0"/>
        <w:kinsoku/>
        <w:topLinePunct w:val="0"/>
        <w:autoSpaceDE/>
        <w:autoSpaceDN/>
        <w:bidi w:val="0"/>
        <w:spacing w:line="360" w:lineRule="auto"/>
        <w:rPr>
          <w:rFonts w:ascii="宋体" w:hAnsi="宋体"/>
          <w:color w:val="auto"/>
          <w:sz w:val="24"/>
          <w:szCs w:val="24"/>
          <w:highlight w:val="none"/>
        </w:rPr>
      </w:pPr>
    </w:p>
    <w:p w14:paraId="099D12AE">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rPr>
        <w:t>注：</w:t>
      </w:r>
      <w:r>
        <w:rPr>
          <w:rFonts w:hint="eastAsia" w:ascii="宋体" w:hAnsi="宋体"/>
          <w:color w:val="auto"/>
          <w:sz w:val="24"/>
          <w:szCs w:val="24"/>
          <w:highlight w:val="none"/>
          <w:lang w:val="zh-CN"/>
        </w:rPr>
        <w:t>1、供应商提交的响应文件中与采购文件第三部分“项目需求说明”中技术部分的要求有不同时，应逐条填列在偏离表中，否则将认为供应商接受采购文件的所有要求。完全响应部分不填到此表中。</w:t>
      </w:r>
    </w:p>
    <w:p w14:paraId="4FEB5B78">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2、“偏离说明”一栏选择“正偏离”、“负偏离”进行填写。正偏离的确认和负偏离的是否响应采购文件，经三分之二评委认定。</w:t>
      </w:r>
    </w:p>
    <w:p w14:paraId="4B0826F3">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3、供应商如果虚假响应，将承担被暂停参加采购人采购活动的风险。</w:t>
      </w:r>
    </w:p>
    <w:p w14:paraId="3EF73CB2">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4、供应商若提供其他增值服务，可以在表中自行据实填写。</w:t>
      </w:r>
    </w:p>
    <w:p w14:paraId="5989D276">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p>
    <w:p w14:paraId="1A86F656">
      <w:pPr>
        <w:keepNext w:val="0"/>
        <w:keepLines w:val="0"/>
        <w:pageBreakBefore w:val="0"/>
        <w:kinsoku/>
        <w:topLinePunct w:val="0"/>
        <w:autoSpaceDE/>
        <w:autoSpaceDN/>
        <w:bidi w:val="0"/>
        <w:spacing w:line="360" w:lineRule="auto"/>
        <w:jc w:val="center"/>
        <w:outlineLvl w:val="3"/>
        <w:rPr>
          <w:rFonts w:ascii="宋体" w:hAnsi="宋体"/>
          <w:b/>
          <w:color w:val="auto"/>
          <w:sz w:val="32"/>
          <w:szCs w:val="32"/>
          <w:highlight w:val="none"/>
        </w:rPr>
      </w:pPr>
      <w:r>
        <w:rPr>
          <w:rFonts w:ascii="宋体" w:hAnsi="宋体"/>
          <w:color w:val="auto"/>
          <w:sz w:val="24"/>
          <w:szCs w:val="24"/>
          <w:highlight w:val="none"/>
        </w:rPr>
        <w:br w:type="page" w:clear="all"/>
      </w:r>
      <w:r>
        <w:rPr>
          <w:rFonts w:hint="eastAsia" w:ascii="Times New Roman" w:hAnsi="Times New Roman"/>
          <w:b/>
          <w:bCs/>
          <w:color w:val="auto"/>
          <w:sz w:val="24"/>
          <w:szCs w:val="21"/>
          <w:highlight w:val="none"/>
          <w:lang w:val="en-US" w:eastAsia="zh-CN"/>
        </w:rPr>
        <w:t>8</w:t>
      </w:r>
      <w:r>
        <w:rPr>
          <w:rFonts w:hint="eastAsia" w:ascii="Times New Roman" w:hAnsi="Times New Roman"/>
          <w:b/>
          <w:bCs/>
          <w:color w:val="auto"/>
          <w:sz w:val="24"/>
          <w:szCs w:val="21"/>
          <w:highlight w:val="none"/>
        </w:rPr>
        <w:t>、商务部分正负偏离表</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1496"/>
        <w:gridCol w:w="2163"/>
        <w:gridCol w:w="2720"/>
        <w:gridCol w:w="1417"/>
      </w:tblGrid>
      <w:tr w14:paraId="182910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959" w:type="dxa"/>
            <w:tcBorders>
              <w:top w:val="single" w:color="000000" w:sz="12" w:space="0"/>
              <w:left w:val="single" w:color="000000" w:sz="12" w:space="0"/>
              <w:bottom w:val="single" w:color="000000" w:sz="6" w:space="0"/>
              <w:right w:val="single" w:color="000000" w:sz="6" w:space="0"/>
            </w:tcBorders>
            <w:noWrap w:val="0"/>
            <w:vAlign w:val="center"/>
          </w:tcPr>
          <w:p w14:paraId="7B220D85">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序号</w:t>
            </w:r>
          </w:p>
        </w:tc>
        <w:tc>
          <w:tcPr>
            <w:tcW w:w="1496" w:type="dxa"/>
            <w:tcBorders>
              <w:top w:val="single" w:color="000000" w:sz="12" w:space="0"/>
              <w:left w:val="single" w:color="000000" w:sz="6" w:space="0"/>
              <w:bottom w:val="single" w:color="000000" w:sz="6" w:space="0"/>
              <w:right w:val="single" w:color="000000" w:sz="6" w:space="0"/>
            </w:tcBorders>
            <w:noWrap w:val="0"/>
            <w:vAlign w:val="center"/>
          </w:tcPr>
          <w:p w14:paraId="329EA446">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货物或服务名称</w:t>
            </w:r>
          </w:p>
        </w:tc>
        <w:tc>
          <w:tcPr>
            <w:tcW w:w="2163" w:type="dxa"/>
            <w:tcBorders>
              <w:top w:val="single" w:color="000000" w:sz="12" w:space="0"/>
              <w:left w:val="single" w:color="000000" w:sz="6" w:space="0"/>
              <w:bottom w:val="single" w:color="000000" w:sz="6" w:space="0"/>
              <w:right w:val="single" w:color="000000" w:sz="6" w:space="0"/>
            </w:tcBorders>
            <w:noWrap w:val="0"/>
            <w:vAlign w:val="center"/>
          </w:tcPr>
          <w:p w14:paraId="39346240">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r>
              <w:rPr>
                <w:rFonts w:hint="eastAsia" w:cs="宋体"/>
                <w:color w:val="auto"/>
                <w:sz w:val="24"/>
                <w:szCs w:val="24"/>
                <w:highlight w:val="none"/>
              </w:rPr>
              <w:t>磋商文件要求</w:t>
            </w:r>
          </w:p>
        </w:tc>
        <w:tc>
          <w:tcPr>
            <w:tcW w:w="2720" w:type="dxa"/>
            <w:tcBorders>
              <w:top w:val="single" w:color="000000" w:sz="12" w:space="0"/>
              <w:left w:val="single" w:color="000000" w:sz="6" w:space="0"/>
              <w:bottom w:val="single" w:color="000000" w:sz="6" w:space="0"/>
              <w:right w:val="single" w:color="000000" w:sz="6" w:space="0"/>
            </w:tcBorders>
            <w:noWrap w:val="0"/>
            <w:vAlign w:val="center"/>
          </w:tcPr>
          <w:p w14:paraId="53005CDC">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响应文件响应情况</w:t>
            </w:r>
          </w:p>
        </w:tc>
        <w:tc>
          <w:tcPr>
            <w:tcW w:w="1417" w:type="dxa"/>
            <w:tcBorders>
              <w:top w:val="single" w:color="000000" w:sz="12" w:space="0"/>
              <w:left w:val="single" w:color="000000" w:sz="6" w:space="0"/>
              <w:bottom w:val="single" w:color="000000" w:sz="6" w:space="0"/>
              <w:right w:val="single" w:color="000000" w:sz="12" w:space="0"/>
            </w:tcBorders>
            <w:noWrap w:val="0"/>
            <w:vAlign w:val="center"/>
          </w:tcPr>
          <w:p w14:paraId="6B65853A">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偏离说明</w:t>
            </w:r>
          </w:p>
        </w:tc>
      </w:tr>
      <w:tr w14:paraId="54067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5B85A2CA">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45F646A8">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52E469F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35A1AA2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AA0862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29F752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788CE1FD">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46D6321F">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62AF76A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272293B9">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5867ABA">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3B6341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0BE74EC5">
            <w:pPr>
              <w:keepNext w:val="0"/>
              <w:keepLines w:val="0"/>
              <w:pageBreakBefore w:val="0"/>
              <w:kinsoku/>
              <w:topLinePunct w:val="0"/>
              <w:autoSpaceDE/>
              <w:autoSpaceDN/>
              <w:bidi w:val="0"/>
              <w:spacing w:line="360" w:lineRule="auto"/>
              <w:jc w:val="center"/>
              <w:rPr>
                <w:rFonts w:cs="宋体"/>
                <w:color w:val="auto"/>
                <w:sz w:val="24"/>
                <w:szCs w:val="24"/>
                <w:highlight w:val="none"/>
              </w:rPr>
            </w:pPr>
            <w:r>
              <w:rPr>
                <w:rFonts w:hint="eastAsia" w:cs="宋体"/>
                <w:color w:val="auto"/>
                <w:sz w:val="24"/>
                <w:szCs w:val="24"/>
                <w:highlight w:val="none"/>
              </w:rPr>
              <w:t>3</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7D9F93D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26C08133">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237EE7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871D03E">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r w14:paraId="7C14A7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36D49587">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1C9F2BC6">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4E2C6CF4">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FFCD54D">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2943DF1">
            <w:pPr>
              <w:keepNext w:val="0"/>
              <w:keepLines w:val="0"/>
              <w:pageBreakBefore w:val="0"/>
              <w:kinsoku/>
              <w:topLinePunct w:val="0"/>
              <w:autoSpaceDE/>
              <w:autoSpaceDN/>
              <w:bidi w:val="0"/>
              <w:spacing w:line="360" w:lineRule="auto"/>
              <w:ind w:firstLine="480"/>
              <w:jc w:val="center"/>
              <w:rPr>
                <w:rFonts w:cs="宋体"/>
                <w:color w:val="auto"/>
                <w:sz w:val="24"/>
                <w:szCs w:val="24"/>
                <w:highlight w:val="none"/>
              </w:rPr>
            </w:pPr>
          </w:p>
        </w:tc>
      </w:tr>
    </w:tbl>
    <w:p w14:paraId="4270E1BE">
      <w:pPr>
        <w:keepNext w:val="0"/>
        <w:keepLines w:val="0"/>
        <w:pageBreakBefore w:val="0"/>
        <w:kinsoku/>
        <w:topLinePunct w:val="0"/>
        <w:autoSpaceDE/>
        <w:autoSpaceDN/>
        <w:bidi w:val="0"/>
        <w:spacing w:line="360" w:lineRule="auto"/>
        <w:rPr>
          <w:rFonts w:ascii="宋体" w:hAnsi="宋体"/>
          <w:color w:val="auto"/>
          <w:sz w:val="24"/>
          <w:szCs w:val="24"/>
          <w:highlight w:val="none"/>
        </w:rPr>
      </w:pPr>
    </w:p>
    <w:p w14:paraId="4120F7E9">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响应供应商：（盖章）             </w:t>
      </w:r>
    </w:p>
    <w:p w14:paraId="77B7CFC0">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0729F734">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日期：</w:t>
      </w:r>
    </w:p>
    <w:p w14:paraId="0D7767EF">
      <w:pPr>
        <w:keepNext w:val="0"/>
        <w:keepLines w:val="0"/>
        <w:pageBreakBefore w:val="0"/>
        <w:kinsoku/>
        <w:topLinePunct w:val="0"/>
        <w:autoSpaceDE/>
        <w:autoSpaceDN/>
        <w:bidi w:val="0"/>
        <w:spacing w:line="360" w:lineRule="auto"/>
        <w:ind w:firstLine="482"/>
        <w:rPr>
          <w:rFonts w:ascii="宋体" w:hAnsi="宋体"/>
          <w:b/>
          <w:color w:val="auto"/>
          <w:sz w:val="24"/>
          <w:szCs w:val="24"/>
          <w:highlight w:val="none"/>
        </w:rPr>
      </w:pPr>
    </w:p>
    <w:p w14:paraId="023D9394">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注：1、供应商提交的响应文件中与采购文件第三部分“项目需求说明”中商务部分的要求有不同时，应逐条填列在偏离表中，否则将认为供应商接受采购文件的所有要求。完全响应部分不填到此表中。</w:t>
      </w:r>
    </w:p>
    <w:p w14:paraId="41F6D0B5">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2、“偏离说明”一栏选择“正偏离”、“负偏离”进行填写。正偏离的确认和负偏离的是否响应采购文件，经三分之二评委认定。</w:t>
      </w:r>
    </w:p>
    <w:p w14:paraId="35604A94">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3、供应商如果虚假响应，将承担被暂停参加采购人采购活动的风险。</w:t>
      </w:r>
    </w:p>
    <w:p w14:paraId="15066F08">
      <w:pPr>
        <w:keepNext w:val="0"/>
        <w:keepLines w:val="0"/>
        <w:pageBreakBefore w:val="0"/>
        <w:kinsoku/>
        <w:topLinePunct w:val="0"/>
        <w:autoSpaceDE/>
        <w:autoSpaceDN/>
        <w:bidi w:val="0"/>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4、供应商若提供其他增值服务，可以在表中自行据实填写。</w:t>
      </w:r>
    </w:p>
    <w:p w14:paraId="079ECEDB">
      <w:pPr>
        <w:keepNext w:val="0"/>
        <w:keepLines w:val="0"/>
        <w:pageBreakBefore w:val="0"/>
        <w:kinsoku/>
        <w:topLinePunct w:val="0"/>
        <w:autoSpaceDE/>
        <w:autoSpaceDN/>
        <w:bidi w:val="0"/>
        <w:spacing w:line="360" w:lineRule="auto"/>
        <w:rPr>
          <w:rFonts w:hint="eastAsia" w:ascii="Times New Roman" w:hAnsi="Times New Roman" w:eastAsia="宋体" w:cs="宋体"/>
          <w:b/>
          <w:color w:val="auto"/>
          <w:sz w:val="24"/>
          <w:szCs w:val="24"/>
          <w:highlight w:val="none"/>
          <w:lang w:val="en-US" w:eastAsia="zh-CN"/>
        </w:rPr>
      </w:pPr>
    </w:p>
    <w:p w14:paraId="2B9F3D50">
      <w:pPr>
        <w:keepNext w:val="0"/>
        <w:keepLines w:val="0"/>
        <w:pageBreakBefore w:val="0"/>
        <w:kinsoku/>
        <w:topLinePunct w:val="0"/>
        <w:autoSpaceDE/>
        <w:autoSpaceDN/>
        <w:bidi w:val="0"/>
        <w:spacing w:line="360" w:lineRule="auto"/>
        <w:rPr>
          <w:rFonts w:hint="eastAsia"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br w:type="page"/>
      </w:r>
    </w:p>
    <w:p w14:paraId="458D3AD3">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olor w:val="auto"/>
          <w:highlight w:val="none"/>
        </w:rPr>
      </w:pPr>
      <w:r>
        <w:rPr>
          <w:rFonts w:hint="eastAsia" w:ascii="Times New Roman" w:hAnsi="Times New Roman" w:eastAsia="宋体" w:cs="宋体"/>
          <w:b/>
          <w:color w:val="auto"/>
          <w:sz w:val="24"/>
          <w:szCs w:val="24"/>
          <w:highlight w:val="none"/>
          <w:lang w:val="en-US" w:eastAsia="zh-CN"/>
        </w:rPr>
        <w:t>9</w:t>
      </w:r>
      <w:r>
        <w:rPr>
          <w:rFonts w:hint="eastAsia" w:ascii="Times New Roman" w:hAnsi="Times New Roman" w:eastAsia="宋体" w:cs="宋体"/>
          <w:b/>
          <w:color w:val="auto"/>
          <w:sz w:val="24"/>
          <w:szCs w:val="24"/>
          <w:highlight w:val="none"/>
        </w:rPr>
        <w:t>、磋商响应报价表</w:t>
      </w:r>
    </w:p>
    <w:p w14:paraId="3CF2F475">
      <w:pPr>
        <w:keepNext w:val="0"/>
        <w:keepLines w:val="0"/>
        <w:pageBreakBefore w:val="0"/>
        <w:widowControl w:val="0"/>
        <w:kinsoku/>
        <w:wordWrap/>
        <w:topLinePunct w:val="0"/>
        <w:autoSpaceDE/>
        <w:autoSpaceDN/>
        <w:bidi w:val="0"/>
        <w:spacing w:line="360" w:lineRule="auto"/>
        <w:ind w:firstLine="241" w:firstLineChars="100"/>
        <w:textAlignment w:val="baseline"/>
        <w:rPr>
          <w:rFonts w:hint="eastAsia" w:ascii="Times New Roman" w:hAnsi="Times New Roman" w:eastAsia="宋体"/>
          <w:b/>
          <w:color w:val="auto"/>
          <w:sz w:val="24"/>
          <w:szCs w:val="24"/>
          <w:highlight w:val="none"/>
          <w:lang w:eastAsia="zh-CN"/>
        </w:rPr>
      </w:pPr>
      <w:r>
        <w:rPr>
          <w:rFonts w:hint="eastAsia" w:ascii="Times New Roman" w:hAnsi="Times New Roman" w:eastAsia="宋体"/>
          <w:b/>
          <w:color w:val="auto"/>
          <w:sz w:val="24"/>
          <w:szCs w:val="24"/>
          <w:highlight w:val="none"/>
        </w:rPr>
        <w:t>项目</w:t>
      </w:r>
      <w:r>
        <w:rPr>
          <w:rFonts w:ascii="Times New Roman" w:hAnsi="Times New Roman" w:eastAsia="宋体"/>
          <w:b/>
          <w:color w:val="auto"/>
          <w:sz w:val="24"/>
          <w:szCs w:val="24"/>
          <w:highlight w:val="none"/>
        </w:rPr>
        <w:t>名称：</w:t>
      </w:r>
      <w:r>
        <w:rPr>
          <w:rFonts w:hint="eastAsia" w:ascii="Times New Roman" w:hAnsi="Times New Roman" w:eastAsia="宋体"/>
          <w:color w:val="auto"/>
          <w:sz w:val="24"/>
          <w:szCs w:val="24"/>
          <w:highlight w:val="none"/>
          <w:lang w:eastAsia="zh-CN"/>
        </w:rPr>
        <w:t>南通市第三人民医院传染病智能检测预警前置软件服务及设备项目</w:t>
      </w:r>
    </w:p>
    <w:tbl>
      <w:tblPr>
        <w:tblStyle w:val="25"/>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180"/>
        <w:gridCol w:w="1945"/>
        <w:gridCol w:w="3855"/>
        <w:gridCol w:w="806"/>
      </w:tblGrid>
      <w:tr w14:paraId="621FB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61D7714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序号</w:t>
            </w:r>
          </w:p>
        </w:tc>
        <w:tc>
          <w:tcPr>
            <w:tcW w:w="2180" w:type="dxa"/>
            <w:tcBorders>
              <w:top w:val="single" w:color="auto" w:sz="4" w:space="0"/>
              <w:left w:val="single" w:color="auto" w:sz="4" w:space="0"/>
              <w:bottom w:val="single" w:color="auto" w:sz="4" w:space="0"/>
              <w:right w:val="single" w:color="auto" w:sz="4" w:space="0"/>
            </w:tcBorders>
            <w:vAlign w:val="center"/>
          </w:tcPr>
          <w:p w14:paraId="4F511CA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项目内容</w:t>
            </w:r>
          </w:p>
        </w:tc>
        <w:tc>
          <w:tcPr>
            <w:tcW w:w="1945" w:type="dxa"/>
            <w:tcBorders>
              <w:top w:val="single" w:color="auto" w:sz="4" w:space="0"/>
              <w:left w:val="single" w:color="auto" w:sz="4" w:space="0"/>
              <w:bottom w:val="single" w:color="auto" w:sz="4" w:space="0"/>
              <w:right w:val="single" w:color="auto" w:sz="4" w:space="0"/>
            </w:tcBorders>
            <w:vAlign w:val="center"/>
          </w:tcPr>
          <w:p w14:paraId="15FA82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14:paraId="3EBC2FE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磋商总报价</w:t>
            </w:r>
            <w:r>
              <w:rPr>
                <w:rFonts w:hint="eastAsia" w:ascii="Times New Roman" w:hAnsi="Times New Roman"/>
                <w:b/>
                <w:color w:val="auto"/>
                <w:sz w:val="24"/>
                <w:szCs w:val="24"/>
                <w:highlight w:val="none"/>
              </w:rPr>
              <w:t>（元）</w:t>
            </w:r>
          </w:p>
        </w:tc>
        <w:tc>
          <w:tcPr>
            <w:tcW w:w="806" w:type="dxa"/>
            <w:tcBorders>
              <w:top w:val="single" w:color="auto" w:sz="4" w:space="0"/>
              <w:left w:val="single" w:color="auto" w:sz="4" w:space="0"/>
              <w:bottom w:val="single" w:color="auto" w:sz="4" w:space="0"/>
              <w:right w:val="single" w:color="auto" w:sz="4" w:space="0"/>
            </w:tcBorders>
            <w:vAlign w:val="center"/>
          </w:tcPr>
          <w:p w14:paraId="52D847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备注</w:t>
            </w:r>
          </w:p>
        </w:tc>
      </w:tr>
      <w:tr w14:paraId="236E9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7E223D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1</w:t>
            </w:r>
          </w:p>
        </w:tc>
        <w:tc>
          <w:tcPr>
            <w:tcW w:w="2180" w:type="dxa"/>
            <w:vMerge w:val="restart"/>
            <w:tcBorders>
              <w:top w:val="single" w:color="auto" w:sz="4" w:space="0"/>
              <w:left w:val="single" w:color="auto" w:sz="4" w:space="0"/>
              <w:right w:val="single" w:color="auto" w:sz="4" w:space="0"/>
            </w:tcBorders>
            <w:vAlign w:val="center"/>
          </w:tcPr>
          <w:p w14:paraId="31FA80EF">
            <w:pPr>
              <w:keepNext w:val="0"/>
              <w:keepLines w:val="0"/>
              <w:pageBreakBefore w:val="0"/>
              <w:widowControl w:val="0"/>
              <w:kinsoku/>
              <w:wordWrap/>
              <w:topLinePunct w:val="0"/>
              <w:autoSpaceDE/>
              <w:autoSpaceDN/>
              <w:bidi w:val="0"/>
              <w:spacing w:line="360" w:lineRule="auto"/>
              <w:textAlignment w:val="baseline"/>
              <w:rPr>
                <w:rFonts w:hint="eastAsia" w:ascii="Times New Roman" w:hAnsi="Times New Roman" w:eastAsia="宋体"/>
                <w:b/>
                <w:bCs/>
                <w:color w:val="auto"/>
                <w:sz w:val="20"/>
                <w:szCs w:val="21"/>
                <w:highlight w:val="none"/>
                <w:lang w:eastAsia="zh-CN"/>
              </w:rPr>
            </w:pPr>
            <w:r>
              <w:rPr>
                <w:rFonts w:hint="eastAsia" w:ascii="Times New Roman" w:hAnsi="Times New Roman" w:eastAsia="宋体"/>
                <w:b/>
                <w:color w:val="auto"/>
                <w:sz w:val="24"/>
                <w:szCs w:val="24"/>
                <w:highlight w:val="none"/>
                <w:lang w:eastAsia="zh-CN"/>
              </w:rPr>
              <w:t>南通市第三人民医院传染病智能检测预警前置软件服务及设备项目</w:t>
            </w:r>
          </w:p>
        </w:tc>
        <w:tc>
          <w:tcPr>
            <w:tcW w:w="1945" w:type="dxa"/>
            <w:tcBorders>
              <w:top w:val="single" w:color="auto" w:sz="4" w:space="0"/>
              <w:left w:val="single" w:color="auto" w:sz="4" w:space="0"/>
              <w:bottom w:val="single" w:color="auto" w:sz="4" w:space="0"/>
              <w:right w:val="single" w:color="auto" w:sz="4" w:space="0"/>
            </w:tcBorders>
            <w:vAlign w:val="center"/>
          </w:tcPr>
          <w:p w14:paraId="68E8449A">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首次</w:t>
            </w:r>
            <w:r>
              <w:rPr>
                <w:rFonts w:ascii="Times New Roman" w:hAnsi="Times New Roman" w:eastAsia="宋体"/>
                <w:bCs/>
                <w:color w:val="auto"/>
                <w:sz w:val="24"/>
                <w:szCs w:val="24"/>
                <w:highlight w:val="none"/>
              </w:rPr>
              <w:t>报价</w:t>
            </w:r>
          </w:p>
        </w:tc>
        <w:tc>
          <w:tcPr>
            <w:tcW w:w="3855" w:type="dxa"/>
            <w:tcBorders>
              <w:top w:val="single" w:color="auto" w:sz="4" w:space="0"/>
              <w:left w:val="single" w:color="auto" w:sz="4" w:space="0"/>
              <w:bottom w:val="single" w:color="auto" w:sz="4" w:space="0"/>
              <w:right w:val="single" w:color="auto" w:sz="4" w:space="0"/>
            </w:tcBorders>
            <w:vAlign w:val="center"/>
          </w:tcPr>
          <w:p w14:paraId="572A8FB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大写（人民币）：</w:t>
            </w:r>
          </w:p>
          <w:p w14:paraId="14360A7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039D738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p>
        </w:tc>
      </w:tr>
      <w:tr w14:paraId="58DF0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2E83C4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2</w:t>
            </w:r>
          </w:p>
        </w:tc>
        <w:tc>
          <w:tcPr>
            <w:tcW w:w="2180" w:type="dxa"/>
            <w:vMerge w:val="continue"/>
            <w:tcBorders>
              <w:left w:val="single" w:color="auto" w:sz="4" w:space="0"/>
              <w:right w:val="single" w:color="auto" w:sz="4" w:space="0"/>
            </w:tcBorders>
            <w:vAlign w:val="center"/>
          </w:tcPr>
          <w:p w14:paraId="2FB6079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14:paraId="70C67EB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第二次</w:t>
            </w:r>
            <w:r>
              <w:rPr>
                <w:rFonts w:ascii="Times New Roman" w:hAnsi="Times New Roman" w:eastAsia="宋体"/>
                <w:bCs/>
                <w:color w:val="auto"/>
                <w:sz w:val="24"/>
                <w:szCs w:val="24"/>
                <w:highlight w:val="none"/>
              </w:rPr>
              <w:t>报价</w:t>
            </w:r>
            <w:r>
              <w:rPr>
                <w:rFonts w:hint="eastAsia" w:ascii="Times New Roman" w:hAnsi="Times New Roman" w:eastAsia="宋体"/>
                <w:bCs/>
                <w:color w:val="auto"/>
                <w:sz w:val="24"/>
                <w:szCs w:val="24"/>
                <w:highlight w:val="none"/>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14:paraId="4EA88764">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大写（人民币）：</w:t>
            </w:r>
          </w:p>
          <w:p w14:paraId="40BB3A81">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1651A4E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p>
        </w:tc>
      </w:tr>
    </w:tbl>
    <w:p w14:paraId="1AE0BD19">
      <w:pPr>
        <w:keepNext w:val="0"/>
        <w:keepLines w:val="0"/>
        <w:pageBreakBefore w:val="0"/>
        <w:widowControl w:val="0"/>
        <w:kinsoku/>
        <w:wordWrap/>
        <w:topLinePunct w:val="0"/>
        <w:autoSpaceDE/>
        <w:autoSpaceDN/>
        <w:bidi w:val="0"/>
        <w:spacing w:line="360" w:lineRule="auto"/>
        <w:ind w:firstLine="2640" w:firstLineChars="11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竞争性磋商响应单位：（加盖公章）</w:t>
      </w:r>
    </w:p>
    <w:p w14:paraId="22CDA91C">
      <w:pPr>
        <w:keepNext w:val="0"/>
        <w:keepLines w:val="0"/>
        <w:pageBreakBefore w:val="0"/>
        <w:widowControl w:val="0"/>
        <w:kinsoku/>
        <w:wordWrap/>
        <w:topLinePunct w:val="0"/>
        <w:autoSpaceDE/>
        <w:autoSpaceDN/>
        <w:bidi w:val="0"/>
        <w:spacing w:line="360" w:lineRule="auto"/>
        <w:ind w:firstLine="3480" w:firstLineChars="14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法定代表人：（签字或盖章）</w:t>
      </w:r>
    </w:p>
    <w:p w14:paraId="313797E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0"/>
          <w:highlight w:val="none"/>
        </w:rPr>
      </w:pPr>
    </w:p>
    <w:p w14:paraId="5E4CED0F">
      <w:pPr>
        <w:pStyle w:val="12"/>
        <w:keepNext w:val="0"/>
        <w:keepLines w:val="0"/>
        <w:pageBreakBefore w:val="0"/>
        <w:widowControl w:val="0"/>
        <w:kinsoku/>
        <w:wordWrap/>
        <w:topLinePunct w:val="0"/>
        <w:autoSpaceDE/>
        <w:autoSpaceDN/>
        <w:bidi w:val="0"/>
        <w:spacing w:line="360" w:lineRule="auto"/>
        <w:ind w:firstLine="5400" w:firstLineChars="225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color w:val="auto"/>
          <w:sz w:val="24"/>
          <w:szCs w:val="24"/>
          <w:highlight w:val="none"/>
        </w:rPr>
        <w:t>年月日</w:t>
      </w:r>
    </w:p>
    <w:p w14:paraId="5938DC34">
      <w:pPr>
        <w:pStyle w:val="12"/>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p>
    <w:p w14:paraId="1195DA9F">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p>
    <w:p w14:paraId="2D7A0F9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注：</w:t>
      </w:r>
    </w:p>
    <w:p w14:paraId="7A591F9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本表</w:t>
      </w:r>
      <w:r>
        <w:rPr>
          <w:rFonts w:hint="eastAsia" w:ascii="Times New Roman" w:hAnsi="Times New Roman" w:eastAsia="宋体"/>
          <w:color w:val="auto"/>
          <w:sz w:val="24"/>
          <w:szCs w:val="24"/>
          <w:highlight w:val="none"/>
        </w:rPr>
        <w:t>为格式表</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不得自行改动，必须提供</w:t>
      </w:r>
      <w:r>
        <w:rPr>
          <w:rFonts w:ascii="Times New Roman" w:hAnsi="Times New Roman" w:eastAsia="宋体"/>
          <w:color w:val="auto"/>
          <w:sz w:val="24"/>
          <w:szCs w:val="24"/>
          <w:highlight w:val="none"/>
        </w:rPr>
        <w:t>。</w:t>
      </w:r>
    </w:p>
    <w:p w14:paraId="1023D42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（2）磋商报价的总价中应包含：完成本项目所需的一切费用，</w:t>
      </w:r>
      <w:r>
        <w:rPr>
          <w:rFonts w:hint="eastAsia" w:ascii="Times New Roman" w:hAnsi="Times New Roman" w:eastAsia="宋体"/>
          <w:bCs/>
          <w:color w:val="auto"/>
          <w:sz w:val="24"/>
          <w:szCs w:val="24"/>
          <w:highlight w:val="none"/>
          <w:lang w:eastAsia="zh-CN"/>
        </w:rPr>
        <w:t>包含但不限于</w:t>
      </w:r>
      <w:r>
        <w:rPr>
          <w:rFonts w:hint="eastAsia" w:ascii="Times New Roman" w:hAnsi="Times New Roman" w:eastAsia="宋体"/>
          <w:bCs/>
          <w:color w:val="auto"/>
          <w:sz w:val="24"/>
          <w:szCs w:val="24"/>
          <w:highlight w:val="none"/>
        </w:rPr>
        <w:t>成本、利润、税金、开办费、政策性调整风险费等的所有费用；</w:t>
      </w:r>
      <w:r>
        <w:rPr>
          <w:rFonts w:hint="eastAsia" w:ascii="Times New Roman" w:hAnsi="Times New Roman" w:eastAsia="宋体" w:cs="宋体"/>
          <w:color w:val="auto"/>
          <w:sz w:val="24"/>
          <w:szCs w:val="24"/>
          <w:highlight w:val="none"/>
        </w:rPr>
        <w:t>辅材费、</w:t>
      </w:r>
      <w:r>
        <w:rPr>
          <w:rFonts w:hint="eastAsia" w:ascii="Times New Roman" w:hAnsi="Times New Roman" w:eastAsia="宋体"/>
          <w:bCs/>
          <w:color w:val="auto"/>
          <w:sz w:val="24"/>
          <w:szCs w:val="24"/>
          <w:highlight w:val="none"/>
        </w:rPr>
        <w:t>人工费、检测费、管理费；国家税务部门规定的各项税金；相关伴随服务以及售后服务等一切费用</w:t>
      </w:r>
      <w:r>
        <w:rPr>
          <w:rFonts w:hint="eastAsia" w:ascii="Times New Roman" w:hAnsi="Times New Roman" w:eastAsia="宋体" w:cs="宋体"/>
          <w:color w:val="auto"/>
          <w:sz w:val="24"/>
          <w:szCs w:val="24"/>
          <w:highlight w:val="none"/>
        </w:rPr>
        <w:t>。同时，报价也包含了合同履行过程中可能发生的一切风险。</w:t>
      </w:r>
    </w:p>
    <w:p w14:paraId="39B82C5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（3）第二次报价将在开标现场填写，响应文件密封提交时只需填写磋商报价总计（首次）。</w:t>
      </w:r>
      <w:r>
        <w:rPr>
          <w:rFonts w:hint="eastAsia" w:ascii="Times New Roman" w:hAnsi="Times New Roman" w:eastAsia="宋体"/>
          <w:b/>
          <w:bCs/>
          <w:color w:val="auto"/>
          <w:sz w:val="24"/>
          <w:szCs w:val="24"/>
          <w:highlight w:val="none"/>
        </w:rPr>
        <w:t>报价明细表总价金额</w:t>
      </w:r>
      <w:r>
        <w:rPr>
          <w:rFonts w:hint="eastAsia" w:ascii="Times New Roman" w:hAnsi="Times New Roman" w:eastAsia="宋体"/>
          <w:b/>
          <w:color w:val="auto"/>
          <w:sz w:val="24"/>
          <w:szCs w:val="24"/>
          <w:highlight w:val="none"/>
        </w:rPr>
        <w:t>应当与首次报价表金额相等，且第二次报价时，磋商响应报价明细表按同比例下浮。</w:t>
      </w:r>
    </w:p>
    <w:p w14:paraId="0D8137EC">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7B2CABD5">
      <w:pPr>
        <w:keepNext w:val="0"/>
        <w:keepLines w:val="0"/>
        <w:pageBreakBefore w:val="0"/>
        <w:widowControl w:val="0"/>
        <w:numPr>
          <w:ilvl w:val="0"/>
          <w:numId w:val="0"/>
        </w:numPr>
        <w:kinsoku/>
        <w:wordWrap/>
        <w:topLinePunct w:val="0"/>
        <w:autoSpaceDE/>
        <w:autoSpaceDN/>
        <w:bidi w:val="0"/>
        <w:spacing w:line="360" w:lineRule="auto"/>
        <w:jc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val="en-US" w:eastAsia="zh-CN"/>
        </w:rPr>
        <w:t>10、</w:t>
      </w:r>
      <w:r>
        <w:rPr>
          <w:rFonts w:hint="eastAsia" w:ascii="Times New Roman" w:hAnsi="Times New Roman" w:eastAsia="宋体" w:cs="宋体"/>
          <w:b/>
          <w:color w:val="auto"/>
          <w:sz w:val="24"/>
          <w:szCs w:val="24"/>
          <w:highlight w:val="none"/>
        </w:rPr>
        <w:t>磋商响应报价明细表</w:t>
      </w:r>
    </w:p>
    <w:p w14:paraId="6BA8BFFC">
      <w:pPr>
        <w:keepNext w:val="0"/>
        <w:keepLines w:val="0"/>
        <w:pageBreakBefore w:val="0"/>
        <w:kinsoku/>
        <w:topLinePunct w:val="0"/>
        <w:autoSpaceDE/>
        <w:autoSpaceDN/>
        <w:bidi w:val="0"/>
        <w:spacing w:line="360" w:lineRule="auto"/>
        <w:rPr>
          <w:rFonts w:hint="eastAsia" w:ascii="Times New Roman" w:hAnsi="Times New Roman" w:eastAsia="宋体"/>
          <w:bCs/>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南通市第三人民医院传染病智能检测预警前置软件服务及设备项目</w:t>
      </w:r>
    </w:p>
    <w:tbl>
      <w:tblPr>
        <w:tblStyle w:val="25"/>
        <w:tblW w:w="9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1545"/>
        <w:gridCol w:w="1176"/>
        <w:gridCol w:w="915"/>
        <w:gridCol w:w="1065"/>
        <w:gridCol w:w="1110"/>
        <w:gridCol w:w="1095"/>
        <w:gridCol w:w="945"/>
        <w:gridCol w:w="900"/>
      </w:tblGrid>
      <w:tr w14:paraId="735B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72" w:type="dxa"/>
            <w:noWrap w:val="0"/>
            <w:vAlign w:val="center"/>
          </w:tcPr>
          <w:p w14:paraId="3FA88FE9">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序号</w:t>
            </w:r>
          </w:p>
        </w:tc>
        <w:tc>
          <w:tcPr>
            <w:tcW w:w="1545" w:type="dxa"/>
            <w:noWrap w:val="0"/>
            <w:vAlign w:val="center"/>
          </w:tcPr>
          <w:p w14:paraId="4B41B2C7">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产品</w:t>
            </w:r>
          </w:p>
          <w:p w14:paraId="40756DED">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或服务</w:t>
            </w:r>
            <w:r>
              <w:rPr>
                <w:rFonts w:hint="eastAsia" w:ascii="Times New Roman" w:hAnsi="Times New Roman" w:eastAsia="宋体"/>
                <w:color w:val="auto"/>
                <w:sz w:val="24"/>
                <w:szCs w:val="24"/>
                <w:highlight w:val="none"/>
              </w:rPr>
              <w:t>名称</w:t>
            </w:r>
          </w:p>
        </w:tc>
        <w:tc>
          <w:tcPr>
            <w:tcW w:w="1176" w:type="dxa"/>
            <w:noWrap w:val="0"/>
            <w:vAlign w:val="center"/>
          </w:tcPr>
          <w:p w14:paraId="70F0873F">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规格型号</w:t>
            </w:r>
          </w:p>
        </w:tc>
        <w:tc>
          <w:tcPr>
            <w:tcW w:w="915" w:type="dxa"/>
            <w:noWrap w:val="0"/>
            <w:vAlign w:val="center"/>
          </w:tcPr>
          <w:p w14:paraId="743DBA40">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数量</w:t>
            </w:r>
          </w:p>
        </w:tc>
        <w:tc>
          <w:tcPr>
            <w:tcW w:w="1065" w:type="dxa"/>
            <w:noWrap w:val="0"/>
            <w:vAlign w:val="center"/>
          </w:tcPr>
          <w:p w14:paraId="4C758A52">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单位</w:t>
            </w:r>
          </w:p>
        </w:tc>
        <w:tc>
          <w:tcPr>
            <w:tcW w:w="1110" w:type="dxa"/>
            <w:noWrap w:val="0"/>
            <w:vAlign w:val="center"/>
          </w:tcPr>
          <w:p w14:paraId="67AE5074">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品牌</w:t>
            </w:r>
          </w:p>
        </w:tc>
        <w:tc>
          <w:tcPr>
            <w:tcW w:w="1095" w:type="dxa"/>
            <w:noWrap w:val="0"/>
            <w:vAlign w:val="center"/>
          </w:tcPr>
          <w:p w14:paraId="3AB02E90">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含税</w:t>
            </w:r>
          </w:p>
          <w:p w14:paraId="75FB1B90">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单价</w:t>
            </w:r>
          </w:p>
        </w:tc>
        <w:tc>
          <w:tcPr>
            <w:tcW w:w="945" w:type="dxa"/>
            <w:noWrap w:val="0"/>
            <w:vAlign w:val="center"/>
          </w:tcPr>
          <w:p w14:paraId="2442C257">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含税</w:t>
            </w:r>
          </w:p>
          <w:p w14:paraId="1B238FAA">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合价</w:t>
            </w:r>
          </w:p>
        </w:tc>
        <w:tc>
          <w:tcPr>
            <w:tcW w:w="900" w:type="dxa"/>
            <w:noWrap w:val="0"/>
            <w:vAlign w:val="center"/>
          </w:tcPr>
          <w:p w14:paraId="7A201DF4">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备注</w:t>
            </w:r>
          </w:p>
        </w:tc>
      </w:tr>
      <w:tr w14:paraId="73A2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772" w:type="dxa"/>
            <w:noWrap w:val="0"/>
            <w:vAlign w:val="center"/>
          </w:tcPr>
          <w:p w14:paraId="025E06EF">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p>
        </w:tc>
        <w:tc>
          <w:tcPr>
            <w:tcW w:w="1545" w:type="dxa"/>
            <w:noWrap w:val="0"/>
            <w:vAlign w:val="center"/>
          </w:tcPr>
          <w:p w14:paraId="42F237BB">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76" w:type="dxa"/>
            <w:noWrap w:val="0"/>
            <w:vAlign w:val="center"/>
          </w:tcPr>
          <w:p w14:paraId="18ABDF5D">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4361C3F9">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34BF0AA2">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411F1D0">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0D497529">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1C5109EE">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25116A65">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2EEAC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2" w:type="dxa"/>
            <w:noWrap w:val="0"/>
            <w:vAlign w:val="center"/>
          </w:tcPr>
          <w:p w14:paraId="3341AE59">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p>
        </w:tc>
        <w:tc>
          <w:tcPr>
            <w:tcW w:w="1545" w:type="dxa"/>
            <w:noWrap w:val="0"/>
            <w:vAlign w:val="center"/>
          </w:tcPr>
          <w:p w14:paraId="76AA0FC3">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76" w:type="dxa"/>
            <w:noWrap w:val="0"/>
            <w:vAlign w:val="center"/>
          </w:tcPr>
          <w:p w14:paraId="344A520C">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04DDA457">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70F678E3">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FE35AA2">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24A6E6FD">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0DDA2580">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27026EE3">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6830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2" w:type="dxa"/>
            <w:noWrap w:val="0"/>
            <w:vAlign w:val="center"/>
          </w:tcPr>
          <w:p w14:paraId="4599F780">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w:t>
            </w:r>
          </w:p>
        </w:tc>
        <w:tc>
          <w:tcPr>
            <w:tcW w:w="1545" w:type="dxa"/>
            <w:noWrap w:val="0"/>
            <w:vAlign w:val="center"/>
          </w:tcPr>
          <w:p w14:paraId="1F820A7E">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76" w:type="dxa"/>
            <w:noWrap w:val="0"/>
            <w:vAlign w:val="center"/>
          </w:tcPr>
          <w:p w14:paraId="1D8871F3">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635F53DC">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1CFB070D">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0D4857B">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3BD6D9FE">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266FA1A1">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4D74FC22">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5A2CE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2" w:type="dxa"/>
            <w:noWrap w:val="0"/>
            <w:vAlign w:val="center"/>
          </w:tcPr>
          <w:p w14:paraId="2FCCAA1E">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4</w:t>
            </w:r>
          </w:p>
        </w:tc>
        <w:tc>
          <w:tcPr>
            <w:tcW w:w="1545" w:type="dxa"/>
            <w:noWrap w:val="0"/>
            <w:vAlign w:val="center"/>
          </w:tcPr>
          <w:p w14:paraId="4965359C">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76" w:type="dxa"/>
            <w:noWrap w:val="0"/>
            <w:vAlign w:val="center"/>
          </w:tcPr>
          <w:p w14:paraId="6367EE48">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6E64DC47">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6BD4D9EC">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78F8E342">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5E5A94A1">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7671AA31">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34FD3D28">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7628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2" w:type="dxa"/>
            <w:noWrap w:val="0"/>
            <w:vAlign w:val="center"/>
          </w:tcPr>
          <w:p w14:paraId="552119FB">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5</w:t>
            </w:r>
          </w:p>
        </w:tc>
        <w:tc>
          <w:tcPr>
            <w:tcW w:w="1545" w:type="dxa"/>
            <w:noWrap w:val="0"/>
            <w:vAlign w:val="center"/>
          </w:tcPr>
          <w:p w14:paraId="319F4610">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76" w:type="dxa"/>
            <w:noWrap w:val="0"/>
            <w:vAlign w:val="center"/>
          </w:tcPr>
          <w:p w14:paraId="1342B0E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4B70023C">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6A8732DF">
            <w:pPr>
              <w:keepNext w:val="0"/>
              <w:keepLines w:val="0"/>
              <w:pageBreakBefore w:val="0"/>
              <w:kinsoku/>
              <w:topLinePunct w:val="0"/>
              <w:autoSpaceDE/>
              <w:autoSpaceDN/>
              <w:bidi w:val="0"/>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31DE27A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124F35D0">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5FCC3948">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1FDE168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10F3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2" w:type="dxa"/>
            <w:noWrap w:val="0"/>
            <w:vAlign w:val="center"/>
          </w:tcPr>
          <w:p w14:paraId="24A7C95F">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w:t>
            </w:r>
          </w:p>
        </w:tc>
        <w:tc>
          <w:tcPr>
            <w:tcW w:w="1545" w:type="dxa"/>
            <w:noWrap w:val="0"/>
            <w:vAlign w:val="center"/>
          </w:tcPr>
          <w:p w14:paraId="71C667FC">
            <w:pPr>
              <w:keepNext w:val="0"/>
              <w:keepLines w:val="0"/>
              <w:pageBreakBefore w:val="0"/>
              <w:kinsoku/>
              <w:topLinePunct w:val="0"/>
              <w:autoSpaceDE/>
              <w:autoSpaceDN/>
              <w:bidi w:val="0"/>
              <w:spacing w:line="360" w:lineRule="auto"/>
              <w:jc w:val="center"/>
              <w:rPr>
                <w:rFonts w:ascii="Times New Roman" w:hAnsi="Times New Roman" w:eastAsia="宋体"/>
                <w:color w:val="auto"/>
                <w:sz w:val="21"/>
                <w:highlight w:val="none"/>
              </w:rPr>
            </w:pPr>
          </w:p>
        </w:tc>
        <w:tc>
          <w:tcPr>
            <w:tcW w:w="1176" w:type="dxa"/>
            <w:noWrap w:val="0"/>
            <w:vAlign w:val="center"/>
          </w:tcPr>
          <w:p w14:paraId="094E06B4">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15" w:type="dxa"/>
            <w:noWrap w:val="0"/>
            <w:vAlign w:val="center"/>
          </w:tcPr>
          <w:p w14:paraId="3888450B">
            <w:pPr>
              <w:keepNext w:val="0"/>
              <w:keepLines w:val="0"/>
              <w:pageBreakBefore w:val="0"/>
              <w:kinsoku/>
              <w:topLinePunct w:val="0"/>
              <w:autoSpaceDE/>
              <w:autoSpaceDN/>
              <w:bidi w:val="0"/>
              <w:spacing w:line="360" w:lineRule="auto"/>
              <w:jc w:val="center"/>
              <w:rPr>
                <w:rFonts w:ascii="Times New Roman" w:hAnsi="Times New Roman" w:eastAsia="宋体"/>
                <w:color w:val="auto"/>
                <w:sz w:val="21"/>
                <w:highlight w:val="none"/>
              </w:rPr>
            </w:pPr>
          </w:p>
        </w:tc>
        <w:tc>
          <w:tcPr>
            <w:tcW w:w="1065" w:type="dxa"/>
            <w:noWrap w:val="0"/>
            <w:vAlign w:val="center"/>
          </w:tcPr>
          <w:p w14:paraId="2F74F957">
            <w:pPr>
              <w:keepNext w:val="0"/>
              <w:keepLines w:val="0"/>
              <w:pageBreakBefore w:val="0"/>
              <w:kinsoku/>
              <w:topLinePunct w:val="0"/>
              <w:autoSpaceDE/>
              <w:autoSpaceDN/>
              <w:bidi w:val="0"/>
              <w:spacing w:line="360" w:lineRule="auto"/>
              <w:jc w:val="center"/>
              <w:rPr>
                <w:rFonts w:ascii="Times New Roman" w:hAnsi="Times New Roman" w:eastAsia="宋体"/>
                <w:color w:val="auto"/>
                <w:sz w:val="21"/>
                <w:highlight w:val="none"/>
              </w:rPr>
            </w:pPr>
          </w:p>
        </w:tc>
        <w:tc>
          <w:tcPr>
            <w:tcW w:w="1110" w:type="dxa"/>
            <w:noWrap w:val="0"/>
            <w:vAlign w:val="center"/>
          </w:tcPr>
          <w:p w14:paraId="3228FC5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1095" w:type="dxa"/>
            <w:noWrap w:val="0"/>
            <w:vAlign w:val="center"/>
          </w:tcPr>
          <w:p w14:paraId="7E8107B2">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45" w:type="dxa"/>
            <w:noWrap w:val="0"/>
            <w:vAlign w:val="center"/>
          </w:tcPr>
          <w:p w14:paraId="5A9327D8">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c>
          <w:tcPr>
            <w:tcW w:w="900" w:type="dxa"/>
            <w:noWrap w:val="0"/>
            <w:vAlign w:val="top"/>
          </w:tcPr>
          <w:p w14:paraId="64A2014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r w14:paraId="367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623" w:type="dxa"/>
            <w:gridSpan w:val="8"/>
            <w:noWrap w:val="0"/>
            <w:vAlign w:val="center"/>
          </w:tcPr>
          <w:p w14:paraId="3F588196">
            <w:pPr>
              <w:keepNext w:val="0"/>
              <w:keepLines w:val="0"/>
              <w:pageBreakBefore w:val="0"/>
              <w:kinsoku/>
              <w:topLinePunct w:val="0"/>
              <w:autoSpaceDE/>
              <w:autoSpaceDN/>
              <w:bidi w:val="0"/>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总计：</w:t>
            </w:r>
            <w:r>
              <w:rPr>
                <w:rFonts w:hint="eastAsia" w:ascii="Times New Roman" w:hAnsi="Times New Roman" w:eastAsia="宋体"/>
                <w:color w:val="auto"/>
                <w:sz w:val="24"/>
                <w:szCs w:val="24"/>
                <w:highlight w:val="none"/>
                <w:lang w:val="en-US" w:eastAsia="zh-CN"/>
              </w:rPr>
              <w:t xml:space="preserve">   </w:t>
            </w:r>
            <w:r>
              <w:rPr>
                <w:rFonts w:hint="eastAsia" w:ascii="Times New Roman" w:hAnsi="Times New Roman" w:eastAsia="宋体"/>
                <w:color w:val="auto"/>
                <w:sz w:val="24"/>
                <w:szCs w:val="24"/>
                <w:highlight w:val="none"/>
              </w:rPr>
              <w:t>元</w:t>
            </w:r>
          </w:p>
        </w:tc>
        <w:tc>
          <w:tcPr>
            <w:tcW w:w="900" w:type="dxa"/>
            <w:noWrap w:val="0"/>
            <w:vAlign w:val="top"/>
          </w:tcPr>
          <w:p w14:paraId="6FDB9207">
            <w:pPr>
              <w:keepNext w:val="0"/>
              <w:keepLines w:val="0"/>
              <w:pageBreakBefore w:val="0"/>
              <w:kinsoku/>
              <w:topLinePunct w:val="0"/>
              <w:autoSpaceDE/>
              <w:autoSpaceDN/>
              <w:bidi w:val="0"/>
              <w:spacing w:line="360" w:lineRule="auto"/>
              <w:rPr>
                <w:rFonts w:ascii="Times New Roman" w:hAnsi="Times New Roman" w:eastAsia="宋体"/>
                <w:color w:val="auto"/>
                <w:sz w:val="24"/>
                <w:szCs w:val="24"/>
                <w:highlight w:val="none"/>
              </w:rPr>
            </w:pPr>
          </w:p>
        </w:tc>
      </w:tr>
    </w:tbl>
    <w:p w14:paraId="0D163AE5">
      <w:pPr>
        <w:pStyle w:val="43"/>
        <w:keepNext w:val="0"/>
        <w:keepLines w:val="0"/>
        <w:pageBreakBefore w:val="0"/>
        <w:kinsoku/>
        <w:topLinePunct w:val="0"/>
        <w:autoSpaceDE/>
        <w:autoSpaceDN/>
        <w:bidi w:val="0"/>
        <w:spacing w:line="360" w:lineRule="auto"/>
        <w:rPr>
          <w:rFonts w:hint="eastAsia"/>
          <w:color w:val="auto"/>
          <w:highlight w:val="none"/>
        </w:rPr>
      </w:pPr>
    </w:p>
    <w:p w14:paraId="1F65E131">
      <w:pPr>
        <w:keepNext w:val="0"/>
        <w:keepLines w:val="0"/>
        <w:pageBreakBefore w:val="0"/>
        <w:kinsoku/>
        <w:topLinePunct w:val="0"/>
        <w:autoSpaceDE/>
        <w:autoSpaceDN/>
        <w:bidi w:val="0"/>
        <w:spacing w:line="360" w:lineRule="auto"/>
        <w:ind w:firstLine="480" w:firstLineChars="200"/>
        <w:rPr>
          <w:rFonts w:ascii="宋体" w:hAnsi="宋体"/>
          <w:bCs/>
          <w:color w:val="auto"/>
          <w:sz w:val="24"/>
          <w:highlight w:val="none"/>
        </w:rPr>
      </w:pPr>
      <w:r>
        <w:rPr>
          <w:rFonts w:hint="eastAsia" w:ascii="宋体" w:hAnsi="宋体" w:eastAsia="宋体" w:cs="宋体"/>
          <w:color w:val="auto"/>
          <w:sz w:val="24"/>
          <w:szCs w:val="24"/>
          <w:highlight w:val="none"/>
        </w:rPr>
        <w:t>注：</w:t>
      </w:r>
      <w:r>
        <w:rPr>
          <w:rFonts w:hint="eastAsia" w:ascii="宋体" w:hAnsi="宋体"/>
          <w:bCs/>
          <w:color w:val="auto"/>
          <w:sz w:val="24"/>
          <w:highlight w:val="none"/>
        </w:rPr>
        <w:t>1、最终磋商总价报价将在磋商现场填写，响应文件首次提交时只需填写本明细表和首次磋商总价报价。</w:t>
      </w:r>
    </w:p>
    <w:p w14:paraId="4AE4707F">
      <w:pPr>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2、本表格可根据需求自行调整。</w:t>
      </w:r>
    </w:p>
    <w:p w14:paraId="26A8015B">
      <w:pPr>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3、如果不提供本表将视为未实质性响应磋商文件要求。</w:t>
      </w:r>
    </w:p>
    <w:p w14:paraId="2FF97110">
      <w:pPr>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4、如果按各分项报价计算的结果与总价不一致，以各分项报价为准，修正总价。</w:t>
      </w:r>
    </w:p>
    <w:p w14:paraId="243B4004">
      <w:pPr>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Cs/>
          <w:color w:val="auto"/>
          <w:sz w:val="24"/>
          <w:szCs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w:t>
      </w:r>
      <w:r>
        <w:rPr>
          <w:rFonts w:hint="eastAsia" w:ascii="宋体" w:hAnsi="宋体"/>
          <w:bCs/>
          <w:color w:val="auto"/>
          <w:sz w:val="24"/>
          <w:highlight w:val="none"/>
        </w:rPr>
        <w:t>本表</w:t>
      </w:r>
      <w:r>
        <w:rPr>
          <w:rFonts w:hint="eastAsia" w:ascii="宋体" w:hAnsi="宋体"/>
          <w:bCs/>
          <w:color w:val="auto"/>
          <w:sz w:val="24"/>
          <w:highlight w:val="none"/>
          <w:lang w:eastAsia="zh-CN"/>
        </w:rPr>
        <w:t>响应</w:t>
      </w:r>
      <w:r>
        <w:rPr>
          <w:rFonts w:hint="eastAsia" w:ascii="宋体" w:hAnsi="宋体"/>
          <w:bCs/>
          <w:color w:val="auto"/>
          <w:sz w:val="24"/>
          <w:highlight w:val="none"/>
        </w:rPr>
        <w:t>总报价（以人民币计价）应</w:t>
      </w:r>
      <w:r>
        <w:rPr>
          <w:rFonts w:hint="eastAsia" w:ascii="宋体" w:hAnsi="宋体"/>
          <w:bCs/>
          <w:color w:val="auto"/>
          <w:sz w:val="24"/>
          <w:highlight w:val="none"/>
          <w:lang w:eastAsia="zh-CN"/>
        </w:rPr>
        <w:t>包含但不限于</w:t>
      </w:r>
      <w:r>
        <w:rPr>
          <w:rFonts w:hint="eastAsia" w:ascii="宋体" w:hAnsi="宋体"/>
          <w:bCs/>
          <w:color w:val="auto"/>
          <w:sz w:val="24"/>
          <w:highlight w:val="none"/>
        </w:rPr>
        <w:t>成本、利润、税金、开办费、政策性调整风险费等的所有费用；辅材费、人工费、检测费、管理费；国家税务部门规定的各项税金；相关伴随服务以及售后服务等一切费用</w:t>
      </w:r>
      <w:r>
        <w:rPr>
          <w:rFonts w:hint="eastAsia" w:ascii="宋体" w:hAnsi="宋体"/>
          <w:bCs/>
          <w:color w:val="auto"/>
          <w:sz w:val="24"/>
          <w:highlight w:val="none"/>
          <w:lang w:eastAsia="zh-CN"/>
        </w:rPr>
        <w:t>；</w:t>
      </w:r>
      <w:r>
        <w:rPr>
          <w:rFonts w:hint="eastAsia" w:ascii="宋体" w:hAnsi="宋体"/>
          <w:bCs/>
          <w:color w:val="auto"/>
          <w:sz w:val="24"/>
          <w:highlight w:val="none"/>
        </w:rPr>
        <w:t>即本项目采购的货物交付使用前的所有费用以及免费质保期内的服务费用等包含响应</w:t>
      </w:r>
      <w:r>
        <w:rPr>
          <w:rFonts w:hint="eastAsia" w:ascii="宋体" w:hAnsi="宋体"/>
          <w:bCs/>
          <w:color w:val="auto"/>
          <w:sz w:val="24"/>
          <w:highlight w:val="none"/>
          <w:lang w:eastAsia="zh-CN"/>
        </w:rPr>
        <w:t>磋商</w:t>
      </w:r>
      <w:r>
        <w:rPr>
          <w:rFonts w:hint="eastAsia" w:ascii="宋体" w:hAnsi="宋体"/>
          <w:bCs/>
          <w:color w:val="auto"/>
          <w:sz w:val="24"/>
          <w:highlight w:val="none"/>
        </w:rPr>
        <w:t>文件采购要求的所有费用。同时，报价也包含了合同履行过程中可能发生的一切风险</w:t>
      </w:r>
      <w:r>
        <w:rPr>
          <w:rFonts w:hint="eastAsia" w:ascii="宋体" w:hAnsi="宋体"/>
          <w:bCs/>
          <w:color w:val="auto"/>
          <w:sz w:val="24"/>
          <w:highlight w:val="none"/>
          <w:lang w:eastAsia="zh-CN"/>
        </w:rPr>
        <w:t>。</w:t>
      </w:r>
    </w:p>
    <w:p w14:paraId="0F7502EF">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0D46D2CA">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r>
        <w:rPr>
          <w:rFonts w:hint="eastAsia" w:ascii="宋体" w:hAnsi="宋体" w:eastAsia="宋体" w:cs="宋体"/>
          <w:bCs/>
          <w:color w:val="auto"/>
          <w:sz w:val="24"/>
          <w:szCs w:val="24"/>
          <w:highlight w:val="none"/>
          <w:u w:val="single"/>
        </w:rPr>
        <w:t xml:space="preserve">                        </w:t>
      </w:r>
    </w:p>
    <w:p w14:paraId="7EA4319C">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供应商代表签字或盖章：</w:t>
      </w:r>
      <w:r>
        <w:rPr>
          <w:rFonts w:hint="eastAsia" w:ascii="宋体" w:hAnsi="宋体" w:eastAsia="宋体" w:cs="宋体"/>
          <w:bCs/>
          <w:color w:val="auto"/>
          <w:sz w:val="24"/>
          <w:szCs w:val="24"/>
          <w:highlight w:val="none"/>
          <w:u w:val="single"/>
        </w:rPr>
        <w:t xml:space="preserve">                       </w:t>
      </w:r>
    </w:p>
    <w:p w14:paraId="19D0271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 xml:space="preserve">日  期： </w:t>
      </w:r>
      <w:r>
        <w:rPr>
          <w:rFonts w:hint="eastAsia" w:ascii="宋体" w:hAnsi="宋体" w:eastAsia="宋体" w:cs="宋体"/>
          <w:bCs/>
          <w:color w:val="auto"/>
          <w:sz w:val="24"/>
          <w:szCs w:val="24"/>
          <w:highlight w:val="none"/>
          <w:u w:val="single"/>
        </w:rPr>
        <w:t xml:space="preserve">                            </w:t>
      </w:r>
    </w:p>
    <w:sectPr>
      <w:footerReference r:id="rId3" w:type="default"/>
      <w:pgSz w:w="11906" w:h="16838"/>
      <w:pgMar w:top="1418" w:right="1588" w:bottom="1418" w:left="1588"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ingFangSC-Regular-Identity-H">
    <w:altName w:val="Segoe Print"/>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E2BF">
    <w:pPr>
      <w:pStyle w:val="16"/>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ZTQyNGY3NWY0ZTVkMDMxMDUwZGIwMTYzYTM2NTk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229B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D3170"/>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15C4CBF"/>
    <w:rsid w:val="01FE34D3"/>
    <w:rsid w:val="02117D9A"/>
    <w:rsid w:val="0232372D"/>
    <w:rsid w:val="02F619EC"/>
    <w:rsid w:val="031A3274"/>
    <w:rsid w:val="032341C5"/>
    <w:rsid w:val="03A83A42"/>
    <w:rsid w:val="03E379A2"/>
    <w:rsid w:val="041E22FB"/>
    <w:rsid w:val="0475016D"/>
    <w:rsid w:val="05D721F2"/>
    <w:rsid w:val="08D1180B"/>
    <w:rsid w:val="0A2543E3"/>
    <w:rsid w:val="0A2830AC"/>
    <w:rsid w:val="0A5D1C72"/>
    <w:rsid w:val="0A727010"/>
    <w:rsid w:val="0B462863"/>
    <w:rsid w:val="0BE5207C"/>
    <w:rsid w:val="0CD77836"/>
    <w:rsid w:val="0DEA1BCB"/>
    <w:rsid w:val="0E6C4D9F"/>
    <w:rsid w:val="0FB9436E"/>
    <w:rsid w:val="10E548CC"/>
    <w:rsid w:val="10EF15A7"/>
    <w:rsid w:val="115B540E"/>
    <w:rsid w:val="122D2FC9"/>
    <w:rsid w:val="133E3283"/>
    <w:rsid w:val="139A7BF0"/>
    <w:rsid w:val="14EA7E81"/>
    <w:rsid w:val="151421A8"/>
    <w:rsid w:val="15253159"/>
    <w:rsid w:val="155F3D53"/>
    <w:rsid w:val="157C1E87"/>
    <w:rsid w:val="159468C1"/>
    <w:rsid w:val="15C2217E"/>
    <w:rsid w:val="15D63BCC"/>
    <w:rsid w:val="15F6320B"/>
    <w:rsid w:val="16593DC0"/>
    <w:rsid w:val="17BF578A"/>
    <w:rsid w:val="17F32EE2"/>
    <w:rsid w:val="18117D55"/>
    <w:rsid w:val="18263421"/>
    <w:rsid w:val="197308CB"/>
    <w:rsid w:val="197565C6"/>
    <w:rsid w:val="1A18186E"/>
    <w:rsid w:val="1B4F155D"/>
    <w:rsid w:val="1C503906"/>
    <w:rsid w:val="1DE432AC"/>
    <w:rsid w:val="1E163551"/>
    <w:rsid w:val="1F0C4400"/>
    <w:rsid w:val="1F8E2FE8"/>
    <w:rsid w:val="203A77C4"/>
    <w:rsid w:val="21404558"/>
    <w:rsid w:val="21450846"/>
    <w:rsid w:val="21B43D41"/>
    <w:rsid w:val="224E366C"/>
    <w:rsid w:val="22D402FC"/>
    <w:rsid w:val="2335285B"/>
    <w:rsid w:val="252E676F"/>
    <w:rsid w:val="25E0597D"/>
    <w:rsid w:val="272A0E68"/>
    <w:rsid w:val="274D0351"/>
    <w:rsid w:val="27DE22E9"/>
    <w:rsid w:val="286D194F"/>
    <w:rsid w:val="28885E11"/>
    <w:rsid w:val="28F53B49"/>
    <w:rsid w:val="29C97C61"/>
    <w:rsid w:val="2B9F25ED"/>
    <w:rsid w:val="2BD6675A"/>
    <w:rsid w:val="2C5A6960"/>
    <w:rsid w:val="2C6E5A4D"/>
    <w:rsid w:val="2CC8252C"/>
    <w:rsid w:val="2CCE28B7"/>
    <w:rsid w:val="2D0068BE"/>
    <w:rsid w:val="2D547055"/>
    <w:rsid w:val="2DD824AC"/>
    <w:rsid w:val="2E672C1C"/>
    <w:rsid w:val="2E947E48"/>
    <w:rsid w:val="2F837332"/>
    <w:rsid w:val="30A401EF"/>
    <w:rsid w:val="322E658F"/>
    <w:rsid w:val="32347FCD"/>
    <w:rsid w:val="32593CE2"/>
    <w:rsid w:val="32D85BE7"/>
    <w:rsid w:val="3329796B"/>
    <w:rsid w:val="34700A2F"/>
    <w:rsid w:val="34C5163B"/>
    <w:rsid w:val="358D4A67"/>
    <w:rsid w:val="35947F61"/>
    <w:rsid w:val="35CA34F6"/>
    <w:rsid w:val="35CB4299"/>
    <w:rsid w:val="35EB4569"/>
    <w:rsid w:val="36161DCC"/>
    <w:rsid w:val="366867C2"/>
    <w:rsid w:val="37092C7D"/>
    <w:rsid w:val="38594DC9"/>
    <w:rsid w:val="385F6F0F"/>
    <w:rsid w:val="388D2136"/>
    <w:rsid w:val="396E11A3"/>
    <w:rsid w:val="39780A9F"/>
    <w:rsid w:val="3A3E6499"/>
    <w:rsid w:val="3AAB1168"/>
    <w:rsid w:val="3C2C44E9"/>
    <w:rsid w:val="3CA14B12"/>
    <w:rsid w:val="3DA05553"/>
    <w:rsid w:val="3DBB06FA"/>
    <w:rsid w:val="3DEA6E32"/>
    <w:rsid w:val="3DF31169"/>
    <w:rsid w:val="3E246184"/>
    <w:rsid w:val="3EF274D2"/>
    <w:rsid w:val="3F13120C"/>
    <w:rsid w:val="3FBC10C9"/>
    <w:rsid w:val="401C35B7"/>
    <w:rsid w:val="40423602"/>
    <w:rsid w:val="4080750E"/>
    <w:rsid w:val="40FE795C"/>
    <w:rsid w:val="42024E02"/>
    <w:rsid w:val="420764B5"/>
    <w:rsid w:val="422B5D33"/>
    <w:rsid w:val="425D1C65"/>
    <w:rsid w:val="42672AE3"/>
    <w:rsid w:val="440A15A0"/>
    <w:rsid w:val="442B555F"/>
    <w:rsid w:val="448734FB"/>
    <w:rsid w:val="44972DA7"/>
    <w:rsid w:val="4561465A"/>
    <w:rsid w:val="45983BDF"/>
    <w:rsid w:val="459E47A7"/>
    <w:rsid w:val="46CD07F9"/>
    <w:rsid w:val="47693BAF"/>
    <w:rsid w:val="482C45B3"/>
    <w:rsid w:val="486E3206"/>
    <w:rsid w:val="48FE0BAD"/>
    <w:rsid w:val="49111B67"/>
    <w:rsid w:val="49727F94"/>
    <w:rsid w:val="49DC3654"/>
    <w:rsid w:val="4A324B44"/>
    <w:rsid w:val="4ACD5C5A"/>
    <w:rsid w:val="4B840262"/>
    <w:rsid w:val="4BE75A2A"/>
    <w:rsid w:val="4C510AF8"/>
    <w:rsid w:val="4E46218F"/>
    <w:rsid w:val="4EBA73A4"/>
    <w:rsid w:val="4FA520EA"/>
    <w:rsid w:val="4FC139BA"/>
    <w:rsid w:val="502E6EFE"/>
    <w:rsid w:val="5035522F"/>
    <w:rsid w:val="5073127E"/>
    <w:rsid w:val="515F3303"/>
    <w:rsid w:val="53A23A14"/>
    <w:rsid w:val="54120D39"/>
    <w:rsid w:val="542A6B2C"/>
    <w:rsid w:val="544F229E"/>
    <w:rsid w:val="55385BD7"/>
    <w:rsid w:val="56400311"/>
    <w:rsid w:val="56E5418D"/>
    <w:rsid w:val="584274DB"/>
    <w:rsid w:val="585A4B1B"/>
    <w:rsid w:val="599B1D79"/>
    <w:rsid w:val="5A4C01FF"/>
    <w:rsid w:val="5A8F2AFB"/>
    <w:rsid w:val="5A91106B"/>
    <w:rsid w:val="5AD25AC4"/>
    <w:rsid w:val="5B02520C"/>
    <w:rsid w:val="5BD838E7"/>
    <w:rsid w:val="5BD91F04"/>
    <w:rsid w:val="5C855626"/>
    <w:rsid w:val="5EE01142"/>
    <w:rsid w:val="5FD76DB9"/>
    <w:rsid w:val="60032852"/>
    <w:rsid w:val="60480F23"/>
    <w:rsid w:val="61946007"/>
    <w:rsid w:val="61BD1D0E"/>
    <w:rsid w:val="62576DD9"/>
    <w:rsid w:val="633D4A8B"/>
    <w:rsid w:val="640E3A9F"/>
    <w:rsid w:val="64191A38"/>
    <w:rsid w:val="64ED5461"/>
    <w:rsid w:val="64FB113D"/>
    <w:rsid w:val="658F2EA6"/>
    <w:rsid w:val="659772A6"/>
    <w:rsid w:val="6742329A"/>
    <w:rsid w:val="675F7512"/>
    <w:rsid w:val="67BC1571"/>
    <w:rsid w:val="683A4AF4"/>
    <w:rsid w:val="68A31FFC"/>
    <w:rsid w:val="68A84122"/>
    <w:rsid w:val="68AD6BF3"/>
    <w:rsid w:val="696E2E35"/>
    <w:rsid w:val="6A585565"/>
    <w:rsid w:val="6A721EA2"/>
    <w:rsid w:val="6AB53F04"/>
    <w:rsid w:val="6AE32C8B"/>
    <w:rsid w:val="6C1132E7"/>
    <w:rsid w:val="6D600F61"/>
    <w:rsid w:val="6D632A3D"/>
    <w:rsid w:val="6E9616EC"/>
    <w:rsid w:val="6F1F4B5D"/>
    <w:rsid w:val="6F3A3EBA"/>
    <w:rsid w:val="700D0A38"/>
    <w:rsid w:val="70541114"/>
    <w:rsid w:val="707A560C"/>
    <w:rsid w:val="709F75B6"/>
    <w:rsid w:val="70B054D2"/>
    <w:rsid w:val="712D5BF6"/>
    <w:rsid w:val="71AD12AD"/>
    <w:rsid w:val="71EA5EF0"/>
    <w:rsid w:val="720C2DA1"/>
    <w:rsid w:val="72BC7378"/>
    <w:rsid w:val="72BF1288"/>
    <w:rsid w:val="73392B0C"/>
    <w:rsid w:val="74266144"/>
    <w:rsid w:val="75363ACC"/>
    <w:rsid w:val="75652356"/>
    <w:rsid w:val="762F76F3"/>
    <w:rsid w:val="76876CD5"/>
    <w:rsid w:val="76B22FC1"/>
    <w:rsid w:val="76DF48EB"/>
    <w:rsid w:val="787C19CC"/>
    <w:rsid w:val="79173AC2"/>
    <w:rsid w:val="79691823"/>
    <w:rsid w:val="798C7570"/>
    <w:rsid w:val="7A0B19CB"/>
    <w:rsid w:val="7B0A1E99"/>
    <w:rsid w:val="7B85422E"/>
    <w:rsid w:val="7C1A2204"/>
    <w:rsid w:val="7C462374"/>
    <w:rsid w:val="7CE50645"/>
    <w:rsid w:val="7CEA7ECD"/>
    <w:rsid w:val="7D5A2578"/>
    <w:rsid w:val="7DFB122D"/>
    <w:rsid w:val="7E633C7C"/>
    <w:rsid w:val="7EFD3971"/>
    <w:rsid w:val="7F4A0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autoRedefine/>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3">
    <w:name w:val="heading 2"/>
    <w:basedOn w:val="1"/>
    <w:next w:val="1"/>
    <w:link w:val="51"/>
    <w:autoRedefine/>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4">
    <w:name w:val="heading 4"/>
    <w:basedOn w:val="1"/>
    <w:next w:val="1"/>
    <w:autoRedefine/>
    <w:semiHidden/>
    <w:qFormat/>
    <w:uiPriority w:val="9"/>
    <w:pPr>
      <w:keepNext/>
      <w:keepLines/>
      <w:spacing w:before="280" w:after="290" w:line="372" w:lineRule="auto"/>
      <w:outlineLvl w:val="3"/>
    </w:pPr>
    <w:rPr>
      <w:rFonts w:ascii="Cambria" w:hAnsi="Cambria"/>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9"/>
    <w:autoRedefine/>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6">
    <w:name w:val="Document Map"/>
    <w:basedOn w:val="1"/>
    <w:link w:val="52"/>
    <w:autoRedefine/>
    <w:semiHidden/>
    <w:unhideWhenUsed/>
    <w:qFormat/>
    <w:uiPriority w:val="99"/>
    <w:rPr>
      <w:rFonts w:ascii="宋体" w:eastAsia="宋体"/>
      <w:sz w:val="18"/>
      <w:szCs w:val="18"/>
    </w:rPr>
  </w:style>
  <w:style w:type="paragraph" w:styleId="7">
    <w:name w:val="toa heading"/>
    <w:basedOn w:val="1"/>
    <w:next w:val="1"/>
    <w:autoRedefine/>
    <w:qFormat/>
    <w:uiPriority w:val="0"/>
    <w:rPr>
      <w:rFonts w:ascii="Arial" w:hAnsi="Arial" w:eastAsia="宋体" w:cs="Times New Roman"/>
      <w:sz w:val="24"/>
      <w:szCs w:val="21"/>
    </w:rPr>
  </w:style>
  <w:style w:type="paragraph" w:styleId="8">
    <w:name w:val="annotation text"/>
    <w:basedOn w:val="1"/>
    <w:link w:val="55"/>
    <w:autoRedefine/>
    <w:semiHidden/>
    <w:unhideWhenUsed/>
    <w:qFormat/>
    <w:uiPriority w:val="99"/>
    <w:pPr>
      <w:jc w:val="left"/>
    </w:pPr>
  </w:style>
  <w:style w:type="paragraph" w:styleId="9">
    <w:name w:val="Body Text"/>
    <w:basedOn w:val="1"/>
    <w:autoRedefine/>
    <w:qFormat/>
    <w:uiPriority w:val="0"/>
    <w:rPr>
      <w:rFonts w:ascii="楷体_GB2312" w:hAnsi="Arial" w:eastAsia="楷体_GB2312"/>
      <w:sz w:val="28"/>
      <w:szCs w:val="28"/>
    </w:rPr>
  </w:style>
  <w:style w:type="paragraph" w:styleId="10">
    <w:name w:val="Body Text Indent"/>
    <w:basedOn w:val="1"/>
    <w:next w:val="11"/>
    <w:autoRedefine/>
    <w:semiHidden/>
    <w:unhideWhenUsed/>
    <w:qFormat/>
    <w:uiPriority w:val="99"/>
    <w:pPr>
      <w:spacing w:after="120"/>
      <w:ind w:left="420" w:leftChars="200"/>
    </w:pPr>
  </w:style>
  <w:style w:type="paragraph" w:styleId="11">
    <w:name w:val="envelope return"/>
    <w:basedOn w:val="1"/>
    <w:autoRedefine/>
    <w:unhideWhenUsed/>
    <w:qFormat/>
    <w:uiPriority w:val="99"/>
    <w:pPr>
      <w:snapToGrid w:val="0"/>
    </w:pPr>
    <w:rPr>
      <w:rFonts w:ascii="Arial" w:hAnsi="Arial" w:eastAsia="楷体_GB2312" w:cs="Times New Roman"/>
      <w:sz w:val="26"/>
      <w:szCs w:val="20"/>
    </w:rPr>
  </w:style>
  <w:style w:type="paragraph" w:styleId="12">
    <w:name w:val="index 4"/>
    <w:basedOn w:val="1"/>
    <w:next w:val="1"/>
    <w:autoRedefine/>
    <w:qFormat/>
    <w:uiPriority w:val="0"/>
    <w:pPr>
      <w:ind w:left="1260"/>
    </w:pPr>
    <w:rPr>
      <w:rFonts w:ascii="Calibri" w:hAnsi="Calibri" w:eastAsia="宋体" w:cs="Times New Roman"/>
      <w:szCs w:val="20"/>
    </w:rPr>
  </w:style>
  <w:style w:type="paragraph" w:styleId="13">
    <w:name w:val="toc 3"/>
    <w:basedOn w:val="1"/>
    <w:next w:val="1"/>
    <w:autoRedefine/>
    <w:qFormat/>
    <w:uiPriority w:val="0"/>
    <w:pPr>
      <w:ind w:left="840" w:leftChars="400"/>
    </w:pPr>
    <w:rPr>
      <w:rFonts w:ascii="Calibri" w:hAnsi="Calibri" w:eastAsia="宋体" w:cs="Times New Roman"/>
      <w:szCs w:val="20"/>
    </w:rPr>
  </w:style>
  <w:style w:type="paragraph" w:styleId="14">
    <w:name w:val="Plain Text"/>
    <w:basedOn w:val="1"/>
    <w:link w:val="61"/>
    <w:autoRedefine/>
    <w:qFormat/>
    <w:uiPriority w:val="99"/>
    <w:rPr>
      <w:rFonts w:ascii="宋体" w:hAnsi="Courier New" w:eastAsia="宋体" w:cs="Times New Roman"/>
      <w:szCs w:val="20"/>
    </w:r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adjustRightInd w:val="0"/>
      <w:jc w:val="left"/>
      <w:textAlignment w:val="baseline"/>
    </w:pPr>
    <w:rPr>
      <w:rFonts w:ascii="Calibri" w:hAnsi="Calibri" w:eastAsia="楷体_GB2312" w:cs="Times New Roman"/>
      <w:sz w:val="24"/>
      <w:szCs w:val="20"/>
    </w:rPr>
  </w:style>
  <w:style w:type="paragraph" w:styleId="19">
    <w:name w:val="Body Text Indent 3"/>
    <w:basedOn w:val="1"/>
    <w:qFormat/>
    <w:uiPriority w:val="99"/>
    <w:pPr>
      <w:ind w:left="645" w:firstLine="645"/>
    </w:pPr>
    <w:rPr>
      <w:sz w:val="16"/>
      <w:szCs w:val="16"/>
    </w:rPr>
  </w:style>
  <w:style w:type="paragraph" w:styleId="2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21">
    <w:name w:val="Title"/>
    <w:basedOn w:val="1"/>
    <w:next w:val="1"/>
    <w:autoRedefine/>
    <w:qFormat/>
    <w:uiPriority w:val="10"/>
    <w:pPr>
      <w:autoSpaceDE/>
      <w:autoSpaceDN/>
      <w:adjustRightInd/>
      <w:spacing w:before="240" w:beforeLines="0" w:after="60" w:afterLines="0" w:line="360" w:lineRule="auto"/>
      <w:ind w:firstLine="643"/>
      <w:jc w:val="center"/>
      <w:outlineLvl w:val="0"/>
    </w:pPr>
    <w:rPr>
      <w:rFonts w:hint="eastAsia" w:ascii="Cambria" w:hAnsi="Cambria" w:cs="Times New Roman"/>
      <w:b/>
      <w:kern w:val="2"/>
      <w:sz w:val="44"/>
      <w:szCs w:val="32"/>
    </w:rPr>
  </w:style>
  <w:style w:type="paragraph" w:styleId="22">
    <w:name w:val="annotation subject"/>
    <w:basedOn w:val="8"/>
    <w:next w:val="8"/>
    <w:link w:val="56"/>
    <w:autoRedefine/>
    <w:semiHidden/>
    <w:unhideWhenUsed/>
    <w:qFormat/>
    <w:uiPriority w:val="99"/>
    <w:rPr>
      <w:b/>
      <w:bCs/>
    </w:rPr>
  </w:style>
  <w:style w:type="paragraph" w:styleId="23">
    <w:name w:val="Body Text First Indent"/>
    <w:basedOn w:val="1"/>
    <w:next w:val="1"/>
    <w:autoRedefine/>
    <w:unhideWhenUsed/>
    <w:qFormat/>
    <w:uiPriority w:val="99"/>
    <w:pPr>
      <w:ind w:firstLine="420" w:firstLineChars="100"/>
    </w:pPr>
  </w:style>
  <w:style w:type="paragraph" w:styleId="24">
    <w:name w:val="Body Text First Indent 2"/>
    <w:basedOn w:val="10"/>
    <w:next w:val="19"/>
    <w:autoRedefine/>
    <w:unhideWhenUsed/>
    <w:qFormat/>
    <w:uiPriority w:val="99"/>
    <w:pPr>
      <w:ind w:firstLine="420" w:firstLineChars="200"/>
    </w:pPr>
  </w:style>
  <w:style w:type="table" w:styleId="26">
    <w:name w:val="Table Grid"/>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style>
  <w:style w:type="character" w:styleId="29">
    <w:name w:val="FollowedHyperlink"/>
    <w:basedOn w:val="27"/>
    <w:autoRedefine/>
    <w:semiHidden/>
    <w:unhideWhenUsed/>
    <w:qFormat/>
    <w:uiPriority w:val="99"/>
    <w:rPr>
      <w:color w:val="800080"/>
      <w:u w:val="none"/>
    </w:rPr>
  </w:style>
  <w:style w:type="character" w:styleId="30">
    <w:name w:val="HTML Definition"/>
    <w:basedOn w:val="27"/>
    <w:autoRedefine/>
    <w:semiHidden/>
    <w:unhideWhenUsed/>
    <w:qFormat/>
    <w:uiPriority w:val="99"/>
  </w:style>
  <w:style w:type="character" w:styleId="31">
    <w:name w:val="HTML Typewriter"/>
    <w:basedOn w:val="27"/>
    <w:autoRedefine/>
    <w:semiHidden/>
    <w:unhideWhenUsed/>
    <w:qFormat/>
    <w:uiPriority w:val="99"/>
    <w:rPr>
      <w:rFonts w:ascii="monospace" w:hAnsi="monospace" w:eastAsia="monospace" w:cs="monospace"/>
      <w:sz w:val="20"/>
    </w:rPr>
  </w:style>
  <w:style w:type="character" w:styleId="32">
    <w:name w:val="HTML Acronym"/>
    <w:basedOn w:val="27"/>
    <w:autoRedefine/>
    <w:semiHidden/>
    <w:unhideWhenUsed/>
    <w:qFormat/>
    <w:uiPriority w:val="99"/>
  </w:style>
  <w:style w:type="character" w:styleId="33">
    <w:name w:val="HTML Variable"/>
    <w:basedOn w:val="27"/>
    <w:autoRedefine/>
    <w:semiHidden/>
    <w:unhideWhenUsed/>
    <w:qFormat/>
    <w:uiPriority w:val="99"/>
  </w:style>
  <w:style w:type="character" w:styleId="34">
    <w:name w:val="Hyperlink"/>
    <w:basedOn w:val="27"/>
    <w:autoRedefine/>
    <w:unhideWhenUsed/>
    <w:qFormat/>
    <w:uiPriority w:val="99"/>
    <w:rPr>
      <w:color w:val="0000FF" w:themeColor="hyperlink"/>
      <w:u w:val="single"/>
      <w14:textFill>
        <w14:solidFill>
          <w14:schemeClr w14:val="hlink"/>
        </w14:solidFill>
      </w14:textFill>
    </w:rPr>
  </w:style>
  <w:style w:type="character" w:styleId="35">
    <w:name w:val="HTML Code"/>
    <w:basedOn w:val="27"/>
    <w:autoRedefine/>
    <w:semiHidden/>
    <w:unhideWhenUsed/>
    <w:qFormat/>
    <w:uiPriority w:val="99"/>
    <w:rPr>
      <w:rFonts w:hint="default" w:ascii="monospace" w:hAnsi="monospace" w:eastAsia="monospace" w:cs="monospace"/>
      <w:sz w:val="20"/>
    </w:rPr>
  </w:style>
  <w:style w:type="character" w:styleId="36">
    <w:name w:val="annotation reference"/>
    <w:basedOn w:val="27"/>
    <w:autoRedefine/>
    <w:semiHidden/>
    <w:unhideWhenUsed/>
    <w:qFormat/>
    <w:uiPriority w:val="99"/>
    <w:rPr>
      <w:sz w:val="21"/>
      <w:szCs w:val="21"/>
    </w:rPr>
  </w:style>
  <w:style w:type="character" w:styleId="37">
    <w:name w:val="HTML Cite"/>
    <w:basedOn w:val="27"/>
    <w:autoRedefine/>
    <w:semiHidden/>
    <w:unhideWhenUsed/>
    <w:qFormat/>
    <w:uiPriority w:val="99"/>
  </w:style>
  <w:style w:type="character" w:styleId="38">
    <w:name w:val="HTML Keyboard"/>
    <w:basedOn w:val="27"/>
    <w:autoRedefine/>
    <w:semiHidden/>
    <w:unhideWhenUsed/>
    <w:qFormat/>
    <w:uiPriority w:val="99"/>
    <w:rPr>
      <w:rFonts w:hint="default" w:ascii="monospace" w:hAnsi="monospace" w:eastAsia="monospace" w:cs="monospace"/>
      <w:sz w:val="20"/>
    </w:rPr>
  </w:style>
  <w:style w:type="character" w:styleId="39">
    <w:name w:val="HTML Sample"/>
    <w:basedOn w:val="27"/>
    <w:autoRedefine/>
    <w:semiHidden/>
    <w:unhideWhenUsed/>
    <w:qFormat/>
    <w:uiPriority w:val="99"/>
    <w:rPr>
      <w:rFonts w:hint="default" w:ascii="monospace" w:hAnsi="monospace" w:eastAsia="monospace" w:cs="monospace"/>
    </w:rPr>
  </w:style>
  <w:style w:type="paragraph" w:customStyle="1" w:styleId="40">
    <w:name w:val="正文文本1"/>
    <w:basedOn w:val="1"/>
    <w:qFormat/>
    <w:uiPriority w:val="0"/>
    <w:pPr>
      <w:spacing w:line="400" w:lineRule="exact"/>
    </w:pPr>
    <w:rPr>
      <w:rFonts w:ascii="楷体_GB2312"/>
      <w:sz w:val="28"/>
      <w:lang w:val="en-US" w:eastAsia="en-US"/>
    </w:rPr>
  </w:style>
  <w:style w:type="paragraph" w:customStyle="1" w:styleId="41">
    <w:name w:val="正文首行缩进 21"/>
    <w:basedOn w:val="10"/>
    <w:autoRedefine/>
    <w:unhideWhenUsed/>
    <w:qFormat/>
    <w:uiPriority w:val="0"/>
    <w:pPr>
      <w:ind w:firstLine="420"/>
    </w:pPr>
    <w:rPr>
      <w:lang w:val="en-US" w:eastAsia="en-US"/>
    </w:rPr>
  </w:style>
  <w:style w:type="paragraph" w:customStyle="1" w:styleId="42">
    <w:name w:val="首行缩进"/>
    <w:basedOn w:val="1"/>
    <w:qFormat/>
    <w:uiPriority w:val="0"/>
    <w:pPr>
      <w:ind w:firstLine="480" w:firstLineChars="200"/>
    </w:pPr>
    <w:rPr>
      <w:lang w:val="zh-CN"/>
    </w:rPr>
  </w:style>
  <w:style w:type="paragraph" w:customStyle="1" w:styleId="43">
    <w:name w:val="无间隔1"/>
    <w:qFormat/>
    <w:uiPriority w:val="0"/>
    <w:pPr>
      <w:spacing w:line="300" w:lineRule="auto"/>
    </w:pPr>
    <w:rPr>
      <w:rFonts w:ascii="Times New Roman" w:hAnsi="Times New Roman" w:eastAsia="华文仿宋" w:cs="Times New Roman"/>
      <w:sz w:val="24"/>
      <w:szCs w:val="24"/>
      <w:lang w:val="en-US" w:eastAsia="zh-CN" w:bidi="ar-SA"/>
    </w:rPr>
  </w:style>
  <w:style w:type="paragraph" w:customStyle="1" w:styleId="44">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45">
    <w:name w:val="正文文本缩进1"/>
    <w:basedOn w:val="1"/>
    <w:next w:val="46"/>
    <w:autoRedefine/>
    <w:unhideWhenUsed/>
    <w:qFormat/>
    <w:uiPriority w:val="0"/>
    <w:pPr>
      <w:spacing w:after="120"/>
      <w:ind w:left="420"/>
    </w:pPr>
    <w:rPr>
      <w:rFonts w:ascii="Times New Roman" w:hAnsi="Times New Roman"/>
      <w:lang w:val="en-US" w:eastAsia="en-US"/>
    </w:rPr>
  </w:style>
  <w:style w:type="paragraph" w:customStyle="1" w:styleId="46">
    <w:name w:val="寄信人地址1"/>
    <w:basedOn w:val="1"/>
    <w:autoRedefine/>
    <w:unhideWhenUsed/>
    <w:qFormat/>
    <w:uiPriority w:val="99"/>
    <w:rPr>
      <w:rFonts w:ascii="Arial" w:hAnsi="Arial" w:eastAsia="楷体_GB2312" w:cs="Times New Roman"/>
      <w:sz w:val="26"/>
      <w:szCs w:val="20"/>
    </w:rPr>
  </w:style>
  <w:style w:type="character" w:customStyle="1" w:styleId="47">
    <w:name w:val="页眉 Char"/>
    <w:basedOn w:val="27"/>
    <w:link w:val="17"/>
    <w:autoRedefine/>
    <w:qFormat/>
    <w:uiPriority w:val="99"/>
    <w:rPr>
      <w:sz w:val="18"/>
      <w:szCs w:val="18"/>
    </w:rPr>
  </w:style>
  <w:style w:type="character" w:customStyle="1" w:styleId="48">
    <w:name w:val="页脚 Char"/>
    <w:basedOn w:val="27"/>
    <w:link w:val="16"/>
    <w:autoRedefine/>
    <w:qFormat/>
    <w:uiPriority w:val="99"/>
    <w:rPr>
      <w:sz w:val="18"/>
      <w:szCs w:val="18"/>
    </w:rPr>
  </w:style>
  <w:style w:type="character" w:customStyle="1" w:styleId="49">
    <w:name w:val="正文缩进 Char"/>
    <w:link w:val="5"/>
    <w:autoRedefine/>
    <w:qFormat/>
    <w:uiPriority w:val="0"/>
    <w:rPr>
      <w:rFonts w:ascii="Calibri" w:hAnsi="Calibri" w:eastAsia="楷体_GB2312" w:cs="Times New Roman"/>
      <w:kern w:val="0"/>
      <w:sz w:val="24"/>
      <w:szCs w:val="20"/>
    </w:rPr>
  </w:style>
  <w:style w:type="character" w:customStyle="1" w:styleId="50">
    <w:name w:val="标题 1 Char"/>
    <w:basedOn w:val="27"/>
    <w:link w:val="2"/>
    <w:autoRedefine/>
    <w:qFormat/>
    <w:uiPriority w:val="0"/>
    <w:rPr>
      <w:rFonts w:ascii="Calibri" w:hAnsi="Calibri" w:eastAsia="楷体_GB2312" w:cs="Times New Roman"/>
      <w:b/>
      <w:kern w:val="44"/>
      <w:sz w:val="44"/>
      <w:szCs w:val="20"/>
    </w:rPr>
  </w:style>
  <w:style w:type="character" w:customStyle="1" w:styleId="51">
    <w:name w:val="标题 2 Char"/>
    <w:basedOn w:val="27"/>
    <w:link w:val="3"/>
    <w:autoRedefine/>
    <w:qFormat/>
    <w:uiPriority w:val="9"/>
    <w:rPr>
      <w:rFonts w:asciiTheme="majorHAnsi" w:hAnsiTheme="majorHAnsi" w:eastAsiaTheme="majorEastAsia" w:cstheme="majorBidi"/>
      <w:b/>
      <w:bCs/>
      <w:sz w:val="32"/>
      <w:szCs w:val="32"/>
    </w:rPr>
  </w:style>
  <w:style w:type="character" w:customStyle="1" w:styleId="52">
    <w:name w:val="文档结构图 Char"/>
    <w:basedOn w:val="27"/>
    <w:link w:val="6"/>
    <w:autoRedefine/>
    <w:semiHidden/>
    <w:qFormat/>
    <w:uiPriority w:val="99"/>
    <w:rPr>
      <w:rFonts w:ascii="宋体" w:eastAsia="宋体"/>
      <w:sz w:val="18"/>
      <w:szCs w:val="18"/>
    </w:rPr>
  </w:style>
  <w:style w:type="character" w:customStyle="1" w:styleId="53">
    <w:name w:val="NormalCharacter"/>
    <w:autoRedefine/>
    <w:qFormat/>
    <w:uiPriority w:val="0"/>
    <w:rPr>
      <w:rFonts w:ascii="Times New Roman" w:hAnsi="Times New Roman" w:eastAsia="宋体" w:cs="Times New Roman"/>
    </w:rPr>
  </w:style>
  <w:style w:type="character" w:customStyle="1" w:styleId="54">
    <w:name w:val="批注框文本 Char"/>
    <w:basedOn w:val="27"/>
    <w:link w:val="15"/>
    <w:autoRedefine/>
    <w:semiHidden/>
    <w:qFormat/>
    <w:uiPriority w:val="99"/>
    <w:rPr>
      <w:kern w:val="2"/>
      <w:sz w:val="18"/>
      <w:szCs w:val="18"/>
    </w:rPr>
  </w:style>
  <w:style w:type="character" w:customStyle="1" w:styleId="55">
    <w:name w:val="批注文字 Char"/>
    <w:basedOn w:val="27"/>
    <w:link w:val="8"/>
    <w:autoRedefine/>
    <w:semiHidden/>
    <w:qFormat/>
    <w:uiPriority w:val="99"/>
    <w:rPr>
      <w:kern w:val="2"/>
      <w:sz w:val="21"/>
      <w:szCs w:val="22"/>
    </w:rPr>
  </w:style>
  <w:style w:type="character" w:customStyle="1" w:styleId="56">
    <w:name w:val="批注主题 Char"/>
    <w:basedOn w:val="55"/>
    <w:link w:val="22"/>
    <w:autoRedefine/>
    <w:semiHidden/>
    <w:qFormat/>
    <w:uiPriority w:val="99"/>
    <w:rPr>
      <w:b/>
      <w:bCs/>
      <w:kern w:val="2"/>
      <w:sz w:val="21"/>
      <w:szCs w:val="22"/>
    </w:rPr>
  </w:style>
  <w:style w:type="character" w:customStyle="1" w:styleId="57">
    <w:name w:val="普通正文 Char"/>
    <w:link w:val="58"/>
    <w:autoRedefine/>
    <w:qFormat/>
    <w:uiPriority w:val="0"/>
    <w:rPr>
      <w:rFonts w:ascii="Arial" w:hAnsi="Arial"/>
      <w:sz w:val="24"/>
      <w:szCs w:val="24"/>
    </w:rPr>
  </w:style>
  <w:style w:type="paragraph" w:customStyle="1" w:styleId="58">
    <w:name w:val="普通正文"/>
    <w:basedOn w:val="1"/>
    <w:link w:val="57"/>
    <w:autoRedefine/>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59">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60">
    <w:name w:val="Normal_5"/>
    <w:autoRedefine/>
    <w:qFormat/>
    <w:uiPriority w:val="0"/>
    <w:rPr>
      <w:rFonts w:ascii="Times New Roman" w:hAnsi="Times New Roman" w:eastAsia="Times New Roman" w:cs="Times New Roman"/>
      <w:sz w:val="24"/>
      <w:szCs w:val="24"/>
      <w:lang w:val="en-US" w:eastAsia="zh-CN" w:bidi="ar-SA"/>
    </w:rPr>
  </w:style>
  <w:style w:type="character" w:customStyle="1" w:styleId="61">
    <w:name w:val="纯文本 Char"/>
    <w:basedOn w:val="27"/>
    <w:link w:val="14"/>
    <w:autoRedefine/>
    <w:qFormat/>
    <w:locked/>
    <w:uiPriority w:val="0"/>
    <w:rPr>
      <w:rFonts w:ascii="宋体" w:hAnsi="Courier New" w:eastAsia="宋体" w:cs="Times New Roman"/>
      <w:kern w:val="2"/>
      <w:sz w:val="21"/>
    </w:rPr>
  </w:style>
  <w:style w:type="paragraph" w:styleId="62">
    <w:name w:val="List Paragraph"/>
    <w:basedOn w:val="1"/>
    <w:autoRedefine/>
    <w:qFormat/>
    <w:uiPriority w:val="34"/>
    <w:pPr>
      <w:ind w:firstLine="420" w:firstLineChars="200"/>
    </w:pPr>
    <w:rPr>
      <w:rFonts w:ascii="Times New Roman" w:hAnsi="Times New Roman" w:eastAsia="宋体" w:cs="Times New Roman"/>
      <w:szCs w:val="21"/>
    </w:rPr>
  </w:style>
  <w:style w:type="paragraph" w:customStyle="1" w:styleId="63">
    <w:name w:val="正文1"/>
    <w:autoRedefine/>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64">
    <w:name w:val="列出段落2"/>
    <w:basedOn w:val="1"/>
    <w:autoRedefine/>
    <w:qFormat/>
    <w:uiPriority w:val="99"/>
    <w:pPr>
      <w:ind w:firstLine="420" w:firstLineChars="200"/>
    </w:pPr>
    <w:rPr>
      <w:rFonts w:ascii="Times New Roman" w:hAnsi="Times New Roman"/>
      <w:szCs w:val="24"/>
    </w:rPr>
  </w:style>
  <w:style w:type="character" w:customStyle="1" w:styleId="65">
    <w:name w:val="样式 小四 加粗"/>
    <w:basedOn w:val="27"/>
    <w:autoRedefine/>
    <w:qFormat/>
    <w:uiPriority w:val="0"/>
    <w:rPr>
      <w:rFonts w:eastAsia="黑体"/>
      <w:b/>
      <w:bCs/>
      <w:sz w:val="24"/>
    </w:rPr>
  </w:style>
  <w:style w:type="character" w:customStyle="1" w:styleId="66">
    <w:name w:val="first-child"/>
    <w:basedOn w:val="27"/>
    <w:autoRedefine/>
    <w:qFormat/>
    <w:uiPriority w:val="0"/>
  </w:style>
  <w:style w:type="character" w:customStyle="1" w:styleId="67">
    <w:name w:val="hover3"/>
    <w:basedOn w:val="27"/>
    <w:autoRedefine/>
    <w:qFormat/>
    <w:uiPriority w:val="0"/>
    <w:rPr>
      <w:color w:val="5FB878"/>
    </w:rPr>
  </w:style>
  <w:style w:type="character" w:customStyle="1" w:styleId="68">
    <w:name w:val="hover4"/>
    <w:basedOn w:val="27"/>
    <w:autoRedefine/>
    <w:qFormat/>
    <w:uiPriority w:val="0"/>
    <w:rPr>
      <w:color w:val="5FB878"/>
    </w:rPr>
  </w:style>
  <w:style w:type="character" w:customStyle="1" w:styleId="69">
    <w:name w:val="hover5"/>
    <w:basedOn w:val="27"/>
    <w:autoRedefine/>
    <w:qFormat/>
    <w:uiPriority w:val="0"/>
    <w:rPr>
      <w:color w:val="FFFFFF"/>
    </w:rPr>
  </w:style>
  <w:style w:type="character" w:customStyle="1" w:styleId="70">
    <w:name w:val="layui-this"/>
    <w:basedOn w:val="27"/>
    <w:autoRedefine/>
    <w:qFormat/>
    <w:uiPriority w:val="0"/>
    <w:rPr>
      <w:bdr w:val="single" w:color="EEEEEE" w:sz="6" w:space="0"/>
      <w:shd w:val="clear" w:fill="FFFFFF"/>
    </w:rPr>
  </w:style>
  <w:style w:type="paragraph" w:customStyle="1" w:styleId="71">
    <w:name w:val="正文缩进2格"/>
    <w:basedOn w:val="1"/>
    <w:qFormat/>
    <w:uiPriority w:val="0"/>
    <w:pPr>
      <w:spacing w:line="600" w:lineRule="exact"/>
      <w:ind w:firstLine="206"/>
    </w:pPr>
    <w:rPr>
      <w:rFonts w:ascii="仿宋_GB2312" w:hAnsi="宋体" w:eastAsia="仿宋_GB2312"/>
      <w:sz w:val="31"/>
      <w:szCs w:val="31"/>
    </w:rPr>
  </w:style>
  <w:style w:type="character" w:customStyle="1" w:styleId="72">
    <w:name w:val="font51"/>
    <w:qFormat/>
    <w:uiPriority w:val="0"/>
    <w:rPr>
      <w:rFonts w:hint="eastAsia" w:ascii="宋体" w:hAnsi="宋体" w:eastAsia="宋体" w:cs="宋体"/>
      <w:color w:val="000000"/>
      <w:sz w:val="20"/>
      <w:szCs w:val="20"/>
      <w:u w:val="none"/>
    </w:rPr>
  </w:style>
  <w:style w:type="character" w:customStyle="1" w:styleId="73">
    <w:name w:val="fontstyle01"/>
    <w:basedOn w:val="27"/>
    <w:autoRedefine/>
    <w:qFormat/>
    <w:uiPriority w:val="0"/>
    <w:rPr>
      <w:rFonts w:hint="default" w:ascii="PingFangSC-Regular-Identity-H" w:hAnsi="PingFangSC-Regular-Identity-H"/>
      <w:color w:val="000008"/>
      <w:sz w:val="24"/>
      <w:szCs w:val="24"/>
    </w:rPr>
  </w:style>
  <w:style w:type="character" w:customStyle="1" w:styleId="74">
    <w:name w:val="fontstyle21"/>
    <w:basedOn w:val="27"/>
    <w:autoRedefine/>
    <w:qFormat/>
    <w:uiPriority w:val="0"/>
    <w:rPr>
      <w:rFonts w:hint="default" w:ascii="TimesNewRomanPSMT" w:hAnsi="TimesNewRomanPSMT"/>
      <w:color w:val="000008"/>
      <w:sz w:val="24"/>
      <w:szCs w:val="24"/>
    </w:rPr>
  </w:style>
  <w:style w:type="paragraph" w:customStyle="1" w:styleId="75">
    <w:name w:val="普通(网站) Char"/>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76">
    <w:name w:val="font11"/>
    <w:qFormat/>
    <w:uiPriority w:val="0"/>
    <w:rPr>
      <w:rFonts w:hint="eastAsia" w:ascii="宋体" w:hAnsi="宋体" w:eastAsia="宋体" w:cs="宋体"/>
      <w:color w:val="000000"/>
      <w:sz w:val="24"/>
      <w:szCs w:val="24"/>
      <w:u w:val="none"/>
    </w:rPr>
  </w:style>
  <w:style w:type="character" w:customStyle="1" w:styleId="77">
    <w:name w:val="font6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5583</Words>
  <Characters>5935</Characters>
  <Lines>120</Lines>
  <Paragraphs>33</Paragraphs>
  <TotalTime>6</TotalTime>
  <ScaleCrop>false</ScaleCrop>
  <LinksUpToDate>false</LinksUpToDate>
  <CharactersWithSpaces>5982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2023-06-15T08:52:00Z</dcterms:created>
  <dc:creator>Administrator</dc:creator>
  <cp:lastModifiedBy>Administrator</cp:lastModifiedBy>
  <dcterms:modified xsi:type="dcterms:W3CDTF">2024-11-07T03:18:46Z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079A696EDF02486BB848DA2AE0392408_13</vt:lpwstr>
  </property>
</Properties>
</file>