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2FD073">
      <w:pPr>
        <w:keepNext w:val="0"/>
        <w:keepLines w:val="0"/>
        <w:pageBreakBefore w:val="0"/>
        <w:widowControl w:val="0"/>
        <w:tabs>
          <w:tab w:val="left" w:pos="5760"/>
          <w:tab w:val="left" w:pos="6300"/>
        </w:tabs>
        <w:kinsoku/>
        <w:wordWrap/>
        <w:topLinePunct w:val="0"/>
        <w:autoSpaceDE/>
        <w:autoSpaceDN/>
        <w:bidi w:val="0"/>
        <w:spacing w:line="360" w:lineRule="auto"/>
        <w:jc w:val="left"/>
        <w:textAlignment w:val="baseline"/>
        <w:rPr>
          <w:rFonts w:ascii="Times New Roman" w:hAnsi="Times New Roman" w:eastAsia="宋体"/>
          <w:color w:val="auto"/>
          <w:sz w:val="44"/>
          <w:szCs w:val="44"/>
          <w:highlight w:val="none"/>
        </w:rPr>
      </w:pPr>
    </w:p>
    <w:p w14:paraId="18194507">
      <w:pPr>
        <w:keepNext w:val="0"/>
        <w:keepLines w:val="0"/>
        <w:pageBreakBefore w:val="0"/>
        <w:widowControl w:val="0"/>
        <w:tabs>
          <w:tab w:val="left" w:pos="5760"/>
          <w:tab w:val="left" w:pos="6300"/>
        </w:tabs>
        <w:kinsoku/>
        <w:wordWrap/>
        <w:topLinePunct w:val="0"/>
        <w:autoSpaceDE/>
        <w:autoSpaceDN/>
        <w:bidi w:val="0"/>
        <w:spacing w:line="360" w:lineRule="auto"/>
        <w:jc w:val="left"/>
        <w:textAlignment w:val="baseline"/>
        <w:rPr>
          <w:rFonts w:ascii="Times New Roman" w:hAnsi="Times New Roman" w:eastAsia="宋体"/>
          <w:color w:val="auto"/>
          <w:sz w:val="44"/>
          <w:szCs w:val="44"/>
          <w:highlight w:val="none"/>
        </w:rPr>
      </w:pPr>
      <w:r>
        <w:rPr>
          <w:rFonts w:ascii="Times New Roman" w:hAnsi="Times New Roman" w:eastAsia="宋体"/>
          <w:color w:val="auto"/>
          <w:sz w:val="44"/>
          <w:szCs w:val="44"/>
          <w:highlight w:val="none"/>
        </w:rPr>
        <w:tab/>
      </w:r>
    </w:p>
    <w:p w14:paraId="256A3111">
      <w:pPr>
        <w:pStyle w:val="58"/>
        <w:keepNext w:val="0"/>
        <w:keepLines w:val="0"/>
        <w:pageBreakBefore w:val="0"/>
        <w:widowControl w:val="0"/>
        <w:kinsoku/>
        <w:wordWrap/>
        <w:topLinePunct w:val="0"/>
        <w:autoSpaceDE/>
        <w:autoSpaceDN/>
        <w:bidi w:val="0"/>
        <w:spacing w:before="0" w:after="0" w:line="360" w:lineRule="auto"/>
        <w:ind w:firstLine="0"/>
        <w:rPr>
          <w:rFonts w:hint="eastAsia" w:ascii="Times New Roman" w:hAnsi="Times New Roman" w:eastAsia="宋体"/>
          <w:b/>
          <w:color w:val="auto"/>
          <w:sz w:val="56"/>
          <w:szCs w:val="56"/>
          <w:highlight w:val="none"/>
          <w:lang w:eastAsia="zh-CN"/>
        </w:rPr>
      </w:pPr>
      <w:r>
        <w:rPr>
          <w:rFonts w:hint="eastAsia" w:ascii="Times New Roman" w:hAnsi="Times New Roman" w:eastAsia="宋体"/>
          <w:b/>
          <w:color w:val="auto"/>
          <w:sz w:val="56"/>
          <w:szCs w:val="56"/>
          <w:highlight w:val="none"/>
          <w:lang w:eastAsia="zh-CN"/>
        </w:rPr>
        <w:t>南通市第三人民医院新老中央空调系统管路（二期大楼与4#6#楼）之间增设板式换热机组（第二次）</w:t>
      </w:r>
    </w:p>
    <w:p w14:paraId="3B9B7B9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72"/>
          <w:szCs w:val="56"/>
          <w:highlight w:val="none"/>
        </w:rPr>
      </w:pPr>
    </w:p>
    <w:p w14:paraId="05910CD9">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56"/>
          <w:szCs w:val="56"/>
          <w:highlight w:val="none"/>
        </w:rPr>
      </w:pPr>
    </w:p>
    <w:p w14:paraId="05DDC48D">
      <w:pPr>
        <w:keepNext w:val="0"/>
        <w:keepLines w:val="0"/>
        <w:pageBreakBefore w:val="0"/>
        <w:widowControl w:val="0"/>
        <w:kinsoku/>
        <w:wordWrap/>
        <w:topLinePunct w:val="0"/>
        <w:autoSpaceDE/>
        <w:autoSpaceDN/>
        <w:bidi w:val="0"/>
        <w:spacing w:line="360" w:lineRule="auto"/>
        <w:jc w:val="both"/>
        <w:textAlignment w:val="baseline"/>
        <w:rPr>
          <w:rFonts w:ascii="Times New Roman" w:hAnsi="Times New Roman" w:eastAsia="宋体"/>
          <w:b/>
          <w:color w:val="auto"/>
          <w:sz w:val="72"/>
          <w:szCs w:val="56"/>
          <w:highlight w:val="none"/>
        </w:rPr>
      </w:pPr>
    </w:p>
    <w:p w14:paraId="627049DB">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72"/>
          <w:szCs w:val="56"/>
          <w:highlight w:val="none"/>
        </w:rPr>
      </w:pPr>
      <w:r>
        <w:rPr>
          <w:rFonts w:ascii="Times New Roman" w:hAnsi="Times New Roman" w:eastAsia="宋体"/>
          <w:b/>
          <w:color w:val="auto"/>
          <w:sz w:val="72"/>
          <w:szCs w:val="56"/>
          <w:highlight w:val="none"/>
        </w:rPr>
        <w:t>竞争性磋商文件</w:t>
      </w:r>
    </w:p>
    <w:p w14:paraId="6A1AA93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44"/>
          <w:szCs w:val="44"/>
          <w:highlight w:val="none"/>
        </w:rPr>
      </w:pPr>
      <w:r>
        <w:rPr>
          <w:rFonts w:hint="eastAsia" w:ascii="Times New Roman" w:hAnsi="Times New Roman" w:eastAsia="宋体"/>
          <w:b/>
          <w:color w:val="auto"/>
          <w:sz w:val="44"/>
          <w:szCs w:val="44"/>
          <w:highlight w:val="none"/>
        </w:rPr>
        <w:t>（资格后审）</w:t>
      </w:r>
    </w:p>
    <w:p w14:paraId="2496116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36"/>
          <w:highlight w:val="none"/>
        </w:rPr>
      </w:pPr>
    </w:p>
    <w:p w14:paraId="43AF1A53">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36"/>
          <w:highlight w:val="none"/>
        </w:rPr>
      </w:pPr>
    </w:p>
    <w:p w14:paraId="598111F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color w:val="auto"/>
          <w:sz w:val="36"/>
          <w:highlight w:val="none"/>
        </w:rPr>
      </w:pPr>
    </w:p>
    <w:p w14:paraId="4B1DF84E">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36"/>
          <w:highlight w:val="none"/>
        </w:rPr>
      </w:pPr>
    </w:p>
    <w:p w14:paraId="55E9D7B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color w:val="auto"/>
          <w:sz w:val="30"/>
          <w:szCs w:val="30"/>
          <w:highlight w:val="none"/>
        </w:rPr>
      </w:pPr>
    </w:p>
    <w:p w14:paraId="1724E4C2">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b/>
          <w:color w:val="auto"/>
          <w:sz w:val="30"/>
          <w:szCs w:val="30"/>
          <w:highlight w:val="none"/>
        </w:rPr>
      </w:pPr>
      <w:r>
        <w:rPr>
          <w:rFonts w:hint="eastAsia" w:ascii="Times New Roman" w:hAnsi="Times New Roman" w:eastAsia="宋体" w:cs="宋体"/>
          <w:b/>
          <w:color w:val="auto"/>
          <w:sz w:val="30"/>
          <w:szCs w:val="30"/>
          <w:highlight w:val="none"/>
        </w:rPr>
        <w:t>采购单位：南通市第三人民医院</w:t>
      </w:r>
    </w:p>
    <w:p w14:paraId="60B36CCE">
      <w:pPr>
        <w:keepNext w:val="0"/>
        <w:keepLines w:val="0"/>
        <w:pageBreakBefore w:val="0"/>
        <w:widowControl w:val="0"/>
        <w:kinsoku/>
        <w:wordWrap/>
        <w:topLinePunct w:val="0"/>
        <w:autoSpaceDE/>
        <w:autoSpaceDN/>
        <w:bidi w:val="0"/>
        <w:spacing w:line="360" w:lineRule="auto"/>
        <w:jc w:val="center"/>
        <w:textAlignment w:val="baseline"/>
        <w:rPr>
          <w:rFonts w:hint="eastAsia" w:ascii="Times New Roman" w:hAnsi="Times New Roman" w:eastAsia="宋体" w:cs="宋体"/>
          <w:b/>
          <w:color w:val="auto"/>
          <w:sz w:val="30"/>
          <w:szCs w:val="30"/>
          <w:highlight w:val="none"/>
        </w:rPr>
      </w:pPr>
      <w:r>
        <w:rPr>
          <w:rFonts w:hint="eastAsia" w:ascii="Times New Roman" w:hAnsi="Times New Roman" w:eastAsia="宋体" w:cs="宋体"/>
          <w:b/>
          <w:color w:val="auto"/>
          <w:sz w:val="30"/>
          <w:szCs w:val="30"/>
          <w:highlight w:val="none"/>
        </w:rPr>
        <w:t>代理机构：宏信天德工程顾问有限公司</w:t>
      </w:r>
    </w:p>
    <w:p w14:paraId="689D664C">
      <w:pPr>
        <w:keepNext w:val="0"/>
        <w:keepLines w:val="0"/>
        <w:pageBreakBefore w:val="0"/>
        <w:widowControl w:val="0"/>
        <w:kinsoku/>
        <w:wordWrap/>
        <w:topLinePunct w:val="0"/>
        <w:autoSpaceDE/>
        <w:autoSpaceDN/>
        <w:bidi w:val="0"/>
        <w:spacing w:line="360" w:lineRule="auto"/>
        <w:jc w:val="center"/>
        <w:textAlignment w:val="baseline"/>
        <w:rPr>
          <w:rFonts w:hint="eastAsia" w:ascii="Times New Roman" w:hAnsi="Times New Roman" w:eastAsia="宋体" w:cs="宋体"/>
          <w:b/>
          <w:color w:val="auto"/>
          <w:sz w:val="30"/>
          <w:szCs w:val="30"/>
          <w:highlight w:val="none"/>
          <w:lang w:eastAsia="zh-CN"/>
        </w:rPr>
      </w:pPr>
      <w:r>
        <w:rPr>
          <w:rFonts w:hint="eastAsia" w:ascii="Times New Roman" w:hAnsi="Times New Roman" w:eastAsia="宋体" w:cs="宋体"/>
          <w:b/>
          <w:color w:val="auto"/>
          <w:sz w:val="30"/>
          <w:szCs w:val="30"/>
          <w:highlight w:val="none"/>
        </w:rPr>
        <w:t>二○二</w:t>
      </w:r>
      <w:r>
        <w:rPr>
          <w:rFonts w:hint="eastAsia" w:ascii="Times New Roman" w:hAnsi="Times New Roman" w:eastAsia="宋体" w:cs="宋体"/>
          <w:b/>
          <w:color w:val="auto"/>
          <w:sz w:val="30"/>
          <w:szCs w:val="30"/>
          <w:highlight w:val="none"/>
          <w:lang w:eastAsia="zh-CN"/>
        </w:rPr>
        <w:t>四</w:t>
      </w:r>
      <w:r>
        <w:rPr>
          <w:rFonts w:hint="eastAsia" w:ascii="Times New Roman" w:hAnsi="Times New Roman" w:eastAsia="宋体" w:cs="宋体"/>
          <w:b/>
          <w:color w:val="auto"/>
          <w:sz w:val="30"/>
          <w:szCs w:val="30"/>
          <w:highlight w:val="none"/>
        </w:rPr>
        <w:t>年</w:t>
      </w:r>
      <w:r>
        <w:rPr>
          <w:rFonts w:hint="eastAsia" w:ascii="Times New Roman" w:hAnsi="Times New Roman" w:eastAsia="宋体" w:cs="宋体"/>
          <w:b/>
          <w:color w:val="auto"/>
          <w:sz w:val="30"/>
          <w:szCs w:val="30"/>
          <w:highlight w:val="none"/>
          <w:lang w:eastAsia="zh-CN"/>
        </w:rPr>
        <w:t>十月</w:t>
      </w:r>
    </w:p>
    <w:p w14:paraId="716420A6">
      <w:pPr>
        <w:keepNext w:val="0"/>
        <w:keepLines w:val="0"/>
        <w:pageBreakBefore w:val="0"/>
        <w:widowControl w:val="0"/>
        <w:wordWrap/>
        <w:topLinePunct w:val="0"/>
        <w:bidi w:val="0"/>
        <w:spacing w:line="360" w:lineRule="auto"/>
        <w:rPr>
          <w:rFonts w:hint="eastAsia" w:ascii="Times New Roman" w:hAnsi="Times New Roman" w:eastAsia="宋体" w:cs="仿宋"/>
          <w:b/>
          <w:color w:val="auto"/>
          <w:sz w:val="32"/>
          <w:szCs w:val="32"/>
          <w:highlight w:val="none"/>
          <w:lang w:eastAsia="zh-CN"/>
        </w:rPr>
      </w:pPr>
      <w:r>
        <w:rPr>
          <w:rFonts w:hint="eastAsia" w:ascii="Times New Roman" w:hAnsi="Times New Roman" w:eastAsia="宋体" w:cs="仿宋"/>
          <w:b/>
          <w:color w:val="auto"/>
          <w:sz w:val="32"/>
          <w:szCs w:val="32"/>
          <w:highlight w:val="none"/>
          <w:lang w:eastAsia="zh-CN"/>
        </w:rPr>
        <w:br w:type="page"/>
      </w:r>
    </w:p>
    <w:p w14:paraId="5172A593">
      <w:pPr>
        <w:pStyle w:val="7"/>
        <w:keepNext w:val="0"/>
        <w:keepLines w:val="0"/>
        <w:pageBreakBefore w:val="0"/>
        <w:widowControl w:val="0"/>
        <w:wordWrap/>
        <w:topLinePunct w:val="0"/>
        <w:bidi w:val="0"/>
        <w:spacing w:line="360" w:lineRule="auto"/>
        <w:rPr>
          <w:rFonts w:hint="eastAsia" w:ascii="Times New Roman" w:hAnsi="Times New Roman" w:eastAsia="宋体"/>
          <w:color w:val="auto"/>
          <w:highlight w:val="none"/>
        </w:rPr>
      </w:pPr>
    </w:p>
    <w:p w14:paraId="2AED9958">
      <w:pPr>
        <w:keepNext w:val="0"/>
        <w:keepLines w:val="0"/>
        <w:pageBreakBefore w:val="0"/>
        <w:widowControl w:val="0"/>
        <w:kinsoku/>
        <w:wordWrap/>
        <w:topLinePunct w:val="0"/>
        <w:autoSpaceDE/>
        <w:autoSpaceDN/>
        <w:bidi w:val="0"/>
        <w:adjustRightInd w:val="0"/>
        <w:snapToGrid w:val="0"/>
        <w:spacing w:line="360" w:lineRule="auto"/>
        <w:jc w:val="center"/>
        <w:rPr>
          <w:rFonts w:ascii="Times New Roman" w:hAnsi="Times New Roman" w:eastAsia="宋体"/>
          <w:b/>
          <w:color w:val="auto"/>
          <w:sz w:val="30"/>
          <w:szCs w:val="30"/>
          <w:highlight w:val="none"/>
        </w:rPr>
      </w:pPr>
      <w:r>
        <w:rPr>
          <w:rFonts w:hint="eastAsia" w:ascii="Times New Roman" w:hAnsi="Times New Roman" w:eastAsia="宋体"/>
          <w:b/>
          <w:color w:val="auto"/>
          <w:sz w:val="44"/>
          <w:szCs w:val="44"/>
          <w:highlight w:val="none"/>
        </w:rPr>
        <w:t>目  录</w:t>
      </w:r>
    </w:p>
    <w:p w14:paraId="45A64792">
      <w:pPr>
        <w:pStyle w:val="5"/>
        <w:keepNext w:val="0"/>
        <w:keepLines w:val="0"/>
        <w:pageBreakBefore w:val="0"/>
        <w:widowControl w:val="0"/>
        <w:kinsoku/>
        <w:wordWrap/>
        <w:overflowPunct w:val="0"/>
        <w:topLinePunct w:val="0"/>
        <w:autoSpaceDE/>
        <w:autoSpaceDN/>
        <w:bidi w:val="0"/>
        <w:spacing w:line="360" w:lineRule="auto"/>
        <w:ind w:firstLine="0"/>
        <w:jc w:val="center"/>
        <w:rPr>
          <w:rFonts w:ascii="Times New Roman" w:hAnsi="Times New Roman" w:eastAsia="宋体"/>
          <w:color w:val="auto"/>
          <w:sz w:val="30"/>
          <w:highlight w:val="none"/>
        </w:rPr>
      </w:pPr>
    </w:p>
    <w:p w14:paraId="590627D2">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b/>
          <w:bCs/>
          <w:color w:val="auto"/>
          <w:sz w:val="36"/>
          <w:szCs w:val="36"/>
          <w:highlight w:val="none"/>
        </w:rPr>
        <w:fldChar w:fldCharType="begin"/>
      </w:r>
      <w:r>
        <w:rPr>
          <w:rFonts w:ascii="Times New Roman" w:hAnsi="Times New Roman" w:eastAsia="宋体"/>
          <w:b/>
          <w:bCs/>
          <w:color w:val="auto"/>
          <w:sz w:val="36"/>
          <w:szCs w:val="36"/>
          <w:highlight w:val="none"/>
        </w:rPr>
        <w:instrText xml:space="preserve"> TOC \o "1-1"</w:instrText>
      </w:r>
      <w:r>
        <w:rPr>
          <w:rFonts w:ascii="Times New Roman" w:hAnsi="Times New Roman" w:eastAsia="宋体"/>
          <w:b/>
          <w:bCs/>
          <w:color w:val="auto"/>
          <w:sz w:val="36"/>
          <w:szCs w:val="36"/>
          <w:highlight w:val="none"/>
        </w:rPr>
        <w:fldChar w:fldCharType="separate"/>
      </w:r>
      <w:r>
        <w:rPr>
          <w:rFonts w:ascii="Times New Roman" w:hAnsi="Times New Roman" w:eastAsia="宋体"/>
          <w:color w:val="auto"/>
          <w:sz w:val="32"/>
          <w:szCs w:val="32"/>
          <w:highlight w:val="none"/>
        </w:rPr>
        <w:t xml:space="preserve">第一章 </w:t>
      </w:r>
      <w:r>
        <w:rPr>
          <w:rFonts w:hint="eastAsia" w:ascii="Times New Roman" w:hAnsi="Times New Roman" w:eastAsia="宋体"/>
          <w:color w:val="auto"/>
          <w:sz w:val="32"/>
          <w:szCs w:val="32"/>
          <w:highlight w:val="none"/>
        </w:rPr>
        <w:t>竞争性磋商公告</w:t>
      </w:r>
    </w:p>
    <w:p w14:paraId="5D64F6C0">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第二章 投标</w:t>
      </w:r>
      <w:r>
        <w:rPr>
          <w:rFonts w:hint="eastAsia" w:ascii="Times New Roman" w:hAnsi="Times New Roman" w:eastAsia="宋体"/>
          <w:color w:val="auto"/>
          <w:sz w:val="32"/>
          <w:szCs w:val="32"/>
          <w:highlight w:val="none"/>
        </w:rPr>
        <w:t>供应商</w:t>
      </w:r>
      <w:r>
        <w:rPr>
          <w:rFonts w:ascii="Times New Roman" w:hAnsi="Times New Roman" w:eastAsia="宋体"/>
          <w:color w:val="auto"/>
          <w:sz w:val="32"/>
          <w:szCs w:val="32"/>
          <w:highlight w:val="none"/>
        </w:rPr>
        <w:t>须知</w:t>
      </w:r>
    </w:p>
    <w:p w14:paraId="114A1FAA">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第三章 项目需求</w:t>
      </w:r>
    </w:p>
    <w:p w14:paraId="2BC05041">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第</w:t>
      </w:r>
      <w:r>
        <w:rPr>
          <w:rFonts w:hint="eastAsia" w:ascii="Times New Roman" w:hAnsi="Times New Roman" w:eastAsia="宋体"/>
          <w:color w:val="auto"/>
          <w:sz w:val="32"/>
          <w:szCs w:val="32"/>
          <w:highlight w:val="none"/>
        </w:rPr>
        <w:t>四</w:t>
      </w:r>
      <w:r>
        <w:rPr>
          <w:rFonts w:ascii="Times New Roman" w:hAnsi="Times New Roman" w:eastAsia="宋体"/>
          <w:color w:val="auto"/>
          <w:sz w:val="32"/>
          <w:szCs w:val="32"/>
          <w:highlight w:val="none"/>
        </w:rPr>
        <w:t xml:space="preserve">章 </w:t>
      </w:r>
      <w:r>
        <w:rPr>
          <w:rFonts w:hint="eastAsia" w:ascii="Times New Roman" w:hAnsi="Times New Roman" w:eastAsia="宋体"/>
          <w:color w:val="auto"/>
          <w:sz w:val="32"/>
          <w:szCs w:val="32"/>
          <w:highlight w:val="none"/>
        </w:rPr>
        <w:t>评审方法和程序</w:t>
      </w:r>
    </w:p>
    <w:p w14:paraId="451A8294">
      <w:pPr>
        <w:pStyle w:val="18"/>
        <w:keepNext w:val="0"/>
        <w:keepLines w:val="0"/>
        <w:pageBreakBefore w:val="0"/>
        <w:widowControl w:val="0"/>
        <w:tabs>
          <w:tab w:val="right" w:leader="dot" w:pos="9528"/>
        </w:tabs>
        <w:kinsoku/>
        <w:wordWrap/>
        <w:topLinePunct w:val="0"/>
        <w:autoSpaceDE/>
        <w:autoSpaceDN/>
        <w:bidi w:val="0"/>
        <w:spacing w:line="360" w:lineRule="auto"/>
        <w:rPr>
          <w:rFonts w:ascii="Times New Roman" w:hAnsi="Times New Roman" w:eastAsia="宋体"/>
          <w:color w:val="auto"/>
          <w:sz w:val="32"/>
          <w:szCs w:val="32"/>
          <w:highlight w:val="none"/>
        </w:rPr>
      </w:pPr>
      <w:r>
        <w:rPr>
          <w:rFonts w:hint="eastAsia" w:ascii="Times New Roman" w:hAnsi="Times New Roman" w:eastAsia="宋体"/>
          <w:color w:val="auto"/>
          <w:sz w:val="32"/>
          <w:szCs w:val="32"/>
          <w:highlight w:val="none"/>
        </w:rPr>
        <w:t>第五章 合同授予</w:t>
      </w:r>
    </w:p>
    <w:p w14:paraId="6AD71410">
      <w:pPr>
        <w:keepNext w:val="0"/>
        <w:keepLines w:val="0"/>
        <w:pageBreakBefore w:val="0"/>
        <w:widowControl w:val="0"/>
        <w:kinsoku/>
        <w:wordWrap/>
        <w:topLinePunct w:val="0"/>
        <w:autoSpaceDE/>
        <w:autoSpaceDN/>
        <w:bidi w:val="0"/>
        <w:spacing w:line="360" w:lineRule="auto"/>
        <w:rPr>
          <w:rFonts w:ascii="Times New Roman" w:hAnsi="Times New Roman" w:eastAsia="宋体"/>
          <w:color w:val="auto"/>
          <w:sz w:val="32"/>
          <w:szCs w:val="32"/>
          <w:highlight w:val="none"/>
        </w:rPr>
      </w:pPr>
      <w:r>
        <w:rPr>
          <w:rFonts w:ascii="Times New Roman" w:hAnsi="Times New Roman" w:eastAsia="宋体"/>
          <w:color w:val="auto"/>
          <w:sz w:val="32"/>
          <w:szCs w:val="32"/>
          <w:highlight w:val="none"/>
        </w:rPr>
        <w:t>第</w:t>
      </w:r>
      <w:r>
        <w:rPr>
          <w:rFonts w:hint="eastAsia" w:ascii="Times New Roman" w:hAnsi="Times New Roman" w:eastAsia="宋体"/>
          <w:color w:val="auto"/>
          <w:sz w:val="32"/>
          <w:szCs w:val="32"/>
          <w:highlight w:val="none"/>
        </w:rPr>
        <w:t>六</w:t>
      </w:r>
      <w:r>
        <w:rPr>
          <w:rFonts w:ascii="Times New Roman" w:hAnsi="Times New Roman" w:eastAsia="宋体"/>
          <w:color w:val="auto"/>
          <w:sz w:val="32"/>
          <w:szCs w:val="32"/>
          <w:highlight w:val="none"/>
        </w:rPr>
        <w:t>章</w:t>
      </w:r>
      <w:r>
        <w:rPr>
          <w:rFonts w:hint="eastAsia" w:ascii="Times New Roman" w:hAnsi="Times New Roman" w:eastAsia="宋体"/>
          <w:color w:val="auto"/>
          <w:sz w:val="32"/>
          <w:szCs w:val="32"/>
          <w:highlight w:val="none"/>
        </w:rPr>
        <w:t xml:space="preserve"> 质疑提出和处理</w:t>
      </w:r>
    </w:p>
    <w:p w14:paraId="07FF2F6F">
      <w:pPr>
        <w:keepNext w:val="0"/>
        <w:keepLines w:val="0"/>
        <w:pageBreakBefore w:val="0"/>
        <w:widowControl w:val="0"/>
        <w:kinsoku/>
        <w:wordWrap/>
        <w:topLinePunct w:val="0"/>
        <w:autoSpaceDE/>
        <w:autoSpaceDN/>
        <w:bidi w:val="0"/>
        <w:spacing w:line="360" w:lineRule="auto"/>
        <w:rPr>
          <w:rFonts w:ascii="Times New Roman" w:hAnsi="Times New Roman" w:eastAsia="宋体"/>
          <w:color w:val="auto"/>
          <w:sz w:val="36"/>
          <w:szCs w:val="36"/>
          <w:highlight w:val="none"/>
        </w:rPr>
      </w:pPr>
      <w:r>
        <w:rPr>
          <w:rFonts w:ascii="Times New Roman" w:hAnsi="Times New Roman" w:eastAsia="宋体"/>
          <w:color w:val="auto"/>
          <w:sz w:val="32"/>
          <w:szCs w:val="32"/>
          <w:highlight w:val="none"/>
        </w:rPr>
        <w:t>第</w:t>
      </w:r>
      <w:r>
        <w:rPr>
          <w:rFonts w:hint="eastAsia" w:ascii="Times New Roman" w:hAnsi="Times New Roman" w:eastAsia="宋体"/>
          <w:color w:val="auto"/>
          <w:sz w:val="32"/>
          <w:szCs w:val="32"/>
          <w:highlight w:val="none"/>
        </w:rPr>
        <w:t>七</w:t>
      </w:r>
      <w:r>
        <w:rPr>
          <w:rFonts w:ascii="Times New Roman" w:hAnsi="Times New Roman" w:eastAsia="宋体"/>
          <w:color w:val="auto"/>
          <w:sz w:val="32"/>
          <w:szCs w:val="32"/>
          <w:highlight w:val="none"/>
        </w:rPr>
        <w:t>章</w:t>
      </w:r>
      <w:r>
        <w:rPr>
          <w:rFonts w:hint="eastAsia" w:ascii="Times New Roman" w:hAnsi="Times New Roman" w:eastAsia="宋体"/>
          <w:color w:val="auto"/>
          <w:sz w:val="32"/>
          <w:szCs w:val="32"/>
          <w:highlight w:val="none"/>
        </w:rPr>
        <w:t xml:space="preserve"> 响应文件组成及格式</w:t>
      </w:r>
    </w:p>
    <w:p w14:paraId="69EB6940">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bCs/>
          <w:color w:val="auto"/>
          <w:sz w:val="36"/>
          <w:szCs w:val="36"/>
          <w:highlight w:val="none"/>
        </w:rPr>
      </w:pPr>
      <w:r>
        <w:rPr>
          <w:rFonts w:ascii="Times New Roman" w:hAnsi="Times New Roman" w:eastAsia="宋体"/>
          <w:b/>
          <w:bCs/>
          <w:color w:val="auto"/>
          <w:sz w:val="36"/>
          <w:szCs w:val="36"/>
          <w:highlight w:val="none"/>
        </w:rPr>
        <w:fldChar w:fldCharType="end"/>
      </w:r>
    </w:p>
    <w:p w14:paraId="1B0AB7D1">
      <w:pPr>
        <w:pStyle w:val="24"/>
        <w:keepNext w:val="0"/>
        <w:keepLines w:val="0"/>
        <w:pageBreakBefore w:val="0"/>
        <w:widowControl w:val="0"/>
        <w:kinsoku/>
        <w:wordWrap/>
        <w:topLinePunct w:val="0"/>
        <w:autoSpaceDE/>
        <w:autoSpaceDN/>
        <w:bidi w:val="0"/>
        <w:spacing w:after="0" w:line="360" w:lineRule="auto"/>
        <w:rPr>
          <w:rFonts w:ascii="Times New Roman" w:hAnsi="Times New Roman" w:eastAsia="宋体" w:cs="宋体"/>
          <w:b/>
          <w:color w:val="auto"/>
          <w:sz w:val="24"/>
          <w:szCs w:val="24"/>
          <w:highlight w:val="none"/>
        </w:rPr>
      </w:pPr>
      <w:r>
        <w:rPr>
          <w:rFonts w:ascii="Times New Roman" w:hAnsi="Times New Roman" w:eastAsia="宋体"/>
          <w:color w:val="auto"/>
          <w:highlight w:val="none"/>
        </w:rPr>
        <w:br w:type="page"/>
      </w:r>
    </w:p>
    <w:p w14:paraId="5D35E548">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olor w:val="auto"/>
          <w:w w:val="80"/>
          <w:sz w:val="48"/>
          <w:szCs w:val="44"/>
          <w:highlight w:val="none"/>
        </w:rPr>
      </w:pPr>
      <w:r>
        <w:rPr>
          <w:rFonts w:hint="eastAsia" w:ascii="Times New Roman" w:hAnsi="Times New Roman" w:eastAsia="宋体"/>
          <w:color w:val="auto"/>
          <w:w w:val="80"/>
          <w:sz w:val="48"/>
          <w:szCs w:val="44"/>
          <w:highlight w:val="none"/>
        </w:rPr>
        <w:t>第一章 竞争性磋商公告</w:t>
      </w:r>
    </w:p>
    <w:p w14:paraId="0F9410F1">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topLinePunct w:val="0"/>
        <w:autoSpaceDE/>
        <w:autoSpaceDN/>
        <w:bidi w:val="0"/>
        <w:spacing w:line="360" w:lineRule="auto"/>
        <w:ind w:firstLine="480"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rPr>
        <w:t>项目概况</w:t>
      </w:r>
    </w:p>
    <w:p w14:paraId="1E81CC4C">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topLinePunct w:val="0"/>
        <w:autoSpaceDE/>
        <w:autoSpaceDN/>
        <w:bidi w:val="0"/>
        <w:spacing w:line="360" w:lineRule="auto"/>
        <w:ind w:firstLine="480" w:firstLineChars="200"/>
        <w:rPr>
          <w:rFonts w:ascii="Times New Roman" w:hAnsi="Times New Roman" w:eastAsia="宋体" w:cs="宋体"/>
          <w:bCs/>
          <w:color w:val="auto"/>
          <w:sz w:val="24"/>
          <w:szCs w:val="24"/>
          <w:highlight w:val="none"/>
          <w:u w:val="single"/>
        </w:rPr>
      </w:pPr>
      <w:r>
        <w:rPr>
          <w:rFonts w:hint="eastAsia" w:ascii="Times New Roman" w:hAnsi="Times New Roman" w:eastAsia="宋体" w:cs="Times New Roman"/>
          <w:color w:val="auto"/>
          <w:sz w:val="24"/>
          <w:szCs w:val="24"/>
          <w:highlight w:val="none"/>
          <w:u w:val="single"/>
          <w:lang w:eastAsia="zh-CN"/>
        </w:rPr>
        <w:t>南通市第三人民医院新老中央空调系统管路（二期大楼与4#6#楼）之间增设板式换热机组（第二次）</w:t>
      </w:r>
      <w:r>
        <w:rPr>
          <w:rFonts w:hint="eastAsia" w:ascii="Times New Roman" w:hAnsi="Times New Roman" w:eastAsia="宋体" w:cs="Times New Roman"/>
          <w:color w:val="auto"/>
          <w:sz w:val="24"/>
          <w:szCs w:val="24"/>
          <w:highlight w:val="none"/>
        </w:rPr>
        <w:t>的潜在供应商应在</w:t>
      </w:r>
      <w:r>
        <w:rPr>
          <w:rFonts w:hint="eastAsia" w:ascii="Times New Roman" w:hAnsi="Times New Roman" w:eastAsia="宋体" w:cs="Times New Roman"/>
          <w:color w:val="auto"/>
          <w:sz w:val="24"/>
          <w:szCs w:val="24"/>
          <w:highlight w:val="none"/>
          <w:u w:val="single"/>
        </w:rPr>
        <w:t>南通市第三人民医院</w:t>
      </w:r>
      <w:r>
        <w:rPr>
          <w:rFonts w:hint="eastAsia" w:ascii="Times New Roman" w:hAnsi="Times New Roman" w:eastAsia="宋体" w:cs="Times New Roman"/>
          <w:color w:val="auto"/>
          <w:sz w:val="24"/>
          <w:szCs w:val="24"/>
          <w:highlight w:val="none"/>
        </w:rPr>
        <w:t>官网获取采购文件，并于</w:t>
      </w:r>
      <w:bookmarkStart w:id="17" w:name="_GoBack"/>
      <w:bookmarkEnd w:id="17"/>
      <w:r>
        <w:rPr>
          <w:rFonts w:hint="eastAsia" w:ascii="Times New Roman" w:hAnsi="Times New Roman" w:eastAsia="宋体" w:cs="宋体"/>
          <w:color w:val="auto"/>
          <w:sz w:val="24"/>
          <w:szCs w:val="24"/>
          <w:highlight w:val="none"/>
          <w:u w:val="single"/>
        </w:rPr>
        <w:t>20</w:t>
      </w:r>
      <w:r>
        <w:rPr>
          <w:rFonts w:hint="eastAsia" w:ascii="Times New Roman" w:hAnsi="Times New Roman" w:eastAsia="宋体" w:cs="宋体"/>
          <w:color w:val="auto"/>
          <w:sz w:val="24"/>
          <w:szCs w:val="24"/>
          <w:highlight w:val="none"/>
          <w:u w:val="single"/>
          <w:lang w:val="en-US" w:eastAsia="zh-CN"/>
        </w:rPr>
        <w:t>24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10</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25</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14</w:t>
      </w:r>
      <w:r>
        <w:rPr>
          <w:rFonts w:hint="eastAsia" w:ascii="Times New Roman" w:hAnsi="Times New Roman" w:eastAsia="宋体" w:cs="宋体"/>
          <w:bCs/>
          <w:color w:val="auto"/>
          <w:sz w:val="24"/>
          <w:szCs w:val="24"/>
          <w:highlight w:val="none"/>
          <w:u w:val="single"/>
        </w:rPr>
        <w:t>时</w:t>
      </w:r>
      <w:r>
        <w:rPr>
          <w:rFonts w:hint="eastAsia" w:ascii="Times New Roman" w:hAnsi="Times New Roman" w:eastAsia="宋体" w:cs="宋体"/>
          <w:bCs/>
          <w:color w:val="auto"/>
          <w:sz w:val="24"/>
          <w:szCs w:val="24"/>
          <w:highlight w:val="none"/>
          <w:u w:val="single"/>
          <w:lang w:val="en-US" w:eastAsia="zh-CN"/>
        </w:rPr>
        <w:t>30</w:t>
      </w:r>
      <w:r>
        <w:rPr>
          <w:rFonts w:hint="eastAsia" w:ascii="Times New Roman" w:hAnsi="Times New Roman" w:eastAsia="宋体" w:cs="宋体"/>
          <w:bCs/>
          <w:color w:val="auto"/>
          <w:sz w:val="24"/>
          <w:szCs w:val="24"/>
          <w:highlight w:val="none"/>
          <w:u w:val="single"/>
        </w:rPr>
        <w:t>分</w:t>
      </w:r>
      <w:r>
        <w:rPr>
          <w:rFonts w:hint="eastAsia" w:ascii="Times New Roman" w:hAnsi="Times New Roman" w:eastAsia="宋体" w:cs="宋体"/>
          <w:bCs/>
          <w:color w:val="auto"/>
          <w:sz w:val="24"/>
          <w:szCs w:val="24"/>
          <w:highlight w:val="none"/>
        </w:rPr>
        <w:t>（北京时间）</w:t>
      </w:r>
      <w:r>
        <w:rPr>
          <w:rFonts w:hint="eastAsia" w:ascii="Times New Roman" w:hAnsi="Times New Roman" w:eastAsia="宋体" w:cs="Times New Roman"/>
          <w:color w:val="auto"/>
          <w:sz w:val="24"/>
          <w:szCs w:val="24"/>
          <w:highlight w:val="none"/>
        </w:rPr>
        <w:t>前提交响应文件。</w:t>
      </w:r>
    </w:p>
    <w:p w14:paraId="49A9D39B">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一、项目基本情况</w:t>
      </w:r>
    </w:p>
    <w:p w14:paraId="54920BA7">
      <w:pPr>
        <w:keepNext w:val="0"/>
        <w:keepLines w:val="0"/>
        <w:pageBreakBefore w:val="0"/>
        <w:widowControl w:val="0"/>
        <w:kinsoku/>
        <w:wordWrap/>
        <w:topLinePunct w:val="0"/>
        <w:autoSpaceDE/>
        <w:autoSpaceDN/>
        <w:bidi w:val="0"/>
        <w:spacing w:line="360" w:lineRule="auto"/>
        <w:ind w:firstLine="480" w:firstLineChars="200"/>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rPr>
        <w:t>1、项目编号：</w:t>
      </w:r>
      <w:r>
        <w:rPr>
          <w:rFonts w:hint="eastAsia" w:ascii="Times New Roman" w:hAnsi="Times New Roman" w:eastAsia="宋体" w:cs="宋体"/>
          <w:color w:val="auto"/>
          <w:sz w:val="24"/>
          <w:szCs w:val="24"/>
          <w:highlight w:val="none"/>
          <w:lang w:val="en-US" w:eastAsia="zh-CN"/>
        </w:rPr>
        <w:t>SY-HXTDHRJ2409003</w:t>
      </w:r>
    </w:p>
    <w:p w14:paraId="1A2D13C2">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2、项目名称：</w:t>
      </w:r>
      <w:r>
        <w:rPr>
          <w:rFonts w:hint="eastAsia" w:ascii="Times New Roman" w:hAnsi="Times New Roman" w:eastAsia="宋体" w:cs="Times New Roman"/>
          <w:color w:val="auto"/>
          <w:sz w:val="24"/>
          <w:szCs w:val="24"/>
          <w:highlight w:val="none"/>
          <w:lang w:eastAsia="zh-CN"/>
        </w:rPr>
        <w:t>南通市第三人民医院新老中央空调系统管路（二期大楼与4#6#楼）之间增设板式换热机组（第二次）</w:t>
      </w:r>
    </w:p>
    <w:p w14:paraId="099776D4">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xml:space="preserve">3、采购人式：□竞争性谈判 </w:t>
      </w:r>
      <w:r>
        <w:rPr>
          <w:rFonts w:hint="eastAsia" w:ascii="Times New Roman" w:hAnsi="Times New Roman" w:eastAsia="宋体" w:cs="MS Mincho"/>
          <w:color w:val="auto"/>
          <w:sz w:val="24"/>
          <w:szCs w:val="24"/>
          <w:highlight w:val="none"/>
        </w:rPr>
        <w:t>☑</w:t>
      </w:r>
      <w:r>
        <w:rPr>
          <w:rFonts w:hint="eastAsia" w:ascii="Times New Roman" w:hAnsi="Times New Roman" w:eastAsia="宋体" w:cs="宋体"/>
          <w:color w:val="auto"/>
          <w:sz w:val="24"/>
          <w:szCs w:val="24"/>
          <w:highlight w:val="none"/>
        </w:rPr>
        <w:t>竞争性磋商 □询价</w:t>
      </w:r>
    </w:p>
    <w:p w14:paraId="0BFB2248">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4、预算金额：</w:t>
      </w:r>
      <w:r>
        <w:rPr>
          <w:rFonts w:hint="eastAsia" w:ascii="Times New Roman" w:hAnsi="Times New Roman" w:eastAsia="宋体" w:cs="宋体"/>
          <w:color w:val="auto"/>
          <w:sz w:val="24"/>
          <w:szCs w:val="24"/>
          <w:highlight w:val="none"/>
          <w:lang w:val="en-US" w:eastAsia="zh-CN"/>
        </w:rPr>
        <w:t>27.8</w:t>
      </w:r>
      <w:r>
        <w:rPr>
          <w:rFonts w:hint="eastAsia" w:ascii="Times New Roman" w:hAnsi="Times New Roman" w:eastAsia="宋体" w:cs="宋体"/>
          <w:color w:val="auto"/>
          <w:sz w:val="24"/>
          <w:szCs w:val="24"/>
          <w:highlight w:val="none"/>
        </w:rPr>
        <w:t>万元</w:t>
      </w:r>
    </w:p>
    <w:p w14:paraId="236EEE6B">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5、</w:t>
      </w:r>
      <w:r>
        <w:rPr>
          <w:rFonts w:hint="eastAsia" w:ascii="Times New Roman" w:hAnsi="Times New Roman" w:eastAsia="宋体" w:cs="宋体"/>
          <w:b/>
          <w:bCs/>
          <w:color w:val="auto"/>
          <w:sz w:val="24"/>
          <w:szCs w:val="24"/>
          <w:highlight w:val="none"/>
        </w:rPr>
        <w:t>最高限价：</w:t>
      </w:r>
      <w:r>
        <w:rPr>
          <w:rFonts w:hint="eastAsia" w:ascii="宋体" w:hAnsi="宋体" w:eastAsia="宋体" w:cs="Times New Roman"/>
          <w:b/>
          <w:bCs/>
          <w:color w:val="auto"/>
          <w:sz w:val="24"/>
          <w:highlight w:val="none"/>
          <w:lang w:val="en-US" w:eastAsia="zh-CN"/>
        </w:rPr>
        <w:t>27.8</w:t>
      </w:r>
      <w:r>
        <w:rPr>
          <w:rFonts w:hint="eastAsia" w:ascii="Times New Roman" w:hAnsi="Times New Roman" w:eastAsia="宋体" w:cs="宋体"/>
          <w:b/>
          <w:bCs/>
          <w:color w:val="auto"/>
          <w:sz w:val="24"/>
          <w:szCs w:val="24"/>
          <w:highlight w:val="none"/>
          <w:u w:val="none"/>
        </w:rPr>
        <w:t>万</w:t>
      </w:r>
      <w:r>
        <w:rPr>
          <w:rFonts w:hint="eastAsia" w:ascii="Times New Roman" w:hAnsi="Times New Roman" w:eastAsia="宋体" w:cs="宋体"/>
          <w:b/>
          <w:bCs/>
          <w:color w:val="auto"/>
          <w:sz w:val="24"/>
          <w:szCs w:val="24"/>
          <w:highlight w:val="none"/>
        </w:rPr>
        <w:t>元</w:t>
      </w:r>
      <w:r>
        <w:rPr>
          <w:rFonts w:hint="eastAsia" w:ascii="Times New Roman" w:hAnsi="Times New Roman" w:eastAsia="宋体" w:cs="仿宋"/>
          <w:b/>
          <w:bCs/>
          <w:color w:val="auto"/>
          <w:sz w:val="24"/>
          <w:szCs w:val="20"/>
          <w:highlight w:val="none"/>
        </w:rPr>
        <w:t>，报价超过最高限价的为无效响应文件；</w:t>
      </w:r>
    </w:p>
    <w:p w14:paraId="27836445">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6、采购需求：</w:t>
      </w:r>
      <w:r>
        <w:rPr>
          <w:rFonts w:hint="eastAsia" w:ascii="Times New Roman" w:hAnsi="Times New Roman" w:eastAsia="宋体" w:cs="宋体"/>
          <w:color w:val="auto"/>
          <w:sz w:val="24"/>
          <w:szCs w:val="24"/>
          <w:highlight w:val="none"/>
          <w:lang w:eastAsia="zh-CN"/>
        </w:rPr>
        <w:t>新老中央空调系统管路（二期大楼与4#6#楼）之间增设</w:t>
      </w:r>
      <w:r>
        <w:rPr>
          <w:rFonts w:hint="eastAsia" w:ascii="Times New Roman" w:hAnsi="Times New Roman" w:eastAsia="宋体" w:cs="宋体"/>
          <w:color w:val="auto"/>
          <w:sz w:val="24"/>
          <w:szCs w:val="24"/>
          <w:highlight w:val="none"/>
          <w:lang w:val="en-US" w:eastAsia="zh-CN"/>
        </w:rPr>
        <w:t>1套</w:t>
      </w:r>
      <w:r>
        <w:rPr>
          <w:rFonts w:hint="eastAsia" w:ascii="Times New Roman" w:hAnsi="Times New Roman" w:eastAsia="宋体" w:cs="宋体"/>
          <w:color w:val="auto"/>
          <w:sz w:val="24"/>
          <w:szCs w:val="24"/>
          <w:highlight w:val="none"/>
          <w:lang w:eastAsia="zh-CN"/>
        </w:rPr>
        <w:t>板式换热机组，具体内容详见竞争性磋商文件第三章项目需求。</w:t>
      </w:r>
    </w:p>
    <w:p w14:paraId="2BE8C299">
      <w:pPr>
        <w:keepNext w:val="0"/>
        <w:keepLines w:val="0"/>
        <w:pageBreakBefore w:val="0"/>
        <w:widowControl w:val="0"/>
        <w:kinsoku/>
        <w:wordWrap/>
        <w:topLinePunct w:val="0"/>
        <w:autoSpaceDE/>
        <w:autoSpaceDN/>
        <w:bidi w:val="0"/>
        <w:spacing w:line="360" w:lineRule="auto"/>
        <w:ind w:firstLine="482" w:firstLineChars="200"/>
        <w:rPr>
          <w:rFonts w:hint="eastAsia" w:ascii="Times New Roman" w:hAnsi="Times New Roman" w:eastAsia="宋体" w:cs="宋体"/>
          <w:b w:val="0"/>
          <w:bCs w:val="0"/>
          <w:color w:val="auto"/>
          <w:sz w:val="24"/>
          <w:szCs w:val="24"/>
          <w:highlight w:val="none"/>
          <w:lang w:val="zh-CN" w:eastAsia="zh-CN"/>
        </w:rPr>
      </w:pPr>
      <w:r>
        <w:rPr>
          <w:rFonts w:hint="eastAsia" w:ascii="Times New Roman" w:hAnsi="Times New Roman" w:eastAsia="宋体" w:cs="宋体"/>
          <w:b/>
          <w:bCs/>
          <w:color w:val="auto"/>
          <w:sz w:val="24"/>
          <w:szCs w:val="24"/>
          <w:highlight w:val="none"/>
        </w:rPr>
        <w:t>7、</w:t>
      </w:r>
      <w:r>
        <w:rPr>
          <w:rFonts w:hint="eastAsia" w:ascii="Times New Roman" w:hAnsi="Times New Roman" w:eastAsia="宋体" w:cs="宋体"/>
          <w:b/>
          <w:bCs/>
          <w:color w:val="auto"/>
          <w:sz w:val="24"/>
          <w:szCs w:val="24"/>
          <w:highlight w:val="none"/>
          <w:lang w:eastAsia="zh-CN"/>
        </w:rPr>
        <w:t>合同履行期限</w:t>
      </w:r>
      <w:r>
        <w:rPr>
          <w:rFonts w:hint="eastAsia" w:ascii="Times New Roman" w:hAnsi="Times New Roman" w:eastAsia="宋体" w:cs="宋体"/>
          <w:b w:val="0"/>
          <w:bCs w:val="0"/>
          <w:color w:val="auto"/>
          <w:sz w:val="24"/>
          <w:szCs w:val="24"/>
          <w:highlight w:val="none"/>
        </w:rPr>
        <w:t>：合同签订后</w:t>
      </w:r>
      <w:r>
        <w:rPr>
          <w:rFonts w:hint="eastAsia" w:ascii="Times New Roman" w:hAnsi="Times New Roman" w:eastAsia="宋体" w:cs="宋体"/>
          <w:b w:val="0"/>
          <w:bCs w:val="0"/>
          <w:color w:val="auto"/>
          <w:sz w:val="24"/>
          <w:szCs w:val="24"/>
          <w:highlight w:val="none"/>
          <w:lang w:val="en-US" w:eastAsia="zh-CN"/>
        </w:rPr>
        <w:t>30</w:t>
      </w:r>
      <w:r>
        <w:rPr>
          <w:rFonts w:hint="eastAsia" w:ascii="Times New Roman" w:hAnsi="Times New Roman" w:eastAsia="宋体" w:cs="宋体"/>
          <w:b w:val="0"/>
          <w:bCs w:val="0"/>
          <w:color w:val="auto"/>
          <w:sz w:val="24"/>
          <w:szCs w:val="24"/>
          <w:highlight w:val="none"/>
        </w:rPr>
        <w:t>天内完成供货、安装调试并经验收合格。</w:t>
      </w:r>
    </w:p>
    <w:p w14:paraId="5FDE01E6">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8、本项目不接受联合体。</w:t>
      </w:r>
    </w:p>
    <w:p w14:paraId="36805591">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二、申请人的资格要求</w:t>
      </w:r>
    </w:p>
    <w:p w14:paraId="50454A6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1、符合《中华人民共和国政府采购法》第二十二条规定，并提供声明函：</w:t>
      </w:r>
    </w:p>
    <w:p w14:paraId="240208D1">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（1）具有独立承担民事责任的能力；</w:t>
      </w:r>
    </w:p>
    <w:p w14:paraId="51A1B4BE">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（2）具有良好的商业信誉和健全的财务会计制度；</w:t>
      </w:r>
    </w:p>
    <w:p w14:paraId="0E28A25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（3）具有履行合同所必需的设备和专业技术能力；</w:t>
      </w:r>
    </w:p>
    <w:p w14:paraId="12591A9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（4）有依法缴纳税收和社会保障资金的良好记录；</w:t>
      </w:r>
    </w:p>
    <w:p w14:paraId="0BC7FBF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（5）参加政府采购活动前三年内，在经营活动中没有重大违法记录；</w:t>
      </w:r>
    </w:p>
    <w:p w14:paraId="2AC9B18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（6）法律、行政法规规定的其他条件。</w:t>
      </w:r>
    </w:p>
    <w:p w14:paraId="04229FCD">
      <w:pPr>
        <w:keepNext w:val="0"/>
        <w:keepLines w:val="0"/>
        <w:pageBreakBefore w:val="0"/>
        <w:widowControl w:val="0"/>
        <w:kinsoku/>
        <w:wordWrap/>
        <w:topLinePunct w:val="0"/>
        <w:autoSpaceDE/>
        <w:autoSpaceDN/>
        <w:bidi w:val="0"/>
        <w:spacing w:line="360" w:lineRule="auto"/>
        <w:ind w:firstLine="482"/>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2、落实政府采购政策需满足的资格要求：</w:t>
      </w:r>
      <w:r>
        <w:rPr>
          <w:rFonts w:hint="eastAsia" w:ascii="Times New Roman" w:hAnsi="Times New Roman" w:eastAsia="宋体" w:cs="宋体"/>
          <w:color w:val="auto"/>
          <w:sz w:val="24"/>
          <w:szCs w:val="24"/>
          <w:highlight w:val="none"/>
          <w:u w:val="single"/>
          <w:lang w:eastAsia="zh-CN"/>
        </w:rPr>
        <w:t>无</w:t>
      </w:r>
      <w:r>
        <w:rPr>
          <w:rFonts w:hint="eastAsia" w:ascii="Times New Roman" w:hAnsi="Times New Roman" w:eastAsia="宋体" w:cs="宋体"/>
          <w:color w:val="auto"/>
          <w:sz w:val="24"/>
          <w:szCs w:val="24"/>
          <w:highlight w:val="none"/>
          <w:u w:val="single"/>
          <w:lang w:val="en-US" w:eastAsia="zh-CN"/>
        </w:rPr>
        <w:t xml:space="preserve"> </w:t>
      </w:r>
      <w:r>
        <w:rPr>
          <w:rFonts w:hint="eastAsia" w:ascii="Times New Roman" w:hAnsi="Times New Roman" w:eastAsia="宋体" w:cs="宋体"/>
          <w:color w:val="auto"/>
          <w:sz w:val="24"/>
          <w:szCs w:val="24"/>
          <w:highlight w:val="none"/>
          <w:lang w:eastAsia="zh-CN"/>
        </w:rPr>
        <w:t>。</w:t>
      </w:r>
    </w:p>
    <w:p w14:paraId="5A400B7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3、本项目的特定资格要求：</w:t>
      </w:r>
    </w:p>
    <w:p w14:paraId="3810257C">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r>
        <w:rPr>
          <w:rFonts w:hint="eastAsia" w:eastAsia="宋体"/>
          <w:bCs/>
          <w:color w:val="auto"/>
          <w:sz w:val="24"/>
          <w:szCs w:val="24"/>
          <w:highlight w:val="none"/>
        </w:rPr>
        <w:t>供应商须具有独立法人资格，具有有效的营业执照，有能力按本</w:t>
      </w:r>
      <w:r>
        <w:rPr>
          <w:rFonts w:hint="eastAsia" w:eastAsia="宋体"/>
          <w:bCs/>
          <w:color w:val="auto"/>
          <w:sz w:val="24"/>
          <w:szCs w:val="24"/>
          <w:highlight w:val="none"/>
          <w:lang w:eastAsia="zh-CN"/>
        </w:rPr>
        <w:t>采购</w:t>
      </w:r>
      <w:r>
        <w:rPr>
          <w:rFonts w:hint="eastAsia" w:eastAsia="宋体"/>
          <w:bCs/>
          <w:color w:val="auto"/>
          <w:sz w:val="24"/>
          <w:szCs w:val="24"/>
          <w:highlight w:val="none"/>
        </w:rPr>
        <w:t>文件规定的要求提供</w:t>
      </w:r>
      <w:r>
        <w:rPr>
          <w:rFonts w:hint="eastAsia" w:eastAsia="宋体"/>
          <w:bCs/>
          <w:color w:val="auto"/>
          <w:sz w:val="24"/>
          <w:szCs w:val="24"/>
          <w:highlight w:val="none"/>
          <w:lang w:eastAsia="zh-CN"/>
        </w:rPr>
        <w:t>采购</w:t>
      </w:r>
      <w:r>
        <w:rPr>
          <w:rFonts w:hint="eastAsia" w:eastAsia="宋体"/>
          <w:bCs/>
          <w:color w:val="auto"/>
          <w:sz w:val="24"/>
          <w:szCs w:val="24"/>
          <w:highlight w:val="none"/>
        </w:rPr>
        <w:t>物及提供相关伴随服务能力的制造商或经销商（代理商）</w:t>
      </w:r>
      <w:r>
        <w:rPr>
          <w:rFonts w:hint="eastAsia" w:cs="Arial"/>
          <w:bCs/>
          <w:color w:val="auto"/>
          <w:kern w:val="0"/>
          <w:sz w:val="24"/>
          <w:highlight w:val="none"/>
        </w:rPr>
        <w:t>；</w:t>
      </w:r>
    </w:p>
    <w:p w14:paraId="00035F52">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rPr>
        <w:t>（2）法定代表人参加</w:t>
      </w:r>
      <w:r>
        <w:rPr>
          <w:rFonts w:hint="eastAsia" w:ascii="Times New Roman" w:hAnsi="Times New Roman" w:eastAsia="宋体"/>
          <w:color w:val="auto"/>
          <w:sz w:val="24"/>
          <w:szCs w:val="24"/>
          <w:highlight w:val="none"/>
          <w:lang w:eastAsia="zh-CN"/>
        </w:rPr>
        <w:t>磋商</w:t>
      </w:r>
      <w:r>
        <w:rPr>
          <w:rFonts w:hint="eastAsia" w:ascii="Times New Roman" w:hAnsi="Times New Roman" w:eastAsia="宋体"/>
          <w:color w:val="auto"/>
          <w:sz w:val="24"/>
          <w:szCs w:val="24"/>
          <w:highlight w:val="none"/>
        </w:rPr>
        <w:t>的，必须提供法定代表人身份证明及法定代表人本人身份证两项复印件（须加盖单位公章）；非法定代表人参加</w:t>
      </w:r>
      <w:r>
        <w:rPr>
          <w:rFonts w:hint="eastAsia" w:ascii="Times New Roman" w:hAnsi="Times New Roman" w:eastAsia="宋体"/>
          <w:color w:val="auto"/>
          <w:sz w:val="24"/>
          <w:szCs w:val="24"/>
          <w:highlight w:val="none"/>
          <w:lang w:eastAsia="zh-CN"/>
        </w:rPr>
        <w:t>磋商</w:t>
      </w:r>
      <w:r>
        <w:rPr>
          <w:rFonts w:hint="eastAsia" w:ascii="Times New Roman" w:hAnsi="Times New Roman" w:eastAsia="宋体"/>
          <w:color w:val="auto"/>
          <w:sz w:val="24"/>
          <w:szCs w:val="24"/>
          <w:highlight w:val="none"/>
        </w:rPr>
        <w:t>的，必须提供法定代表人签字或印章的授权委托书及被授权人本人身份证两项复印件</w:t>
      </w:r>
      <w:r>
        <w:rPr>
          <w:rFonts w:hint="eastAsia" w:ascii="Times New Roman" w:hAnsi="Times New Roman" w:eastAsia="宋体"/>
          <w:color w:val="auto"/>
          <w:sz w:val="24"/>
          <w:szCs w:val="24"/>
          <w:highlight w:val="none"/>
          <w:lang w:eastAsia="zh-CN"/>
        </w:rPr>
        <w:t>。</w:t>
      </w:r>
      <w:r>
        <w:rPr>
          <w:rFonts w:hint="eastAsia" w:ascii="Times New Roman" w:hAnsi="Times New Roman" w:eastAsia="宋体"/>
          <w:color w:val="auto"/>
          <w:sz w:val="24"/>
          <w:szCs w:val="24"/>
          <w:highlight w:val="none"/>
        </w:rPr>
        <w:t>（须加盖单位公章）</w:t>
      </w:r>
      <w:r>
        <w:rPr>
          <w:rFonts w:hint="eastAsia" w:ascii="Times New Roman" w:hAnsi="Times New Roman" w:eastAsia="宋体"/>
          <w:color w:val="auto"/>
          <w:sz w:val="24"/>
          <w:szCs w:val="24"/>
          <w:highlight w:val="none"/>
          <w:lang w:val="en-US" w:eastAsia="zh-CN"/>
        </w:rPr>
        <w:t xml:space="preserve">   </w:t>
      </w:r>
    </w:p>
    <w:p w14:paraId="60884909">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4、未被“信用中国”网站（www.creditchina.gov.cn）列入失信被执行人、重大税收违法案件当事人名单、政府采购严重失信行为记录名单。</w:t>
      </w:r>
    </w:p>
    <w:p w14:paraId="4EE0DDC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color w:val="auto"/>
          <w:sz w:val="24"/>
          <w:szCs w:val="24"/>
          <w:highlight w:val="none"/>
          <w:lang w:val="zh-CN"/>
        </w:rPr>
      </w:pPr>
      <w:r>
        <w:rPr>
          <w:rFonts w:hint="eastAsia" w:ascii="Times New Roman" w:hAnsi="Times New Roman" w:eastAsia="宋体"/>
          <w:b/>
          <w:color w:val="auto"/>
          <w:sz w:val="24"/>
          <w:szCs w:val="24"/>
          <w:highlight w:val="none"/>
          <w:lang w:val="zh-CN"/>
        </w:rPr>
        <w:t>具体资格要求详见第</w:t>
      </w:r>
      <w:r>
        <w:rPr>
          <w:rFonts w:hint="eastAsia" w:ascii="Times New Roman" w:hAnsi="Times New Roman" w:eastAsia="宋体"/>
          <w:b/>
          <w:color w:val="auto"/>
          <w:sz w:val="24"/>
          <w:szCs w:val="24"/>
          <w:highlight w:val="none"/>
        </w:rPr>
        <w:t>七</w:t>
      </w:r>
      <w:r>
        <w:rPr>
          <w:rFonts w:hint="eastAsia" w:ascii="Times New Roman" w:hAnsi="Times New Roman" w:eastAsia="宋体"/>
          <w:b/>
          <w:color w:val="auto"/>
          <w:sz w:val="24"/>
          <w:szCs w:val="24"/>
          <w:highlight w:val="none"/>
          <w:lang w:val="zh-CN"/>
        </w:rPr>
        <w:t>章中的“资格审查文件”。</w:t>
      </w:r>
    </w:p>
    <w:p w14:paraId="666DDEE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bookmarkStart w:id="0" w:name="_Toc35393623"/>
      <w:bookmarkStart w:id="1" w:name="_Toc35393792"/>
      <w:r>
        <w:rPr>
          <w:rFonts w:hint="eastAsia" w:ascii="Times New Roman" w:hAnsi="Times New Roman" w:eastAsia="宋体" w:cs="宋体"/>
          <w:b/>
          <w:color w:val="auto"/>
          <w:kern w:val="0"/>
          <w:sz w:val="24"/>
          <w:szCs w:val="24"/>
          <w:highlight w:val="none"/>
        </w:rPr>
        <w:t>三、获取采购文件</w:t>
      </w:r>
      <w:bookmarkEnd w:id="0"/>
      <w:bookmarkEnd w:id="1"/>
      <w:r>
        <w:rPr>
          <w:rFonts w:hint="eastAsia" w:ascii="Times New Roman" w:hAnsi="Times New Roman" w:eastAsia="宋体" w:cs="宋体"/>
          <w:b/>
          <w:color w:val="auto"/>
          <w:kern w:val="0"/>
          <w:sz w:val="24"/>
          <w:szCs w:val="24"/>
          <w:highlight w:val="none"/>
        </w:rPr>
        <w:t>及投标报名</w:t>
      </w:r>
    </w:p>
    <w:p w14:paraId="2DB55DCE">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bookmarkStart w:id="2" w:name="_Toc28359005"/>
      <w:bookmarkStart w:id="3" w:name="_Toc35393793"/>
      <w:bookmarkStart w:id="4" w:name="_Toc35393624"/>
      <w:bookmarkStart w:id="5" w:name="_Toc28359082"/>
      <w:r>
        <w:rPr>
          <w:rFonts w:hint="eastAsia" w:ascii="Times New Roman" w:hAnsi="Times New Roman" w:eastAsia="宋体" w:cs="宋体"/>
          <w:color w:val="auto"/>
          <w:sz w:val="24"/>
          <w:szCs w:val="24"/>
          <w:highlight w:val="none"/>
        </w:rPr>
        <w:t>1、时间：</w:t>
      </w:r>
      <w:r>
        <w:rPr>
          <w:rFonts w:hint="eastAsia" w:ascii="Times New Roman" w:hAnsi="Times New Roman" w:eastAsia="宋体" w:cs="宋体"/>
          <w:color w:val="auto"/>
          <w:sz w:val="24"/>
          <w:szCs w:val="24"/>
          <w:highlight w:val="none"/>
          <w:u w:val="single"/>
        </w:rPr>
        <w:t>自本磋商公告发布之日起至202</w:t>
      </w:r>
      <w:r>
        <w:rPr>
          <w:rFonts w:hint="eastAsia" w:ascii="Times New Roman" w:hAnsi="Times New Roman" w:eastAsia="宋体" w:cs="宋体"/>
          <w:color w:val="auto"/>
          <w:sz w:val="24"/>
          <w:szCs w:val="24"/>
          <w:highlight w:val="none"/>
          <w:u w:val="single"/>
          <w:lang w:val="en-US" w:eastAsia="zh-CN"/>
        </w:rPr>
        <w:t>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10</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25</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14</w:t>
      </w:r>
      <w:r>
        <w:rPr>
          <w:rFonts w:hint="eastAsia" w:ascii="Times New Roman" w:hAnsi="Times New Roman" w:eastAsia="宋体" w:cs="宋体"/>
          <w:bCs/>
          <w:color w:val="auto"/>
          <w:sz w:val="24"/>
          <w:szCs w:val="24"/>
          <w:highlight w:val="none"/>
          <w:u w:val="single"/>
        </w:rPr>
        <w:t>时</w:t>
      </w:r>
      <w:r>
        <w:rPr>
          <w:rFonts w:hint="eastAsia" w:ascii="Times New Roman" w:hAnsi="Times New Roman" w:eastAsia="宋体" w:cs="宋体"/>
          <w:bCs/>
          <w:color w:val="auto"/>
          <w:sz w:val="24"/>
          <w:szCs w:val="24"/>
          <w:highlight w:val="none"/>
          <w:u w:val="single"/>
          <w:lang w:val="en-US" w:eastAsia="zh-CN"/>
        </w:rPr>
        <w:t>30</w:t>
      </w:r>
      <w:r>
        <w:rPr>
          <w:rFonts w:hint="eastAsia" w:ascii="Times New Roman" w:hAnsi="Times New Roman" w:eastAsia="宋体" w:cs="宋体"/>
          <w:bCs/>
          <w:color w:val="auto"/>
          <w:sz w:val="24"/>
          <w:szCs w:val="24"/>
          <w:highlight w:val="none"/>
          <w:u w:val="single"/>
        </w:rPr>
        <w:t>分</w:t>
      </w:r>
      <w:r>
        <w:rPr>
          <w:rFonts w:hint="eastAsia" w:ascii="Times New Roman" w:hAnsi="Times New Roman" w:eastAsia="宋体" w:cs="宋体"/>
          <w:color w:val="auto"/>
          <w:sz w:val="24"/>
          <w:szCs w:val="24"/>
          <w:highlight w:val="none"/>
        </w:rPr>
        <w:t>（北京时间）。</w:t>
      </w:r>
    </w:p>
    <w:p w14:paraId="3C3B8747">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2、方式：在</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南通市第三人民医院</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官网自行下载采购文件。</w:t>
      </w:r>
    </w:p>
    <w:p w14:paraId="3D01948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3、售价：300元/份，</w:t>
      </w:r>
      <w:r>
        <w:rPr>
          <w:rFonts w:hint="eastAsia" w:ascii="Times New Roman" w:hAnsi="Times New Roman" w:eastAsia="宋体" w:cs="宋体"/>
          <w:color w:val="auto"/>
          <w:sz w:val="24"/>
          <w:szCs w:val="24"/>
          <w:highlight w:val="none"/>
          <w:lang w:eastAsia="zh-CN"/>
        </w:rPr>
        <w:t>报名时递交给采购代理机构</w:t>
      </w:r>
      <w:r>
        <w:rPr>
          <w:rFonts w:hint="eastAsia" w:ascii="Times New Roman" w:hAnsi="Times New Roman" w:eastAsia="宋体" w:cs="宋体"/>
          <w:color w:val="auto"/>
          <w:sz w:val="24"/>
          <w:szCs w:val="24"/>
          <w:highlight w:val="none"/>
        </w:rPr>
        <w:t>，售后不退。</w:t>
      </w:r>
    </w:p>
    <w:p w14:paraId="2D1C10D5">
      <w:pPr>
        <w:keepNext w:val="0"/>
        <w:keepLines w:val="0"/>
        <w:pageBreakBefore w:val="0"/>
        <w:widowControl w:val="0"/>
        <w:kinsoku/>
        <w:wordWrap/>
        <w:topLinePunct w:val="0"/>
        <w:autoSpaceDE/>
        <w:autoSpaceDN/>
        <w:bidi w:val="0"/>
        <w:spacing w:line="360" w:lineRule="auto"/>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4、报名方式：请有意参与本项目</w:t>
      </w:r>
      <w:r>
        <w:rPr>
          <w:rFonts w:hint="eastAsia" w:ascii="Times New Roman" w:hAnsi="Times New Roman" w:eastAsia="宋体" w:cs="宋体"/>
          <w:b/>
          <w:color w:val="auto"/>
          <w:sz w:val="24"/>
          <w:szCs w:val="24"/>
          <w:highlight w:val="none"/>
          <w:lang w:eastAsia="zh-CN"/>
        </w:rPr>
        <w:t>响应</w:t>
      </w:r>
      <w:r>
        <w:rPr>
          <w:rFonts w:hint="eastAsia" w:ascii="Times New Roman" w:hAnsi="Times New Roman" w:eastAsia="宋体" w:cs="宋体"/>
          <w:b/>
          <w:color w:val="auto"/>
          <w:sz w:val="24"/>
          <w:szCs w:val="24"/>
          <w:highlight w:val="none"/>
        </w:rPr>
        <w:t>的供应商于202</w:t>
      </w:r>
      <w:r>
        <w:rPr>
          <w:rFonts w:hint="eastAsia" w:ascii="Times New Roman" w:hAnsi="Times New Roman" w:eastAsia="宋体" w:cs="宋体"/>
          <w:b/>
          <w:color w:val="auto"/>
          <w:sz w:val="24"/>
          <w:szCs w:val="24"/>
          <w:highlight w:val="none"/>
          <w:lang w:val="en-US" w:eastAsia="zh-CN"/>
        </w:rPr>
        <w:t>4</w:t>
      </w:r>
      <w:r>
        <w:rPr>
          <w:rFonts w:hint="eastAsia" w:ascii="Times New Roman" w:hAnsi="Times New Roman" w:eastAsia="宋体" w:cs="宋体"/>
          <w:b/>
          <w:color w:val="auto"/>
          <w:sz w:val="24"/>
          <w:szCs w:val="24"/>
          <w:highlight w:val="none"/>
        </w:rPr>
        <w:t>年</w:t>
      </w:r>
      <w:r>
        <w:rPr>
          <w:rFonts w:hint="eastAsia" w:ascii="Times New Roman" w:hAnsi="Times New Roman" w:eastAsia="宋体" w:cs="宋体"/>
          <w:b/>
          <w:color w:val="auto"/>
          <w:sz w:val="24"/>
          <w:szCs w:val="24"/>
          <w:highlight w:val="none"/>
          <w:lang w:val="en-US" w:eastAsia="zh-CN"/>
        </w:rPr>
        <w:t>10</w:t>
      </w:r>
      <w:r>
        <w:rPr>
          <w:rFonts w:hint="eastAsia" w:ascii="Times New Roman" w:hAnsi="Times New Roman" w:eastAsia="宋体" w:cs="宋体"/>
          <w:b/>
          <w:color w:val="auto"/>
          <w:sz w:val="24"/>
          <w:szCs w:val="24"/>
          <w:highlight w:val="none"/>
        </w:rPr>
        <w:t>月</w:t>
      </w:r>
      <w:r>
        <w:rPr>
          <w:rFonts w:hint="eastAsia" w:ascii="Times New Roman" w:hAnsi="Times New Roman" w:eastAsia="宋体" w:cs="宋体"/>
          <w:b/>
          <w:color w:val="auto"/>
          <w:sz w:val="24"/>
          <w:szCs w:val="24"/>
          <w:highlight w:val="none"/>
          <w:lang w:val="en-US" w:eastAsia="zh-CN"/>
        </w:rPr>
        <w:t>25</w:t>
      </w:r>
      <w:r>
        <w:rPr>
          <w:rFonts w:hint="eastAsia" w:ascii="Times New Roman" w:hAnsi="Times New Roman" w:eastAsia="宋体" w:cs="宋体"/>
          <w:b/>
          <w:color w:val="auto"/>
          <w:sz w:val="24"/>
          <w:szCs w:val="24"/>
          <w:highlight w:val="none"/>
        </w:rPr>
        <w:t>日</w:t>
      </w:r>
      <w:r>
        <w:rPr>
          <w:rFonts w:hint="eastAsia" w:ascii="Times New Roman" w:hAnsi="Times New Roman" w:eastAsia="宋体" w:cs="宋体"/>
          <w:b/>
          <w:color w:val="auto"/>
          <w:sz w:val="24"/>
          <w:szCs w:val="24"/>
          <w:highlight w:val="none"/>
          <w:lang w:val="en-US" w:eastAsia="zh-CN"/>
        </w:rPr>
        <w:t>11</w:t>
      </w:r>
      <w:r>
        <w:rPr>
          <w:rFonts w:hint="eastAsia" w:ascii="Times New Roman" w:hAnsi="Times New Roman" w:eastAsia="宋体" w:cs="宋体"/>
          <w:b/>
          <w:color w:val="auto"/>
          <w:sz w:val="24"/>
          <w:szCs w:val="24"/>
          <w:highlight w:val="none"/>
        </w:rPr>
        <w:t>时00分前</w:t>
      </w:r>
      <w:r>
        <w:rPr>
          <w:rFonts w:hint="eastAsia" w:ascii="Times New Roman" w:hAnsi="Times New Roman" w:eastAsia="宋体" w:cs="宋体"/>
          <w:b/>
          <w:color w:val="auto"/>
          <w:sz w:val="24"/>
          <w:szCs w:val="24"/>
          <w:highlight w:val="none"/>
          <w:lang w:eastAsia="zh-CN"/>
        </w:rPr>
        <w:t>联系</w:t>
      </w:r>
      <w:r>
        <w:rPr>
          <w:rFonts w:hint="eastAsia" w:ascii="Times New Roman" w:hAnsi="Times New Roman" w:eastAsia="宋体" w:cs="宋体"/>
          <w:b/>
          <w:color w:val="auto"/>
          <w:sz w:val="24"/>
          <w:szCs w:val="24"/>
          <w:highlight w:val="none"/>
        </w:rPr>
        <w:t>代理机构报名</w:t>
      </w:r>
      <w:r>
        <w:rPr>
          <w:rFonts w:hint="eastAsia" w:ascii="Times New Roman" w:hAnsi="Times New Roman" w:eastAsia="宋体" w:cs="宋体"/>
          <w:b/>
          <w:bCs w:val="0"/>
          <w:color w:val="auto"/>
          <w:sz w:val="24"/>
          <w:szCs w:val="24"/>
          <w:highlight w:val="none"/>
          <w:lang w:eastAsia="zh-CN"/>
        </w:rPr>
        <w:t>（联系人：</w:t>
      </w:r>
      <w:r>
        <w:rPr>
          <w:rFonts w:hint="eastAsia" w:ascii="Times New Roman" w:hAnsi="Times New Roman" w:eastAsia="宋体"/>
          <w:b/>
          <w:bCs w:val="0"/>
          <w:color w:val="auto"/>
          <w:sz w:val="24"/>
          <w:szCs w:val="24"/>
          <w:highlight w:val="none"/>
        </w:rPr>
        <w:t>董安国</w:t>
      </w:r>
      <w:r>
        <w:rPr>
          <w:rFonts w:hint="eastAsia" w:ascii="Times New Roman" w:hAnsi="Times New Roman" w:eastAsia="宋体"/>
          <w:b/>
          <w:bCs w:val="0"/>
          <w:color w:val="auto"/>
          <w:sz w:val="24"/>
          <w:szCs w:val="24"/>
          <w:highlight w:val="none"/>
          <w:lang w:eastAsia="zh-CN"/>
        </w:rPr>
        <w:t>，</w:t>
      </w:r>
      <w:r>
        <w:rPr>
          <w:rFonts w:hint="eastAsia" w:ascii="Times New Roman" w:hAnsi="Times New Roman" w:eastAsia="宋体"/>
          <w:b/>
          <w:bCs w:val="0"/>
          <w:color w:val="auto"/>
          <w:sz w:val="24"/>
          <w:szCs w:val="24"/>
          <w:highlight w:val="none"/>
        </w:rPr>
        <w:t>联系电话：</w:t>
      </w:r>
      <w:r>
        <w:rPr>
          <w:rFonts w:hint="eastAsia" w:ascii="Times New Roman" w:hAnsi="Times New Roman" w:eastAsia="宋体" w:cs="宋体"/>
          <w:b/>
          <w:bCs w:val="0"/>
          <w:color w:val="auto"/>
          <w:kern w:val="0"/>
          <w:sz w:val="24"/>
          <w:highlight w:val="none"/>
        </w:rPr>
        <w:t>18912299056</w:t>
      </w:r>
      <w:r>
        <w:rPr>
          <w:rFonts w:hint="eastAsia" w:ascii="Times New Roman" w:hAnsi="Times New Roman" w:eastAsia="宋体" w:cs="宋体"/>
          <w:b/>
          <w:bCs w:val="0"/>
          <w:color w:val="auto"/>
          <w:kern w:val="0"/>
          <w:sz w:val="24"/>
          <w:highlight w:val="none"/>
          <w:lang w:eastAsia="zh-CN"/>
        </w:rPr>
        <w:t>，</w:t>
      </w:r>
      <w:r>
        <w:rPr>
          <w:rFonts w:hint="eastAsia" w:ascii="Times New Roman" w:hAnsi="Times New Roman" w:eastAsia="宋体" w:cs="宋体"/>
          <w:b/>
          <w:bCs w:val="0"/>
          <w:color w:val="auto"/>
          <w:kern w:val="0"/>
          <w:sz w:val="24"/>
          <w:highlight w:val="none"/>
        </w:rPr>
        <w:t>邮箱：812298892@qq.com</w:t>
      </w:r>
      <w:r>
        <w:rPr>
          <w:rFonts w:hint="eastAsia" w:ascii="Times New Roman" w:hAnsi="Times New Roman" w:eastAsia="宋体" w:cs="宋体"/>
          <w:b/>
          <w:bCs w:val="0"/>
          <w:color w:val="auto"/>
          <w:sz w:val="24"/>
          <w:szCs w:val="24"/>
          <w:highlight w:val="none"/>
          <w:lang w:eastAsia="zh-CN"/>
        </w:rPr>
        <w:t>）</w:t>
      </w:r>
      <w:r>
        <w:rPr>
          <w:rFonts w:hint="eastAsia" w:ascii="Times New Roman" w:hAnsi="Times New Roman" w:eastAsia="宋体" w:cs="宋体"/>
          <w:b/>
          <w:color w:val="auto"/>
          <w:sz w:val="24"/>
          <w:szCs w:val="24"/>
          <w:highlight w:val="none"/>
        </w:rPr>
        <w:t>，未报名单位不得参加本项目的</w:t>
      </w:r>
      <w:r>
        <w:rPr>
          <w:rFonts w:hint="eastAsia" w:ascii="Times New Roman" w:hAnsi="Times New Roman" w:eastAsia="宋体" w:cs="宋体"/>
          <w:b/>
          <w:color w:val="auto"/>
          <w:sz w:val="24"/>
          <w:szCs w:val="24"/>
          <w:highlight w:val="none"/>
          <w:lang w:eastAsia="zh-CN"/>
        </w:rPr>
        <w:t>响应</w:t>
      </w:r>
      <w:r>
        <w:rPr>
          <w:rFonts w:hint="eastAsia" w:ascii="Times New Roman" w:hAnsi="Times New Roman" w:eastAsia="宋体" w:cs="宋体"/>
          <w:b/>
          <w:color w:val="auto"/>
          <w:sz w:val="24"/>
          <w:szCs w:val="24"/>
          <w:highlight w:val="none"/>
        </w:rPr>
        <w:t>。</w:t>
      </w:r>
    </w:p>
    <w:bookmarkEnd w:id="2"/>
    <w:bookmarkEnd w:id="3"/>
    <w:bookmarkEnd w:id="4"/>
    <w:bookmarkEnd w:id="5"/>
    <w:p w14:paraId="3D073BB1">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bookmarkStart w:id="6" w:name="_Toc28359084"/>
      <w:bookmarkStart w:id="7" w:name="_Toc35393625"/>
      <w:bookmarkStart w:id="8" w:name="_Toc28359007"/>
      <w:bookmarkStart w:id="9" w:name="_Toc35393794"/>
      <w:r>
        <w:rPr>
          <w:rFonts w:hint="eastAsia" w:ascii="Times New Roman" w:hAnsi="Times New Roman" w:eastAsia="宋体" w:cs="宋体"/>
          <w:b/>
          <w:color w:val="auto"/>
          <w:kern w:val="0"/>
          <w:sz w:val="24"/>
          <w:szCs w:val="24"/>
          <w:highlight w:val="none"/>
        </w:rPr>
        <w:t>四、响应文件提交</w:t>
      </w:r>
    </w:p>
    <w:p w14:paraId="206C5193">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1、提交响应文件截止时间：</w:t>
      </w:r>
      <w:r>
        <w:rPr>
          <w:rFonts w:hint="eastAsia" w:ascii="Times New Roman" w:hAnsi="Times New Roman" w:eastAsia="宋体" w:cs="宋体"/>
          <w:color w:val="auto"/>
          <w:sz w:val="24"/>
          <w:szCs w:val="24"/>
          <w:highlight w:val="none"/>
          <w:u w:val="single"/>
        </w:rPr>
        <w:t>202</w:t>
      </w:r>
      <w:r>
        <w:rPr>
          <w:rFonts w:hint="eastAsia" w:ascii="Times New Roman" w:hAnsi="Times New Roman" w:eastAsia="宋体" w:cs="宋体"/>
          <w:color w:val="auto"/>
          <w:sz w:val="24"/>
          <w:szCs w:val="24"/>
          <w:highlight w:val="none"/>
          <w:u w:val="single"/>
          <w:lang w:val="en-US" w:eastAsia="zh-CN"/>
        </w:rPr>
        <w:t>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10</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25</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14</w:t>
      </w:r>
      <w:r>
        <w:rPr>
          <w:rFonts w:hint="eastAsia" w:ascii="Times New Roman" w:hAnsi="Times New Roman" w:eastAsia="宋体" w:cs="宋体"/>
          <w:bCs/>
          <w:color w:val="auto"/>
          <w:sz w:val="24"/>
          <w:szCs w:val="24"/>
          <w:highlight w:val="none"/>
          <w:u w:val="single"/>
        </w:rPr>
        <w:t>时</w:t>
      </w:r>
      <w:r>
        <w:rPr>
          <w:rFonts w:hint="eastAsia" w:ascii="Times New Roman" w:hAnsi="Times New Roman" w:eastAsia="宋体" w:cs="宋体"/>
          <w:bCs/>
          <w:color w:val="auto"/>
          <w:sz w:val="24"/>
          <w:szCs w:val="24"/>
          <w:highlight w:val="none"/>
          <w:u w:val="single"/>
          <w:lang w:val="en-US" w:eastAsia="zh-CN"/>
        </w:rPr>
        <w:t>30</w:t>
      </w:r>
      <w:r>
        <w:rPr>
          <w:rFonts w:hint="eastAsia" w:ascii="Times New Roman" w:hAnsi="Times New Roman" w:eastAsia="宋体" w:cs="宋体"/>
          <w:bCs/>
          <w:color w:val="auto"/>
          <w:sz w:val="24"/>
          <w:szCs w:val="24"/>
          <w:highlight w:val="none"/>
          <w:u w:val="single"/>
        </w:rPr>
        <w:t>分</w:t>
      </w:r>
      <w:r>
        <w:rPr>
          <w:rFonts w:hint="eastAsia" w:ascii="Times New Roman" w:hAnsi="Times New Roman" w:eastAsia="宋体" w:cs="宋体"/>
          <w:color w:val="auto"/>
          <w:sz w:val="24"/>
          <w:szCs w:val="24"/>
          <w:highlight w:val="none"/>
        </w:rPr>
        <w:t>（北京时间）。</w:t>
      </w:r>
      <w:r>
        <w:rPr>
          <w:rFonts w:hint="eastAsia" w:ascii="Times New Roman" w:hAnsi="Times New Roman" w:eastAsia="宋体"/>
          <w:color w:val="auto"/>
          <w:sz w:val="24"/>
          <w:highlight w:val="none"/>
        </w:rPr>
        <w:t>逾时，采购人将拒绝接受响应文件纸质文档。</w:t>
      </w:r>
    </w:p>
    <w:p w14:paraId="31FA91AD">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2、提交响应文件地点：</w:t>
      </w:r>
      <w:r>
        <w:rPr>
          <w:rFonts w:hint="eastAsia" w:ascii="Times New Roman" w:hAnsi="Times New Roman" w:eastAsia="宋体" w:cs="Times New Roman"/>
          <w:color w:val="auto"/>
          <w:sz w:val="24"/>
          <w:szCs w:val="24"/>
          <w:highlight w:val="none"/>
          <w:u w:val="single"/>
          <w:lang w:eastAsia="zh-CN"/>
        </w:rPr>
        <w:t>南通市崇川区江海大道488号金贸国际25楼（宏信天德工程顾问有限公司开标室）</w:t>
      </w:r>
      <w:r>
        <w:rPr>
          <w:rFonts w:hint="eastAsia" w:ascii="Times New Roman" w:hAnsi="Times New Roman" w:eastAsia="宋体" w:cs="宋体"/>
          <w:color w:val="auto"/>
          <w:sz w:val="24"/>
          <w:szCs w:val="24"/>
          <w:highlight w:val="none"/>
        </w:rPr>
        <w:t>，如有变动另行通知。</w:t>
      </w:r>
    </w:p>
    <w:p w14:paraId="0CFEAE89">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五、开启</w:t>
      </w:r>
    </w:p>
    <w:p w14:paraId="5849BDD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1、时间：</w:t>
      </w:r>
      <w:r>
        <w:rPr>
          <w:rFonts w:hint="eastAsia" w:ascii="Times New Roman" w:hAnsi="Times New Roman" w:eastAsia="宋体" w:cs="宋体"/>
          <w:color w:val="auto"/>
          <w:sz w:val="24"/>
          <w:szCs w:val="24"/>
          <w:highlight w:val="none"/>
          <w:u w:val="single"/>
        </w:rPr>
        <w:t>202</w:t>
      </w:r>
      <w:r>
        <w:rPr>
          <w:rFonts w:hint="eastAsia" w:ascii="Times New Roman" w:hAnsi="Times New Roman" w:eastAsia="宋体" w:cs="宋体"/>
          <w:color w:val="auto"/>
          <w:sz w:val="24"/>
          <w:szCs w:val="24"/>
          <w:highlight w:val="none"/>
          <w:u w:val="single"/>
          <w:lang w:val="en-US" w:eastAsia="zh-CN"/>
        </w:rPr>
        <w:t>4</w:t>
      </w:r>
      <w:r>
        <w:rPr>
          <w:rFonts w:hint="eastAsia" w:ascii="Times New Roman" w:hAnsi="Times New Roman" w:eastAsia="宋体" w:cs="宋体"/>
          <w:bCs/>
          <w:color w:val="auto"/>
          <w:sz w:val="24"/>
          <w:szCs w:val="24"/>
          <w:highlight w:val="none"/>
          <w:u w:val="single"/>
        </w:rPr>
        <w:t>年</w:t>
      </w:r>
      <w:r>
        <w:rPr>
          <w:rFonts w:hint="eastAsia" w:ascii="Times New Roman" w:hAnsi="Times New Roman" w:eastAsia="宋体" w:cs="宋体"/>
          <w:bCs/>
          <w:color w:val="auto"/>
          <w:sz w:val="24"/>
          <w:szCs w:val="24"/>
          <w:highlight w:val="none"/>
          <w:u w:val="single"/>
          <w:lang w:val="en-US" w:eastAsia="zh-CN"/>
        </w:rPr>
        <w:t>10</w:t>
      </w:r>
      <w:r>
        <w:rPr>
          <w:rFonts w:hint="eastAsia" w:ascii="Times New Roman" w:hAnsi="Times New Roman" w:eastAsia="宋体" w:cs="宋体"/>
          <w:bCs/>
          <w:color w:val="auto"/>
          <w:sz w:val="24"/>
          <w:szCs w:val="24"/>
          <w:highlight w:val="none"/>
          <w:u w:val="single"/>
        </w:rPr>
        <w:t>月</w:t>
      </w:r>
      <w:r>
        <w:rPr>
          <w:rFonts w:hint="eastAsia" w:ascii="Times New Roman" w:hAnsi="Times New Roman" w:eastAsia="宋体" w:cs="宋体"/>
          <w:bCs/>
          <w:color w:val="auto"/>
          <w:sz w:val="24"/>
          <w:szCs w:val="24"/>
          <w:highlight w:val="none"/>
          <w:u w:val="single"/>
          <w:lang w:val="en-US" w:eastAsia="zh-CN"/>
        </w:rPr>
        <w:t>25</w:t>
      </w:r>
      <w:r>
        <w:rPr>
          <w:rFonts w:hint="eastAsia" w:ascii="Times New Roman" w:hAnsi="Times New Roman" w:eastAsia="宋体" w:cs="宋体"/>
          <w:bCs/>
          <w:color w:val="auto"/>
          <w:sz w:val="24"/>
          <w:szCs w:val="24"/>
          <w:highlight w:val="none"/>
          <w:u w:val="single"/>
        </w:rPr>
        <w:t>日</w:t>
      </w:r>
      <w:r>
        <w:rPr>
          <w:rFonts w:hint="eastAsia" w:ascii="Times New Roman" w:hAnsi="Times New Roman" w:eastAsia="宋体" w:cs="宋体"/>
          <w:bCs/>
          <w:color w:val="auto"/>
          <w:sz w:val="24"/>
          <w:szCs w:val="24"/>
          <w:highlight w:val="none"/>
          <w:u w:val="single"/>
          <w:lang w:val="en-US" w:eastAsia="zh-CN"/>
        </w:rPr>
        <w:t>14</w:t>
      </w:r>
      <w:r>
        <w:rPr>
          <w:rFonts w:hint="eastAsia" w:ascii="Times New Roman" w:hAnsi="Times New Roman" w:eastAsia="宋体" w:cs="宋体"/>
          <w:bCs/>
          <w:color w:val="auto"/>
          <w:sz w:val="24"/>
          <w:szCs w:val="24"/>
          <w:highlight w:val="none"/>
          <w:u w:val="single"/>
        </w:rPr>
        <w:t>时</w:t>
      </w:r>
      <w:r>
        <w:rPr>
          <w:rFonts w:hint="eastAsia" w:ascii="Times New Roman" w:hAnsi="Times New Roman" w:eastAsia="宋体" w:cs="宋体"/>
          <w:bCs/>
          <w:color w:val="auto"/>
          <w:sz w:val="24"/>
          <w:szCs w:val="24"/>
          <w:highlight w:val="none"/>
          <w:u w:val="single"/>
          <w:lang w:val="en-US" w:eastAsia="zh-CN"/>
        </w:rPr>
        <w:t>30</w:t>
      </w:r>
      <w:r>
        <w:rPr>
          <w:rFonts w:hint="eastAsia" w:ascii="Times New Roman" w:hAnsi="Times New Roman" w:eastAsia="宋体" w:cs="宋体"/>
          <w:bCs/>
          <w:color w:val="auto"/>
          <w:sz w:val="24"/>
          <w:szCs w:val="24"/>
          <w:highlight w:val="none"/>
          <w:u w:val="single"/>
        </w:rPr>
        <w:t>分</w:t>
      </w:r>
      <w:r>
        <w:rPr>
          <w:rFonts w:hint="eastAsia" w:ascii="Times New Roman" w:hAnsi="Times New Roman" w:eastAsia="宋体" w:cs="宋体"/>
          <w:color w:val="auto"/>
          <w:sz w:val="24"/>
          <w:szCs w:val="24"/>
          <w:highlight w:val="none"/>
        </w:rPr>
        <w:t>（北京时间）。</w:t>
      </w:r>
    </w:p>
    <w:p w14:paraId="1C27D16C">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2、开启文件及开标地点：</w:t>
      </w:r>
      <w:r>
        <w:rPr>
          <w:rFonts w:hint="eastAsia" w:ascii="Times New Roman" w:hAnsi="Times New Roman" w:eastAsia="宋体" w:cs="Times New Roman"/>
          <w:color w:val="auto"/>
          <w:sz w:val="24"/>
          <w:szCs w:val="24"/>
          <w:highlight w:val="none"/>
          <w:u w:val="single"/>
          <w:lang w:eastAsia="zh-CN"/>
        </w:rPr>
        <w:t>南通市崇川区江海大道488号金贸国际25楼（宏信天德工程顾问有限公司开标室）</w:t>
      </w:r>
      <w:r>
        <w:rPr>
          <w:rFonts w:hint="eastAsia" w:ascii="Times New Roman" w:hAnsi="Times New Roman" w:eastAsia="宋体" w:cs="宋体"/>
          <w:color w:val="auto"/>
          <w:sz w:val="24"/>
          <w:szCs w:val="24"/>
          <w:highlight w:val="none"/>
        </w:rPr>
        <w:t>。</w:t>
      </w:r>
    </w:p>
    <w:p w14:paraId="01BC8F71">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kern w:val="0"/>
          <w:sz w:val="24"/>
          <w:szCs w:val="24"/>
          <w:highlight w:val="none"/>
        </w:rPr>
      </w:pPr>
      <w:r>
        <w:rPr>
          <w:rFonts w:hint="eastAsia" w:ascii="Times New Roman" w:hAnsi="Times New Roman" w:eastAsia="宋体" w:cs="宋体"/>
          <w:b/>
          <w:color w:val="auto"/>
          <w:kern w:val="0"/>
          <w:sz w:val="24"/>
          <w:szCs w:val="24"/>
          <w:highlight w:val="none"/>
        </w:rPr>
        <w:t>六、公告期限</w:t>
      </w:r>
      <w:bookmarkEnd w:id="6"/>
      <w:bookmarkEnd w:id="7"/>
      <w:bookmarkEnd w:id="8"/>
      <w:bookmarkEnd w:id="9"/>
    </w:p>
    <w:p w14:paraId="1A25B28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kern w:val="0"/>
          <w:sz w:val="24"/>
          <w:szCs w:val="24"/>
          <w:highlight w:val="none"/>
        </w:rPr>
        <w:t>自本公告发布之日起3个工作日。</w:t>
      </w:r>
    </w:p>
    <w:p w14:paraId="1063B434">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
          <w:bCs/>
          <w:color w:val="auto"/>
          <w:sz w:val="24"/>
          <w:szCs w:val="24"/>
          <w:highlight w:val="none"/>
        </w:rPr>
        <w:t>七、</w:t>
      </w:r>
      <w:r>
        <w:rPr>
          <w:rFonts w:hint="eastAsia" w:ascii="Times New Roman" w:hAnsi="Times New Roman" w:eastAsia="宋体" w:cs="宋体"/>
          <w:b/>
          <w:color w:val="auto"/>
          <w:sz w:val="24"/>
          <w:szCs w:val="24"/>
          <w:highlight w:val="none"/>
        </w:rPr>
        <w:t>其他补充事宜</w:t>
      </w:r>
    </w:p>
    <w:p w14:paraId="31763BC5">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color w:val="auto"/>
          <w:kern w:val="0"/>
          <w:sz w:val="24"/>
          <w:szCs w:val="24"/>
          <w:highlight w:val="none"/>
        </w:rPr>
      </w:pPr>
      <w:r>
        <w:rPr>
          <w:rFonts w:hint="eastAsia" w:ascii="Times New Roman" w:hAnsi="Times New Roman" w:eastAsia="宋体" w:cs="宋体"/>
          <w:color w:val="auto"/>
          <w:kern w:val="0"/>
          <w:sz w:val="24"/>
          <w:szCs w:val="24"/>
          <w:highlight w:val="none"/>
        </w:rPr>
        <w:t>1、</w:t>
      </w:r>
      <w:r>
        <w:rPr>
          <w:rFonts w:hint="eastAsia" w:ascii="Times New Roman" w:hAnsi="Times New Roman" w:eastAsia="宋体" w:cs="宋体"/>
          <w:color w:val="auto"/>
          <w:kern w:val="0"/>
          <w:sz w:val="24"/>
          <w:szCs w:val="24"/>
          <w:highlight w:val="none"/>
          <w:lang w:val="en-US" w:eastAsia="zh-CN"/>
        </w:rPr>
        <w:t>磋商保证金：免收。</w:t>
      </w:r>
      <w:r>
        <w:rPr>
          <w:rFonts w:hint="eastAsia" w:ascii="Times New Roman" w:hAnsi="Times New Roman" w:eastAsia="宋体" w:cs="宋体"/>
          <w:color w:val="auto"/>
          <w:kern w:val="0"/>
          <w:sz w:val="24"/>
          <w:szCs w:val="24"/>
          <w:highlight w:val="none"/>
        </w:rPr>
        <w:t>本项目不收取磋商保证金，采购文件中涉及磋商保证金的事项，均按免收保证金执行。</w:t>
      </w:r>
    </w:p>
    <w:p w14:paraId="45ECEFF1">
      <w:pPr>
        <w:spacing w:line="360" w:lineRule="auto"/>
        <w:ind w:firstLine="480" w:firstLineChars="200"/>
        <w:rPr>
          <w:rFonts w:cs="宋体"/>
          <w:color w:val="auto"/>
          <w:kern w:val="0"/>
          <w:sz w:val="24"/>
          <w:szCs w:val="24"/>
          <w:highlight w:val="none"/>
        </w:rPr>
      </w:pPr>
      <w:r>
        <w:rPr>
          <w:rFonts w:hint="eastAsia" w:cs="宋体"/>
          <w:bCs/>
          <w:color w:val="auto"/>
          <w:sz w:val="24"/>
          <w:szCs w:val="24"/>
          <w:highlight w:val="none"/>
          <w:lang w:val="en-US" w:eastAsia="zh-CN"/>
        </w:rPr>
        <w:t>2</w:t>
      </w:r>
      <w:r>
        <w:rPr>
          <w:rFonts w:hint="eastAsia" w:cs="宋体"/>
          <w:bCs/>
          <w:color w:val="auto"/>
          <w:sz w:val="24"/>
          <w:szCs w:val="24"/>
          <w:highlight w:val="none"/>
        </w:rPr>
        <w:t>、</w:t>
      </w:r>
      <w:r>
        <w:rPr>
          <w:rFonts w:cs="宋体"/>
          <w:color w:val="auto"/>
          <w:kern w:val="0"/>
          <w:sz w:val="24"/>
          <w:szCs w:val="24"/>
          <w:highlight w:val="none"/>
        </w:rPr>
        <w:t>项目</w:t>
      </w:r>
      <w:r>
        <w:rPr>
          <w:rFonts w:hint="eastAsia" w:cs="宋体"/>
          <w:color w:val="auto"/>
          <w:kern w:val="0"/>
          <w:sz w:val="24"/>
          <w:szCs w:val="24"/>
          <w:highlight w:val="none"/>
        </w:rPr>
        <w:t>磋商</w:t>
      </w:r>
      <w:r>
        <w:rPr>
          <w:rFonts w:cs="宋体"/>
          <w:color w:val="auto"/>
          <w:kern w:val="0"/>
          <w:sz w:val="24"/>
          <w:szCs w:val="24"/>
          <w:highlight w:val="none"/>
        </w:rPr>
        <w:t>活动模式：</w:t>
      </w:r>
      <w:r>
        <w:rPr>
          <w:rFonts w:hint="eastAsia" w:cs="宋体"/>
          <w:color w:val="auto"/>
          <w:kern w:val="0"/>
          <w:sz w:val="24"/>
          <w:szCs w:val="24"/>
          <w:highlight w:val="none"/>
        </w:rPr>
        <w:t>现场磋商模式</w:t>
      </w:r>
      <w:r>
        <w:rPr>
          <w:rFonts w:cs="宋体"/>
          <w:color w:val="auto"/>
          <w:kern w:val="0"/>
          <w:sz w:val="24"/>
          <w:szCs w:val="24"/>
          <w:highlight w:val="none"/>
        </w:rPr>
        <w:t>。</w:t>
      </w:r>
    </w:p>
    <w:p w14:paraId="62022B04">
      <w:pPr>
        <w:spacing w:line="360" w:lineRule="auto"/>
        <w:ind w:firstLine="480" w:firstLineChars="200"/>
        <w:rPr>
          <w:color w:val="auto"/>
          <w:highlight w:val="none"/>
        </w:rPr>
      </w:pPr>
      <w:r>
        <w:rPr>
          <w:rFonts w:hint="eastAsia" w:cs="宋体"/>
          <w:color w:val="auto"/>
          <w:kern w:val="0"/>
          <w:sz w:val="24"/>
          <w:szCs w:val="24"/>
          <w:highlight w:val="none"/>
          <w:lang w:val="en-US" w:eastAsia="zh-CN"/>
        </w:rPr>
        <w:t>3</w:t>
      </w:r>
      <w:r>
        <w:rPr>
          <w:rFonts w:cs="宋体"/>
          <w:color w:val="auto"/>
          <w:kern w:val="0"/>
          <w:sz w:val="24"/>
          <w:szCs w:val="24"/>
          <w:highlight w:val="none"/>
        </w:rPr>
        <w:t>、项目演示、样品、答辩等：无</w:t>
      </w:r>
      <w:r>
        <w:rPr>
          <w:rFonts w:hint="eastAsia" w:cs="宋体"/>
          <w:color w:val="auto"/>
          <w:kern w:val="0"/>
          <w:sz w:val="24"/>
          <w:szCs w:val="24"/>
          <w:highlight w:val="none"/>
        </w:rPr>
        <w:t>。</w:t>
      </w:r>
    </w:p>
    <w:p w14:paraId="05019CFE">
      <w:pPr>
        <w:spacing w:line="360" w:lineRule="auto"/>
        <w:ind w:firstLine="480" w:firstLineChars="200"/>
        <w:textAlignment w:val="baseline"/>
        <w:rPr>
          <w:color w:val="auto"/>
          <w:sz w:val="24"/>
          <w:szCs w:val="24"/>
          <w:highlight w:val="none"/>
        </w:rPr>
      </w:pPr>
      <w:r>
        <w:rPr>
          <w:rFonts w:hint="eastAsia" w:cs="宋体"/>
          <w:color w:val="auto"/>
          <w:sz w:val="24"/>
          <w:highlight w:val="none"/>
          <w:lang w:val="en-US" w:eastAsia="zh-CN"/>
        </w:rPr>
        <w:t>4</w:t>
      </w:r>
      <w:r>
        <w:rPr>
          <w:rFonts w:hint="eastAsia" w:cs="宋体"/>
          <w:color w:val="auto"/>
          <w:sz w:val="24"/>
          <w:highlight w:val="none"/>
        </w:rPr>
        <w:t>、</w:t>
      </w:r>
      <w:r>
        <w:rPr>
          <w:rFonts w:hint="eastAsia"/>
          <w:color w:val="auto"/>
          <w:sz w:val="24"/>
          <w:szCs w:val="24"/>
          <w:highlight w:val="none"/>
        </w:rPr>
        <w:t>对项目需求部分（供应商其他资格要求、项目需求、评分标准）的询问、质疑请向采购人提出，由采购人负责答复；对项目磋商文件其它部分的询问请向采购人或招标代理提出。</w:t>
      </w:r>
    </w:p>
    <w:p w14:paraId="125A9024">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color w:val="auto"/>
          <w:sz w:val="24"/>
          <w:szCs w:val="24"/>
          <w:highlight w:val="none"/>
          <w:lang w:val="en-US" w:eastAsia="zh-CN"/>
        </w:rPr>
      </w:pPr>
      <w:r>
        <w:rPr>
          <w:rFonts w:hint="eastAsia"/>
          <w:color w:val="auto"/>
          <w:sz w:val="24"/>
          <w:szCs w:val="24"/>
          <w:highlight w:val="none"/>
          <w:lang w:val="en-US" w:eastAsia="zh-CN"/>
        </w:rPr>
        <w:t>5</w:t>
      </w:r>
      <w:r>
        <w:rPr>
          <w:rFonts w:hint="eastAsia"/>
          <w:color w:val="auto"/>
          <w:sz w:val="24"/>
          <w:szCs w:val="24"/>
          <w:highlight w:val="none"/>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r>
        <w:rPr>
          <w:rFonts w:hint="eastAsia"/>
          <w:color w:val="auto"/>
          <w:sz w:val="24"/>
          <w:szCs w:val="24"/>
          <w:highlight w:val="none"/>
          <w:lang w:val="en-US" w:eastAsia="zh-CN"/>
        </w:rPr>
        <w:t xml:space="preserve">     </w:t>
      </w:r>
    </w:p>
    <w:p w14:paraId="49BD68DE">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八、凡对本次采购提出询问，请按以下方式联系</w:t>
      </w:r>
    </w:p>
    <w:p w14:paraId="7DF947DC">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1、采购人信息</w:t>
      </w:r>
    </w:p>
    <w:p w14:paraId="632D16B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名称：南通市第三人民医院</w:t>
      </w:r>
    </w:p>
    <w:p w14:paraId="1827BC18">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地址：江苏省南通市青年中路</w:t>
      </w:r>
      <w:r>
        <w:rPr>
          <w:rFonts w:hint="eastAsia" w:ascii="Times New Roman" w:hAnsi="Times New Roman" w:eastAsia="宋体"/>
          <w:color w:val="auto"/>
          <w:sz w:val="24"/>
          <w:szCs w:val="24"/>
          <w:highlight w:val="none"/>
          <w:lang w:val="en-US" w:eastAsia="zh-CN"/>
        </w:rPr>
        <w:t>60</w:t>
      </w:r>
      <w:r>
        <w:rPr>
          <w:rFonts w:hint="eastAsia" w:ascii="Times New Roman" w:hAnsi="Times New Roman" w:eastAsia="宋体"/>
          <w:color w:val="auto"/>
          <w:sz w:val="24"/>
          <w:szCs w:val="24"/>
          <w:highlight w:val="none"/>
        </w:rPr>
        <w:t>号</w:t>
      </w:r>
    </w:p>
    <w:p w14:paraId="2092EE77">
      <w:pPr>
        <w:keepNext w:val="0"/>
        <w:keepLines w:val="0"/>
        <w:pageBreakBefore w:val="0"/>
        <w:widowControl w:val="0"/>
        <w:kinsoku/>
        <w:wordWrap/>
        <w:topLinePunct w:val="0"/>
        <w:autoSpaceDE/>
        <w:autoSpaceDN/>
        <w:bidi w:val="0"/>
        <w:spacing w:line="360" w:lineRule="auto"/>
        <w:ind w:firstLine="480" w:firstLineChars="200"/>
        <w:rPr>
          <w:rFonts w:hint="eastAsia" w:ascii="Times New Roman" w:hAnsi="Times New Roman" w:eastAsia="宋体" w:cs="宋体"/>
          <w:bCs/>
          <w:color w:val="auto"/>
          <w:sz w:val="24"/>
          <w:highlight w:val="none"/>
          <w:lang w:eastAsia="zh-CN"/>
        </w:rPr>
      </w:pPr>
      <w:r>
        <w:rPr>
          <w:rFonts w:hint="eastAsia" w:ascii="Times New Roman" w:hAnsi="Times New Roman" w:eastAsia="宋体" w:cs="宋体"/>
          <w:bCs/>
          <w:color w:val="auto"/>
          <w:sz w:val="24"/>
          <w:highlight w:val="none"/>
        </w:rPr>
        <w:t>联系人：钱</w:t>
      </w:r>
      <w:r>
        <w:rPr>
          <w:rFonts w:hint="eastAsia" w:ascii="Times New Roman" w:hAnsi="Times New Roman" w:eastAsia="宋体" w:cs="宋体"/>
          <w:bCs/>
          <w:color w:val="auto"/>
          <w:sz w:val="24"/>
          <w:highlight w:val="none"/>
          <w:lang w:eastAsia="zh-CN"/>
        </w:rPr>
        <w:t>先生</w:t>
      </w:r>
    </w:p>
    <w:p w14:paraId="4E61887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color w:val="auto"/>
          <w:sz w:val="24"/>
          <w:highlight w:val="none"/>
        </w:rPr>
      </w:pPr>
      <w:r>
        <w:rPr>
          <w:rFonts w:hint="eastAsia" w:ascii="Times New Roman" w:hAnsi="Times New Roman" w:eastAsia="宋体" w:cs="宋体"/>
          <w:bCs/>
          <w:color w:val="auto"/>
          <w:sz w:val="24"/>
          <w:highlight w:val="none"/>
        </w:rPr>
        <w:t>联系电话：0513-85116168</w:t>
      </w:r>
    </w:p>
    <w:p w14:paraId="5F705B3B">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color w:val="auto"/>
          <w:sz w:val="24"/>
          <w:highlight w:val="none"/>
        </w:rPr>
      </w:pPr>
      <w:r>
        <w:rPr>
          <w:rFonts w:hint="eastAsia" w:ascii="Times New Roman" w:hAnsi="Times New Roman" w:eastAsia="宋体" w:cs="宋体"/>
          <w:bCs/>
          <w:color w:val="auto"/>
          <w:sz w:val="24"/>
          <w:highlight w:val="none"/>
        </w:rPr>
        <w:t>2、采购代理机构信息</w:t>
      </w:r>
    </w:p>
    <w:p w14:paraId="445C7E5E">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Cs/>
          <w:color w:val="auto"/>
          <w:sz w:val="24"/>
          <w:highlight w:val="none"/>
        </w:rPr>
      </w:pPr>
      <w:r>
        <w:rPr>
          <w:rFonts w:hint="eastAsia" w:ascii="Times New Roman" w:hAnsi="Times New Roman" w:eastAsia="宋体" w:cs="宋体"/>
          <w:bCs/>
          <w:color w:val="auto"/>
          <w:sz w:val="24"/>
          <w:highlight w:val="none"/>
        </w:rPr>
        <w:t>名称：宏信天德工程顾问有限公司</w:t>
      </w:r>
    </w:p>
    <w:p w14:paraId="70CFEE6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地址：南通市崇川区江海大道488号金贸国际25楼</w:t>
      </w:r>
    </w:p>
    <w:p w14:paraId="345F879C">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联系人：董安国</w:t>
      </w:r>
    </w:p>
    <w:p w14:paraId="6EAD7A83">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kern w:val="0"/>
          <w:sz w:val="24"/>
          <w:highlight w:val="none"/>
        </w:rPr>
      </w:pPr>
      <w:r>
        <w:rPr>
          <w:rFonts w:hint="eastAsia" w:ascii="Times New Roman" w:hAnsi="Times New Roman" w:eastAsia="宋体"/>
          <w:color w:val="auto"/>
          <w:sz w:val="24"/>
          <w:szCs w:val="24"/>
          <w:highlight w:val="none"/>
        </w:rPr>
        <w:t>联系电话：</w:t>
      </w:r>
      <w:r>
        <w:rPr>
          <w:rFonts w:hint="eastAsia" w:ascii="Times New Roman" w:hAnsi="Times New Roman" w:eastAsia="宋体" w:cs="宋体"/>
          <w:color w:val="auto"/>
          <w:kern w:val="0"/>
          <w:sz w:val="24"/>
          <w:highlight w:val="none"/>
        </w:rPr>
        <w:t>18912299056</w:t>
      </w:r>
    </w:p>
    <w:p w14:paraId="2D21337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kern w:val="0"/>
          <w:sz w:val="24"/>
          <w:highlight w:val="none"/>
        </w:rPr>
      </w:pPr>
      <w:r>
        <w:rPr>
          <w:rFonts w:hint="eastAsia" w:ascii="Times New Roman" w:hAnsi="Times New Roman" w:eastAsia="宋体" w:cs="宋体"/>
          <w:color w:val="auto"/>
          <w:kern w:val="0"/>
          <w:sz w:val="24"/>
          <w:highlight w:val="none"/>
        </w:rPr>
        <w:t>邮箱：812298892@qq.com</w:t>
      </w:r>
    </w:p>
    <w:p w14:paraId="4D54756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3、项目联系方式</w:t>
      </w:r>
    </w:p>
    <w:p w14:paraId="5309510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项目联系人：董安国</w:t>
      </w:r>
    </w:p>
    <w:p w14:paraId="7B9698F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kern w:val="0"/>
          <w:sz w:val="24"/>
          <w:highlight w:val="none"/>
        </w:rPr>
      </w:pPr>
      <w:r>
        <w:rPr>
          <w:rFonts w:hint="eastAsia" w:ascii="Times New Roman" w:hAnsi="Times New Roman" w:eastAsia="宋体"/>
          <w:color w:val="auto"/>
          <w:sz w:val="24"/>
          <w:szCs w:val="24"/>
          <w:highlight w:val="none"/>
        </w:rPr>
        <w:t>电　话：</w:t>
      </w:r>
      <w:r>
        <w:rPr>
          <w:rFonts w:hint="eastAsia" w:ascii="Times New Roman" w:hAnsi="Times New Roman" w:eastAsia="宋体" w:cs="宋体"/>
          <w:color w:val="auto"/>
          <w:kern w:val="0"/>
          <w:sz w:val="24"/>
          <w:highlight w:val="none"/>
        </w:rPr>
        <w:t>18912299056</w:t>
      </w:r>
    </w:p>
    <w:p w14:paraId="7878B4C5">
      <w:pPr>
        <w:pStyle w:val="9"/>
        <w:keepNext w:val="0"/>
        <w:keepLines w:val="0"/>
        <w:pageBreakBefore w:val="0"/>
        <w:widowControl w:val="0"/>
        <w:kinsoku/>
        <w:wordWrap/>
        <w:topLinePunct w:val="0"/>
        <w:autoSpaceDE/>
        <w:autoSpaceDN/>
        <w:bidi w:val="0"/>
        <w:spacing w:line="360" w:lineRule="auto"/>
        <w:rPr>
          <w:rFonts w:ascii="Times New Roman" w:hAnsi="Times New Roman" w:eastAsia="宋体"/>
          <w:color w:val="auto"/>
          <w:kern w:val="0"/>
          <w:highlight w:val="none"/>
        </w:rPr>
      </w:pPr>
      <w:r>
        <w:rPr>
          <w:rFonts w:ascii="Times New Roman" w:hAnsi="Times New Roman" w:eastAsia="宋体"/>
          <w:color w:val="auto"/>
          <w:kern w:val="0"/>
          <w:highlight w:val="none"/>
        </w:rPr>
        <w:br w:type="page"/>
      </w:r>
    </w:p>
    <w:p w14:paraId="2AA378F3">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olor w:val="auto"/>
          <w:w w:val="80"/>
          <w:sz w:val="48"/>
          <w:szCs w:val="44"/>
          <w:highlight w:val="none"/>
        </w:rPr>
      </w:pPr>
      <w:r>
        <w:rPr>
          <w:rFonts w:hint="eastAsia" w:ascii="Times New Roman" w:hAnsi="Times New Roman" w:eastAsia="宋体"/>
          <w:color w:val="auto"/>
          <w:w w:val="80"/>
          <w:sz w:val="48"/>
          <w:szCs w:val="44"/>
          <w:highlight w:val="none"/>
        </w:rPr>
        <w:t>第二章 投标供应商须知</w:t>
      </w:r>
    </w:p>
    <w:p w14:paraId="5586FE36">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一、说明</w:t>
      </w:r>
    </w:p>
    <w:p w14:paraId="42DBB24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1、本竞争性磋商文件仅适用于采购人组织的竞争性磋商采购活动。</w:t>
      </w:r>
    </w:p>
    <w:p w14:paraId="191377F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2、竞争性磋商活动及因本次磋商产生的合同受中国法律制约和保护。</w:t>
      </w:r>
    </w:p>
    <w:p w14:paraId="0F581CB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3、竞争性磋商文件的解释权属于采购人。</w:t>
      </w:r>
    </w:p>
    <w:p w14:paraId="222F883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供应商下载磋商文件后，应仔细检查磋商文件的所有内容。如内容中有页码短缺、资格要求以及任何设置有不合理的条件对供应商实行差别待遇或者歧视待遇的，应在磋商文件发布后的5日内，以书面形式向代理机构提出询问或疑问，</w:t>
      </w:r>
      <w:r>
        <w:rPr>
          <w:rFonts w:hint="eastAsia" w:ascii="Times New Roman" w:hAnsi="Times New Roman" w:eastAsia="宋体" w:cs="宋体"/>
          <w:color w:val="auto"/>
          <w:sz w:val="24"/>
          <w:szCs w:val="24"/>
          <w:highlight w:val="none"/>
          <w:u w:val="double"/>
        </w:rPr>
        <w:t>未在规定的时间内提出询问或疑问的，视同理解并接受本磋商文件的所有内容，因此引起的损失由供应商自负，而且供应商不得在磋商结束后针对磋商文件的所有内容提出质疑事项</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b/>
          <w:color w:val="auto"/>
          <w:sz w:val="24"/>
          <w:szCs w:val="24"/>
          <w:highlight w:val="none"/>
        </w:rPr>
        <w:t>非书面形式的不作为日后质疑提出的依据。</w:t>
      </w:r>
    </w:p>
    <w:p w14:paraId="53B8395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5、供应商应认真审阅磋商文件中所有的事项、格式、条款和规范要求等，如果供应商没有按照磋商文件要求提交响应文件，或者响应文件没有对磋商文件做出实质性响应，将被拒绝参与项目的磋商。</w:t>
      </w:r>
    </w:p>
    <w:p w14:paraId="1620B33A">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二、本项目涉及到的现场勘察</w:t>
      </w:r>
    </w:p>
    <w:p w14:paraId="590F4E0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1、根据自身需要，供应商可在响应文件递交之日前对有关现场和周围环境进行勘察，以获取编制响应文件和签署合同所需的信息。勘察现场所发生的费用由供应商自己承担。</w:t>
      </w:r>
    </w:p>
    <w:p w14:paraId="76ABF4E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2、采购人向供应商提供的有关现场的资料和数据，是采购人现有的并认为能使供应商可利用的资料。采购人对供应商由此而做出的推论、理解和结论概不负责。</w:t>
      </w:r>
    </w:p>
    <w:p w14:paraId="09A6E0D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3、经采购人允许，供应商可为勘察目的进入采购人的项目现场，但供应商不得因此使采购人承担有关的责任和蒙受损失。供应商应承担勘察现场的责任和风险。</w:t>
      </w:r>
    </w:p>
    <w:p w14:paraId="773D6EEB">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供应商应认真踏勘现场。在现场勘察时，熟悉现场及周围交通道路等情况，以获得一切可能影响其投标的直接资料。供应商磋商成交后，不得以不完全了解现场情况为理由而向采购人提出任何索赔的要求，对此采购人不承担任何责任并将不作任何答复与考虑。</w:t>
      </w:r>
    </w:p>
    <w:p w14:paraId="72D2A902">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color w:val="auto"/>
          <w:highlight w:val="none"/>
        </w:rPr>
      </w:pPr>
      <w:r>
        <w:rPr>
          <w:rFonts w:hint="eastAsia" w:ascii="Times New Roman" w:hAnsi="Times New Roman" w:eastAsia="宋体" w:cs="宋体"/>
          <w:color w:val="auto"/>
          <w:sz w:val="24"/>
          <w:szCs w:val="24"/>
          <w:highlight w:val="none"/>
          <w:lang w:val="en-US" w:eastAsia="zh-CN"/>
        </w:rPr>
        <w:t>5、</w:t>
      </w:r>
      <w:r>
        <w:rPr>
          <w:rFonts w:hint="eastAsia" w:ascii="Times New Roman" w:hAnsi="Times New Roman" w:eastAsia="宋体" w:cs="宋体"/>
          <w:color w:val="auto"/>
          <w:sz w:val="24"/>
          <w:szCs w:val="24"/>
          <w:highlight w:val="none"/>
        </w:rPr>
        <w:t>为了供应商准确掌握项目现场实际情况，根据实际情况作出客观可行的方案及报价，</w:t>
      </w:r>
      <w:r>
        <w:rPr>
          <w:rFonts w:hint="eastAsia" w:ascii="Times New Roman" w:hAnsi="Times New Roman" w:eastAsia="宋体" w:cs="宋体"/>
          <w:b/>
          <w:bCs/>
          <w:color w:val="auto"/>
          <w:sz w:val="24"/>
          <w:szCs w:val="24"/>
          <w:highlight w:val="none"/>
        </w:rPr>
        <w:t>供应商可与</w:t>
      </w:r>
      <w:r>
        <w:rPr>
          <w:rFonts w:hint="eastAsia" w:ascii="Times New Roman" w:hAnsi="Times New Roman" w:eastAsia="宋体" w:cs="宋体"/>
          <w:b/>
          <w:bCs/>
          <w:color w:val="auto"/>
          <w:sz w:val="24"/>
          <w:szCs w:val="24"/>
          <w:highlight w:val="none"/>
          <w:lang w:eastAsia="zh-CN"/>
        </w:rPr>
        <w:t>医院总务</w:t>
      </w:r>
      <w:r>
        <w:rPr>
          <w:rFonts w:hint="eastAsia" w:ascii="Times New Roman" w:hAnsi="Times New Roman" w:eastAsia="宋体" w:cs="宋体"/>
          <w:b/>
          <w:bCs/>
          <w:color w:val="auto"/>
          <w:sz w:val="24"/>
          <w:szCs w:val="24"/>
          <w:highlight w:val="none"/>
        </w:rPr>
        <w:t>科联系踏勘项目现场，并取得现场勘察证明</w:t>
      </w:r>
      <w:r>
        <w:rPr>
          <w:rFonts w:hint="eastAsia" w:ascii="Times New Roman" w:hAnsi="Times New Roman" w:eastAsia="宋体" w:cs="宋体"/>
          <w:b/>
          <w:bCs/>
          <w:color w:val="auto"/>
          <w:sz w:val="24"/>
          <w:szCs w:val="24"/>
          <w:highlight w:val="none"/>
          <w:lang w:eastAsia="zh-CN"/>
        </w:rPr>
        <w:t>。</w:t>
      </w:r>
      <w:r>
        <w:rPr>
          <w:rFonts w:hint="eastAsia" w:ascii="Times New Roman" w:hAnsi="Times New Roman" w:eastAsia="宋体" w:cs="宋体"/>
          <w:b/>
          <w:bCs/>
          <w:color w:val="auto"/>
          <w:sz w:val="24"/>
          <w:szCs w:val="24"/>
          <w:highlight w:val="none"/>
        </w:rPr>
        <w:t>联系人：</w:t>
      </w:r>
      <w:r>
        <w:rPr>
          <w:rFonts w:hint="eastAsia" w:ascii="Times New Roman" w:hAnsi="Times New Roman" w:eastAsia="宋体" w:cs="宋体"/>
          <w:b/>
          <w:bCs/>
          <w:color w:val="auto"/>
          <w:sz w:val="24"/>
          <w:szCs w:val="24"/>
          <w:highlight w:val="none"/>
          <w:lang w:eastAsia="zh-CN"/>
        </w:rPr>
        <w:t>何树兵，</w:t>
      </w:r>
      <w:r>
        <w:rPr>
          <w:rFonts w:hint="eastAsia" w:ascii="Times New Roman" w:hAnsi="Times New Roman" w:eastAsia="宋体" w:cs="宋体"/>
          <w:b/>
          <w:bCs/>
          <w:color w:val="auto"/>
          <w:sz w:val="24"/>
          <w:szCs w:val="24"/>
          <w:highlight w:val="none"/>
        </w:rPr>
        <w:t>联系电话：0513-8511601</w:t>
      </w:r>
      <w:r>
        <w:rPr>
          <w:rFonts w:hint="eastAsia" w:ascii="Times New Roman" w:hAnsi="Times New Roman" w:eastAsia="宋体" w:cs="宋体"/>
          <w:b/>
          <w:bCs/>
          <w:color w:val="auto"/>
          <w:sz w:val="24"/>
          <w:szCs w:val="24"/>
          <w:highlight w:val="none"/>
          <w:lang w:val="en-US" w:eastAsia="zh-CN"/>
        </w:rPr>
        <w:t>5</w:t>
      </w:r>
      <w:r>
        <w:rPr>
          <w:rFonts w:hint="eastAsia" w:ascii="Times New Roman" w:hAnsi="Times New Roman" w:eastAsia="宋体" w:cs="宋体"/>
          <w:b/>
          <w:bCs/>
          <w:color w:val="auto"/>
          <w:sz w:val="24"/>
          <w:szCs w:val="24"/>
          <w:highlight w:val="none"/>
        </w:rPr>
        <w:t>。</w:t>
      </w:r>
    </w:p>
    <w:p w14:paraId="08F1E32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三、磋商文件的澄清、修改、答疑</w:t>
      </w:r>
    </w:p>
    <w:p w14:paraId="687F5B3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1、代理机构有权对发出的磋商文件进行必要的澄清、修改或补充。</w:t>
      </w:r>
    </w:p>
    <w:p w14:paraId="755CEFF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2、磋商文件的澄清、修改、补充等内容均以书面明确的形式发布，并以南通市第三人民医院官网发布的信息为准。</w:t>
      </w:r>
    </w:p>
    <w:p w14:paraId="3631A0C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3、代理机构对磋商文件的澄清、修改将构成磋商文件的一部分，对响应磋商的供应商具有约束力。</w:t>
      </w:r>
    </w:p>
    <w:p w14:paraId="712FA2E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4、澄清或者修改的内容可能影响到响应文件编制的，代理机构应当在提交响应文件接收截止之日3个工作日前，发布澄清或者修改公告，不足3个工作日的，当顺延提交响应文件接收截止时间。</w:t>
      </w:r>
    </w:p>
    <w:p w14:paraId="767CF4F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5、除非代理机构以书面的形式对磋商文件作出澄清、修改及补充，供应商对涉及磋商文件的任何推论、理解和结论所造成的结果，均由供应商自负。</w:t>
      </w:r>
    </w:p>
    <w:p w14:paraId="38D9FA6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6、采购单位视情组织答疑会。如有产生答疑且对磋商文件内容有修改，代理机构将按照本须知有关规定，以补充通知（公告）的方式发出。</w:t>
      </w:r>
    </w:p>
    <w:p w14:paraId="05D64943">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四、响应文件的编制及装订</w:t>
      </w:r>
    </w:p>
    <w:p w14:paraId="474761A5">
      <w:pPr>
        <w:keepNext w:val="0"/>
        <w:keepLines w:val="0"/>
        <w:pageBreakBefore w:val="0"/>
        <w:widowControl w:val="0"/>
        <w:kinsoku/>
        <w:wordWrap/>
        <w:topLinePunct w:val="0"/>
        <w:autoSpaceDE/>
        <w:autoSpaceDN/>
        <w:bidi w:val="0"/>
        <w:spacing w:line="360" w:lineRule="auto"/>
        <w:ind w:firstLine="484" w:firstLineChars="20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供应商按磋商文件要求编写响应文件，并牢固装订成册。响应文件均需采用A4纸（图纸等除外）装订。响应文件不得行间插字、涂改、增删，如修改错漏处，须经响应文件签署人签字并加盖公章。</w:t>
      </w:r>
    </w:p>
    <w:p w14:paraId="055F8A02">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五、响应文件的份数和签署</w:t>
      </w:r>
    </w:p>
    <w:p w14:paraId="113B25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1、响应文件由：</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1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①</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资格审查文件、</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2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②</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技术响应文件、③报价响应文件共3部分组成（以下由文件序号代称）。</w:t>
      </w:r>
    </w:p>
    <w:p w14:paraId="4EAC643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b/>
          <w:color w:val="auto"/>
          <w:sz w:val="24"/>
          <w:szCs w:val="24"/>
          <w:highlight w:val="none"/>
          <w:u w:val="single"/>
        </w:rPr>
      </w:pPr>
      <w:r>
        <w:rPr>
          <w:rFonts w:hint="eastAsia" w:ascii="Times New Roman" w:hAnsi="Times New Roman" w:eastAsia="宋体" w:cs="宋体"/>
          <w:color w:val="auto"/>
          <w:sz w:val="24"/>
          <w:szCs w:val="24"/>
          <w:highlight w:val="none"/>
        </w:rPr>
        <w:t>2、</w:t>
      </w:r>
      <w:r>
        <w:rPr>
          <w:rFonts w:hint="eastAsia" w:ascii="Times New Roman" w:hAnsi="Times New Roman" w:eastAsia="宋体" w:cs="宋体"/>
          <w:b/>
          <w:color w:val="auto"/>
          <w:sz w:val="24"/>
          <w:szCs w:val="24"/>
          <w:highlight w:val="none"/>
        </w:rPr>
        <w:t>响应文件均为一式</w:t>
      </w:r>
      <w:r>
        <w:rPr>
          <w:rFonts w:hint="eastAsia" w:ascii="Times New Roman" w:hAnsi="Times New Roman" w:eastAsia="宋体" w:cs="宋体"/>
          <w:b/>
          <w:color w:val="auto"/>
          <w:sz w:val="24"/>
          <w:szCs w:val="24"/>
          <w:highlight w:val="none"/>
          <w:lang w:eastAsia="zh-CN"/>
        </w:rPr>
        <w:t>叁</w:t>
      </w:r>
      <w:r>
        <w:rPr>
          <w:rFonts w:hint="eastAsia" w:ascii="Times New Roman" w:hAnsi="Times New Roman" w:eastAsia="宋体" w:cs="宋体"/>
          <w:b/>
          <w:color w:val="auto"/>
          <w:sz w:val="24"/>
          <w:szCs w:val="24"/>
          <w:highlight w:val="none"/>
        </w:rPr>
        <w:t>份，其中</w:t>
      </w:r>
      <w:r>
        <w:rPr>
          <w:rFonts w:hint="eastAsia" w:ascii="Times New Roman" w:hAnsi="Times New Roman" w:eastAsia="宋体" w:cs="宋体"/>
          <w:b/>
          <w:color w:val="auto"/>
          <w:sz w:val="24"/>
          <w:szCs w:val="24"/>
          <w:highlight w:val="none"/>
          <w:lang w:eastAsia="zh-CN"/>
        </w:rPr>
        <w:t>“</w:t>
      </w:r>
      <w:r>
        <w:rPr>
          <w:rFonts w:hint="eastAsia" w:ascii="Times New Roman" w:hAnsi="Times New Roman" w:eastAsia="宋体" w:cs="宋体"/>
          <w:b/>
          <w:color w:val="auto"/>
          <w:sz w:val="24"/>
          <w:szCs w:val="24"/>
          <w:highlight w:val="none"/>
        </w:rPr>
        <w:t>正本</w:t>
      </w:r>
      <w:r>
        <w:rPr>
          <w:rFonts w:hint="eastAsia" w:ascii="Times New Roman" w:hAnsi="Times New Roman" w:eastAsia="宋体" w:cs="宋体"/>
          <w:b/>
          <w:color w:val="auto"/>
          <w:sz w:val="24"/>
          <w:szCs w:val="24"/>
          <w:highlight w:val="none"/>
          <w:lang w:eastAsia="zh-CN"/>
        </w:rPr>
        <w:t>”</w:t>
      </w:r>
      <w:r>
        <w:rPr>
          <w:rFonts w:hint="eastAsia" w:ascii="Times New Roman" w:hAnsi="Times New Roman" w:eastAsia="宋体" w:cs="宋体"/>
          <w:b/>
          <w:color w:val="auto"/>
          <w:sz w:val="24"/>
          <w:szCs w:val="24"/>
          <w:highlight w:val="none"/>
        </w:rPr>
        <w:t>壹份和</w:t>
      </w:r>
      <w:r>
        <w:rPr>
          <w:rFonts w:hint="eastAsia" w:ascii="Times New Roman" w:hAnsi="Times New Roman" w:eastAsia="宋体" w:cs="宋体"/>
          <w:b/>
          <w:color w:val="auto"/>
          <w:sz w:val="24"/>
          <w:szCs w:val="24"/>
          <w:highlight w:val="none"/>
          <w:lang w:eastAsia="zh-CN"/>
        </w:rPr>
        <w:t>“</w:t>
      </w:r>
      <w:r>
        <w:rPr>
          <w:rFonts w:hint="eastAsia" w:ascii="Times New Roman" w:hAnsi="Times New Roman" w:eastAsia="宋体" w:cs="宋体"/>
          <w:b/>
          <w:color w:val="auto"/>
          <w:sz w:val="24"/>
          <w:szCs w:val="24"/>
          <w:highlight w:val="none"/>
        </w:rPr>
        <w:t>副本</w:t>
      </w:r>
      <w:r>
        <w:rPr>
          <w:rFonts w:hint="eastAsia" w:ascii="Times New Roman" w:hAnsi="Times New Roman" w:eastAsia="宋体" w:cs="宋体"/>
          <w:b/>
          <w:color w:val="auto"/>
          <w:sz w:val="24"/>
          <w:szCs w:val="24"/>
          <w:highlight w:val="none"/>
          <w:lang w:eastAsia="zh-CN"/>
        </w:rPr>
        <w:t>”贰</w:t>
      </w:r>
      <w:r>
        <w:rPr>
          <w:rFonts w:hint="eastAsia" w:ascii="Times New Roman" w:hAnsi="Times New Roman" w:eastAsia="宋体" w:cs="宋体"/>
          <w:b/>
          <w:color w:val="auto"/>
          <w:sz w:val="24"/>
          <w:szCs w:val="24"/>
          <w:highlight w:val="none"/>
        </w:rPr>
        <w:t>份。</w:t>
      </w:r>
    </w:p>
    <w:p w14:paraId="4FACA949">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3、在每份响应文件上要明确标注项目名称、对应的响应文件名称、供应商的全称、日期、</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副本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字样。</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和</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副本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若有差异，概以</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为准。</w:t>
      </w:r>
    </w:p>
    <w:p w14:paraId="462B9602">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4、供应商可将响应文件正副本统一密封或分别密封，如正本和副本分别密封的，应在封袋上标明正、副本字样。</w:t>
      </w:r>
    </w:p>
    <w:p w14:paraId="10A8B01A">
      <w:pPr>
        <w:keepNext w:val="0"/>
        <w:keepLines w:val="0"/>
        <w:pageBreakBefore w:val="0"/>
        <w:widowControl w:val="0"/>
        <w:kinsoku/>
        <w:wordWrap/>
        <w:topLinePunct w:val="0"/>
        <w:autoSpaceDE/>
        <w:autoSpaceDN/>
        <w:bidi w:val="0"/>
        <w:spacing w:line="360" w:lineRule="auto"/>
        <w:ind w:firstLine="470" w:firstLineChars="19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5、响应文件中的所有</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，其正文内容须按磋商文件要求由供应商法定代表人或被授权人签字（或盖章）并加盖单位公章。</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副本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可复印，但须加盖单位公章。</w:t>
      </w:r>
    </w:p>
    <w:p w14:paraId="6830A851">
      <w:pPr>
        <w:keepNext w:val="0"/>
        <w:keepLines w:val="0"/>
        <w:pageBreakBefore w:val="0"/>
        <w:widowControl w:val="0"/>
        <w:kinsoku/>
        <w:wordWrap/>
        <w:topLinePunct w:val="0"/>
        <w:autoSpaceDE/>
        <w:autoSpaceDN/>
        <w:bidi w:val="0"/>
        <w:spacing w:line="360" w:lineRule="auto"/>
        <w:ind w:firstLine="472" w:firstLineChars="196"/>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六、响应文件的密封及标记</w:t>
      </w:r>
    </w:p>
    <w:p w14:paraId="7A047CA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1、供应商须将本项目响应文件：</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1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①</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2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②</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w:t>
      </w:r>
      <w:r>
        <w:rPr>
          <w:rFonts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3 \* GB3</w:instrText>
      </w:r>
      <w:r>
        <w:rPr>
          <w:rFonts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③</w:t>
      </w:r>
      <w:r>
        <w:rPr>
          <w:rFonts w:ascii="Times New Roman" w:hAnsi="Times New Roman" w:eastAsia="宋体" w:cs="宋体"/>
          <w:color w:val="auto"/>
          <w:sz w:val="20"/>
          <w:szCs w:val="24"/>
          <w:highlight w:val="none"/>
        </w:rPr>
        <w:fldChar w:fldCharType="end"/>
      </w:r>
      <w:r>
        <w:rPr>
          <w:rFonts w:hint="eastAsia" w:ascii="Times New Roman" w:hAnsi="Times New Roman" w:eastAsia="宋体" w:cs="宋体"/>
          <w:b/>
          <w:color w:val="auto"/>
          <w:sz w:val="24"/>
          <w:szCs w:val="24"/>
          <w:highlight w:val="none"/>
        </w:rPr>
        <w:t>单独密封</w:t>
      </w:r>
      <w:r>
        <w:rPr>
          <w:rFonts w:hint="eastAsia" w:ascii="Times New Roman" w:hAnsi="Times New Roman" w:eastAsia="宋体" w:cs="宋体"/>
          <w:color w:val="auto"/>
          <w:sz w:val="24"/>
          <w:szCs w:val="24"/>
          <w:highlight w:val="none"/>
        </w:rPr>
        <w:t>。</w:t>
      </w:r>
    </w:p>
    <w:p w14:paraId="5DBB13A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2、密封后，应在每一份密封的响应文件上明确标注磋商项目名称、响应文件各自对应的名称、供应商的全称及日期并加盖供应商公章。</w:t>
      </w:r>
    </w:p>
    <w:p w14:paraId="6651779D">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【特别提醒】</w:t>
      </w:r>
      <w:r>
        <w:rPr>
          <w:rFonts w:hint="eastAsia" w:ascii="Times New Roman" w:hAnsi="Times New Roman" w:eastAsia="宋体" w:cs="宋体"/>
          <w:color w:val="auto"/>
          <w:sz w:val="24"/>
          <w:szCs w:val="24"/>
          <w:highlight w:val="none"/>
        </w:rPr>
        <w:t>响应文件中的</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1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①</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和</w:t>
      </w:r>
      <w:r>
        <w:rPr>
          <w:rFonts w:hint="eastAsia" w:ascii="Times New Roman" w:hAnsi="Times New Roman" w:eastAsia="宋体" w:cs="宋体"/>
          <w:color w:val="auto"/>
          <w:sz w:val="20"/>
          <w:szCs w:val="24"/>
          <w:highlight w:val="none"/>
        </w:rPr>
        <w:fldChar w:fldCharType="begin"/>
      </w:r>
      <w:r>
        <w:rPr>
          <w:rFonts w:hint="eastAsia" w:ascii="Times New Roman" w:hAnsi="Times New Roman" w:eastAsia="宋体" w:cs="宋体"/>
          <w:color w:val="auto"/>
          <w:sz w:val="20"/>
          <w:szCs w:val="24"/>
          <w:highlight w:val="none"/>
        </w:rPr>
        <w:instrText xml:space="preserve"> = 2 \* GB3 </w:instrText>
      </w:r>
      <w:r>
        <w:rPr>
          <w:rFonts w:hint="eastAsia" w:ascii="Times New Roman" w:hAnsi="Times New Roman" w:eastAsia="宋体" w:cs="宋体"/>
          <w:color w:val="auto"/>
          <w:sz w:val="20"/>
          <w:szCs w:val="24"/>
          <w:highlight w:val="none"/>
        </w:rPr>
        <w:fldChar w:fldCharType="separate"/>
      </w:r>
      <w:r>
        <w:rPr>
          <w:rFonts w:hint="eastAsia" w:ascii="Times New Roman" w:hAnsi="Times New Roman" w:eastAsia="宋体" w:cs="宋体"/>
          <w:color w:val="auto"/>
          <w:sz w:val="24"/>
          <w:szCs w:val="24"/>
          <w:highlight w:val="none"/>
        </w:rPr>
        <w:t>②</w:t>
      </w:r>
      <w:r>
        <w:rPr>
          <w:rFonts w:hint="eastAsia" w:ascii="Times New Roman" w:hAnsi="Times New Roman" w:eastAsia="宋体" w:cs="宋体"/>
          <w:color w:val="auto"/>
          <w:sz w:val="20"/>
          <w:szCs w:val="24"/>
          <w:highlight w:val="none"/>
        </w:rPr>
        <w:fldChar w:fldCharType="end"/>
      </w:r>
      <w:r>
        <w:rPr>
          <w:rFonts w:hint="eastAsia" w:ascii="Times New Roman" w:hAnsi="Times New Roman" w:eastAsia="宋体" w:cs="宋体"/>
          <w:color w:val="auto"/>
          <w:sz w:val="24"/>
          <w:szCs w:val="24"/>
          <w:highlight w:val="none"/>
        </w:rPr>
        <w:t>的</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正本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或</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副本</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中，均不得含有报价响应文件中报价表（报价单）内的任何项目价格，否则作无效投标处理。</w:t>
      </w:r>
    </w:p>
    <w:p w14:paraId="56EC8E20">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七、磋商报价</w:t>
      </w:r>
    </w:p>
    <w:p w14:paraId="752A621F">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color w:val="auto"/>
          <w:sz w:val="24"/>
          <w:highlight w:val="none"/>
        </w:rPr>
        <w:t>报价供应商应对所要采购的全部内容进行报价，一个标的只允许一个报价，只报其中部分内容的或出现选择性报价，将被视为无效报价</w:t>
      </w:r>
      <w:r>
        <w:rPr>
          <w:rFonts w:hint="eastAsia" w:ascii="Times New Roman" w:hAnsi="Times New Roman" w:eastAsia="宋体" w:cs="宋体"/>
          <w:color w:val="auto"/>
          <w:sz w:val="24"/>
          <w:szCs w:val="24"/>
          <w:highlight w:val="none"/>
        </w:rPr>
        <w:t>。</w:t>
      </w:r>
    </w:p>
    <w:p w14:paraId="467FDC30">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2、磋商报价均以人民币为报价的币种。</w:t>
      </w:r>
    </w:p>
    <w:p w14:paraId="08E7542A">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磋商报价表必须加盖单位公章且必须经法定代表人或被授权人签字或盖章。报价表中的大写金额与小写金额、总价金额与按单价汇总金额，若有差异，将执行《政府采购货物和服务招标投标管理办法》第59条的规定。</w:t>
      </w:r>
    </w:p>
    <w:p w14:paraId="53B59C29">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4、本项目报价为</w:t>
      </w:r>
      <w:r>
        <w:rPr>
          <w:rFonts w:hint="eastAsia" w:ascii="Times New Roman" w:hAnsi="Times New Roman" w:eastAsia="宋体" w:cs="宋体"/>
          <w:b/>
          <w:bCs/>
          <w:color w:val="auto"/>
          <w:sz w:val="24"/>
          <w:szCs w:val="24"/>
          <w:highlight w:val="none"/>
        </w:rPr>
        <w:t>固定价格</w:t>
      </w:r>
      <w:r>
        <w:rPr>
          <w:rFonts w:hint="eastAsia" w:ascii="Times New Roman" w:hAnsi="Times New Roman" w:eastAsia="宋体" w:cs="宋体"/>
          <w:color w:val="auto"/>
          <w:sz w:val="24"/>
          <w:szCs w:val="24"/>
          <w:highlight w:val="none"/>
        </w:rPr>
        <w:t>报价，供应商应充分考虑服务实施期间各类市场价格和政策性价格调整因素，确定价格风险计入总报价，今后不作调整。（</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报价应包括完成本项目所需的一切费用，包括但不限于</w:t>
      </w:r>
      <w:r>
        <w:rPr>
          <w:rFonts w:hint="eastAsia" w:ascii="Times New Roman" w:hAnsi="Times New Roman" w:eastAsia="宋体"/>
          <w:bCs/>
          <w:color w:val="auto"/>
          <w:sz w:val="24"/>
          <w:szCs w:val="24"/>
          <w:highlight w:val="none"/>
        </w:rPr>
        <w:t>成本、利润、税金、开办费、政策性调整风险费等的所有费用；</w:t>
      </w:r>
      <w:r>
        <w:rPr>
          <w:rFonts w:hint="eastAsia" w:ascii="Times New Roman" w:hAnsi="Times New Roman" w:eastAsia="宋体" w:cs="宋体"/>
          <w:color w:val="auto"/>
          <w:sz w:val="24"/>
          <w:szCs w:val="24"/>
          <w:highlight w:val="none"/>
        </w:rPr>
        <w:t>辅材费、</w:t>
      </w:r>
      <w:r>
        <w:rPr>
          <w:rFonts w:hint="eastAsia" w:ascii="Times New Roman" w:hAnsi="Times New Roman" w:eastAsia="宋体"/>
          <w:bCs/>
          <w:color w:val="auto"/>
          <w:sz w:val="24"/>
          <w:szCs w:val="24"/>
          <w:highlight w:val="none"/>
        </w:rPr>
        <w:t>人工费、检测费、管理费；国家税务部门规定的各项税金；相关伴随服务以及售后服务等一切费用</w:t>
      </w:r>
      <w:r>
        <w:rPr>
          <w:rFonts w:hint="eastAsia" w:ascii="Times New Roman" w:hAnsi="Times New Roman" w:eastAsia="宋体" w:cs="宋体"/>
          <w:color w:val="auto"/>
          <w:sz w:val="24"/>
          <w:szCs w:val="24"/>
          <w:highlight w:val="none"/>
        </w:rPr>
        <w:t>。同时，报价也应包含合同履行过程中可能发生的一切风险。）</w:t>
      </w:r>
    </w:p>
    <w:p w14:paraId="1176815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供应商应详细阅读竞争性磋商文件的全部内容，根据采购项目需求，准确制定相关工作方案等，必须对本采购项目全部进行报价，如有漏项，视同对本项目的优惠。不按竞争性磋商文件的要求提供响应文件，导致报价无效，作无效标处理。</w:t>
      </w:r>
    </w:p>
    <w:p w14:paraId="2787124A">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w:t>
      </w:r>
      <w:r>
        <w:rPr>
          <w:rFonts w:hint="eastAsia" w:ascii="Times New Roman" w:hAnsi="Times New Roman" w:eastAsia="宋体" w:cs="宋体"/>
          <w:color w:val="auto"/>
          <w:sz w:val="24"/>
          <w:highlight w:val="none"/>
        </w:rPr>
        <w:t>除非在磋商中磋商小组对采购单位需求内容作了调整增加，或对采购内容作了实质性变更，否则</w:t>
      </w:r>
      <w:r>
        <w:rPr>
          <w:rFonts w:hint="eastAsia" w:ascii="Times New Roman" w:hAnsi="Times New Roman" w:eastAsia="宋体" w:cs="宋体"/>
          <w:b/>
          <w:color w:val="auto"/>
          <w:sz w:val="24"/>
          <w:highlight w:val="none"/>
        </w:rPr>
        <w:t>采购单位不接受供应商高于自己前一轮的磋商报价。</w:t>
      </w:r>
    </w:p>
    <w:p w14:paraId="1C2798E4">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7、竞争性磋商的最终报价为成交价。同时，供应商的最终成交价在合同实施期间不因市场变化因素而变动。</w:t>
      </w:r>
    </w:p>
    <w:p w14:paraId="3C2E314F">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w:t>
      </w:r>
      <w:r>
        <w:rPr>
          <w:rFonts w:hint="eastAsia" w:ascii="Times New Roman" w:hAnsi="Times New Roman" w:eastAsia="宋体" w:cs="宋体"/>
          <w:color w:val="auto"/>
          <w:sz w:val="24"/>
          <w:highlight w:val="none"/>
        </w:rPr>
        <w:t>最终报价将作为磋商小组评定成交供应商的依据</w:t>
      </w:r>
      <w:r>
        <w:rPr>
          <w:rFonts w:hint="eastAsia" w:ascii="Times New Roman" w:hAnsi="Times New Roman" w:eastAsia="宋体" w:cs="宋体"/>
          <w:color w:val="auto"/>
          <w:sz w:val="24"/>
          <w:szCs w:val="24"/>
          <w:highlight w:val="none"/>
        </w:rPr>
        <w:t>。</w:t>
      </w:r>
    </w:p>
    <w:p w14:paraId="722C7670">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八、联合体参与磋商</w:t>
      </w:r>
    </w:p>
    <w:p w14:paraId="27D212B7">
      <w:pPr>
        <w:keepNext w:val="0"/>
        <w:keepLines w:val="0"/>
        <w:pageBreakBefore w:val="0"/>
        <w:widowControl w:val="0"/>
        <w:kinsoku/>
        <w:wordWrap/>
        <w:topLinePunct w:val="0"/>
        <w:autoSpaceDE/>
        <w:autoSpaceDN/>
        <w:bidi w:val="0"/>
        <w:spacing w:line="360" w:lineRule="auto"/>
        <w:ind w:firstLine="484" w:firstLineChars="20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不接受任何形式的联合体参与本项目的竞争性磋商。</w:t>
      </w:r>
    </w:p>
    <w:p w14:paraId="35B4653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
          <w:bCs/>
          <w:color w:val="auto"/>
          <w:sz w:val="24"/>
          <w:szCs w:val="24"/>
          <w:highlight w:val="none"/>
        </w:rPr>
        <w:t>九、响应文件及</w:t>
      </w:r>
      <w:r>
        <w:rPr>
          <w:rFonts w:hint="eastAsia" w:ascii="Times New Roman" w:hAnsi="Times New Roman" w:eastAsia="宋体" w:cs="宋体"/>
          <w:b/>
          <w:color w:val="auto"/>
          <w:kern w:val="0"/>
          <w:sz w:val="24"/>
          <w:szCs w:val="24"/>
          <w:highlight w:val="none"/>
        </w:rPr>
        <w:t>磋商</w:t>
      </w:r>
      <w:r>
        <w:rPr>
          <w:rFonts w:hint="eastAsia" w:ascii="Times New Roman" w:hAnsi="Times New Roman" w:eastAsia="宋体" w:cs="宋体"/>
          <w:b/>
          <w:bCs/>
          <w:color w:val="auto"/>
          <w:sz w:val="24"/>
          <w:szCs w:val="24"/>
          <w:highlight w:val="none"/>
        </w:rPr>
        <w:t>费用</w:t>
      </w:r>
    </w:p>
    <w:p w14:paraId="71871DA7">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1、磋商文件每套售价300元，在</w:t>
      </w:r>
      <w:r>
        <w:rPr>
          <w:rFonts w:hint="eastAsia" w:ascii="Times New Roman" w:hAnsi="Times New Roman" w:eastAsia="宋体" w:cs="宋体"/>
          <w:color w:val="auto"/>
          <w:sz w:val="24"/>
          <w:szCs w:val="24"/>
          <w:highlight w:val="none"/>
          <w:lang w:eastAsia="zh-CN"/>
        </w:rPr>
        <w:t>报名</w:t>
      </w:r>
      <w:r>
        <w:rPr>
          <w:rFonts w:hint="eastAsia" w:ascii="Times New Roman" w:hAnsi="Times New Roman" w:eastAsia="宋体" w:cs="宋体"/>
          <w:color w:val="auto"/>
          <w:sz w:val="24"/>
          <w:szCs w:val="24"/>
          <w:highlight w:val="none"/>
        </w:rPr>
        <w:t>的同时提交给</w:t>
      </w:r>
      <w:r>
        <w:rPr>
          <w:rFonts w:hint="eastAsia" w:ascii="Times New Roman" w:hAnsi="Times New Roman" w:eastAsia="宋体" w:cs="宋体"/>
          <w:color w:val="auto"/>
          <w:sz w:val="24"/>
          <w:szCs w:val="24"/>
          <w:highlight w:val="none"/>
          <w:lang w:eastAsia="zh-CN"/>
        </w:rPr>
        <w:t>采购</w:t>
      </w:r>
      <w:r>
        <w:rPr>
          <w:rFonts w:hint="eastAsia" w:ascii="Times New Roman" w:hAnsi="Times New Roman" w:eastAsia="宋体" w:cs="宋体"/>
          <w:color w:val="auto"/>
          <w:sz w:val="24"/>
          <w:szCs w:val="24"/>
          <w:highlight w:val="none"/>
        </w:rPr>
        <w:t>代理机构。</w:t>
      </w:r>
    </w:p>
    <w:p w14:paraId="7E0385F4">
      <w:pPr>
        <w:keepNext w:val="0"/>
        <w:keepLines w:val="0"/>
        <w:pageBreakBefore w:val="0"/>
        <w:widowControl w:val="0"/>
        <w:kinsoku/>
        <w:wordWrap/>
        <w:topLinePunct w:val="0"/>
        <w:autoSpaceDE/>
        <w:autoSpaceDN/>
        <w:bidi w:val="0"/>
        <w:spacing w:line="360" w:lineRule="auto"/>
        <w:ind w:firstLine="460" w:firstLineChars="192"/>
        <w:textAlignment w:val="baseline"/>
        <w:rPr>
          <w:rFonts w:hint="eastAsia" w:ascii="Times New Roman" w:hAnsi="Times New Roman" w:cs="宋体" w:eastAsiaTheme="minorEastAsia"/>
          <w:color w:val="auto"/>
          <w:sz w:val="24"/>
          <w:szCs w:val="24"/>
          <w:highlight w:val="none"/>
          <w:lang w:eastAsia="zh-CN"/>
        </w:rPr>
      </w:pPr>
      <w:r>
        <w:rPr>
          <w:rFonts w:hint="eastAsia" w:ascii="Times New Roman" w:hAnsi="Times New Roman" w:eastAsia="宋体" w:cs="宋体"/>
          <w:color w:val="auto"/>
          <w:sz w:val="24"/>
          <w:szCs w:val="24"/>
          <w:highlight w:val="none"/>
        </w:rPr>
        <w:t>2、本次</w:t>
      </w:r>
      <w:r>
        <w:rPr>
          <w:rFonts w:hint="eastAsia" w:ascii="Times New Roman" w:hAnsi="Times New Roman" w:eastAsia="宋体" w:cs="宋体"/>
          <w:color w:val="auto"/>
          <w:sz w:val="24"/>
          <w:szCs w:val="24"/>
          <w:highlight w:val="none"/>
          <w:lang w:eastAsia="zh-CN"/>
        </w:rPr>
        <w:t>磋商</w:t>
      </w:r>
      <w:r>
        <w:rPr>
          <w:rFonts w:hint="eastAsia" w:ascii="Times New Roman" w:hAnsi="Times New Roman" w:eastAsia="宋体" w:cs="宋体"/>
          <w:color w:val="auto"/>
          <w:sz w:val="24"/>
          <w:szCs w:val="24"/>
          <w:highlight w:val="none"/>
        </w:rPr>
        <w:t>向成交供应商收取代理服务费，按国家发改委颁发的[2011]534号文《国家发改委关于降低部分建设项目收费标准规范收费行为等有关问题的通知》的有关规定执行，具体如下：</w:t>
      </w:r>
      <w:r>
        <w:rPr>
          <w:rFonts w:hint="eastAsia" w:ascii="Times New Roman" w:hAnsi="Times New Roman" w:eastAsia="宋体" w:cs="宋体"/>
          <w:color w:val="auto"/>
          <w:sz w:val="24"/>
          <w:szCs w:val="24"/>
          <w:highlight w:val="none"/>
          <w:lang w:eastAsia="zh-CN"/>
        </w:rPr>
        <w:t>成交</w:t>
      </w:r>
      <w:r>
        <w:rPr>
          <w:rFonts w:hint="eastAsia" w:ascii="Times New Roman" w:hAnsi="Times New Roman" w:eastAsia="宋体" w:cs="宋体"/>
          <w:color w:val="auto"/>
          <w:sz w:val="24"/>
          <w:szCs w:val="24"/>
          <w:highlight w:val="none"/>
        </w:rPr>
        <w:t>服务费按差额定率累进法计算，以成交通知书确定的</w:t>
      </w:r>
      <w:r>
        <w:rPr>
          <w:rFonts w:hint="eastAsia" w:ascii="Times New Roman" w:hAnsi="Times New Roman" w:eastAsia="宋体" w:cs="宋体"/>
          <w:color w:val="auto"/>
          <w:sz w:val="24"/>
          <w:szCs w:val="24"/>
          <w:highlight w:val="none"/>
          <w:lang w:eastAsia="zh-CN"/>
        </w:rPr>
        <w:t>成交</w:t>
      </w:r>
      <w:r>
        <w:rPr>
          <w:rFonts w:hint="eastAsia" w:ascii="Times New Roman" w:hAnsi="Times New Roman" w:eastAsia="宋体" w:cs="宋体"/>
          <w:color w:val="auto"/>
          <w:sz w:val="24"/>
          <w:szCs w:val="24"/>
          <w:highlight w:val="none"/>
        </w:rPr>
        <w:t>金额作为收费的计算依据，按招标收费标准下浮40%计算，不满1500元的，按1500元收取。</w:t>
      </w:r>
      <w:r>
        <w:rPr>
          <w:rFonts w:hint="eastAsia" w:ascii="Times New Roman" w:cs="仿宋"/>
          <w:color w:val="auto"/>
          <w:sz w:val="24"/>
          <w:szCs w:val="24"/>
          <w:highlight w:val="none"/>
        </w:rPr>
        <w:t>评委费按照南通市财政局通财购【2018】18 号文按实</w:t>
      </w:r>
      <w:r>
        <w:rPr>
          <w:rFonts w:hint="eastAsia" w:ascii="Times New Roman" w:cs="仿宋"/>
          <w:color w:val="auto"/>
          <w:sz w:val="24"/>
          <w:szCs w:val="24"/>
          <w:highlight w:val="none"/>
          <w:lang w:eastAsia="zh-CN"/>
        </w:rPr>
        <w:t>计</w:t>
      </w:r>
      <w:r>
        <w:rPr>
          <w:rFonts w:hint="eastAsia" w:ascii="Times New Roman" w:cs="仿宋"/>
          <w:color w:val="auto"/>
          <w:sz w:val="24"/>
          <w:szCs w:val="24"/>
          <w:highlight w:val="none"/>
        </w:rPr>
        <w:t>取</w:t>
      </w:r>
      <w:r>
        <w:rPr>
          <w:rFonts w:hint="eastAsia" w:ascii="Times New Roman" w:cs="仿宋"/>
          <w:color w:val="auto"/>
          <w:sz w:val="24"/>
          <w:szCs w:val="24"/>
          <w:highlight w:val="none"/>
          <w:lang w:eastAsia="zh-CN"/>
        </w:rPr>
        <w:t>。</w:t>
      </w:r>
    </w:p>
    <w:p w14:paraId="74E7B100">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3、磋商程序顺利进行后，除供应商的原件可退回外，其余所有的响应文件都将作为档案保存，不论成交与否，代理机构均不退回。</w:t>
      </w:r>
    </w:p>
    <w:p w14:paraId="58CC8B51">
      <w:pPr>
        <w:keepNext w:val="0"/>
        <w:keepLines w:val="0"/>
        <w:pageBreakBefore w:val="0"/>
        <w:widowControl w:val="0"/>
        <w:kinsoku/>
        <w:wordWrap/>
        <w:topLinePunct w:val="0"/>
        <w:autoSpaceDE/>
        <w:autoSpaceDN/>
        <w:bidi w:val="0"/>
        <w:spacing w:line="360" w:lineRule="auto"/>
        <w:ind w:firstLine="460" w:firstLineChars="192"/>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4、无论磋商过程和结果如何，参加项目磋商的供应商自行承担与本次项目磋商有关的全部费用。</w:t>
      </w:r>
    </w:p>
    <w:p w14:paraId="29D58D17">
      <w:pPr>
        <w:keepNext w:val="0"/>
        <w:keepLines w:val="0"/>
        <w:pageBreakBefore w:val="0"/>
        <w:widowControl w:val="0"/>
        <w:kinsoku/>
        <w:wordWrap/>
        <w:topLinePunct w:val="0"/>
        <w:autoSpaceDE/>
        <w:autoSpaceDN/>
        <w:bidi w:val="0"/>
        <w:spacing w:line="360" w:lineRule="auto"/>
        <w:ind w:firstLine="496" w:firstLineChars="206"/>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color w:val="auto"/>
          <w:sz w:val="24"/>
          <w:szCs w:val="24"/>
          <w:highlight w:val="none"/>
        </w:rPr>
        <w:t>十、</w:t>
      </w:r>
      <w:r>
        <w:rPr>
          <w:rFonts w:hint="eastAsia" w:ascii="Times New Roman" w:hAnsi="Times New Roman" w:eastAsia="宋体" w:cs="宋体"/>
          <w:b/>
          <w:bCs/>
          <w:color w:val="auto"/>
          <w:sz w:val="24"/>
          <w:szCs w:val="24"/>
          <w:highlight w:val="none"/>
        </w:rPr>
        <w:t>磋商响应文件的有效期</w:t>
      </w:r>
    </w:p>
    <w:p w14:paraId="31E380B5">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1、从磋商响应文件接收截止之日算起，45个</w:t>
      </w:r>
      <w:r>
        <w:rPr>
          <w:rFonts w:hint="eastAsia" w:ascii="Times New Roman" w:hAnsi="Times New Roman" w:eastAsia="宋体" w:cs="宋体"/>
          <w:bCs/>
          <w:color w:val="auto"/>
          <w:sz w:val="24"/>
          <w:szCs w:val="24"/>
          <w:highlight w:val="none"/>
          <w:lang w:eastAsia="zh-CN"/>
        </w:rPr>
        <w:t>“</w:t>
      </w:r>
      <w:r>
        <w:rPr>
          <w:rFonts w:hint="eastAsia" w:ascii="Times New Roman" w:hAnsi="Times New Roman" w:eastAsia="宋体" w:cs="宋体"/>
          <w:bCs/>
          <w:color w:val="auto"/>
          <w:sz w:val="24"/>
          <w:szCs w:val="24"/>
          <w:highlight w:val="none"/>
        </w:rPr>
        <w:t>日历天</w:t>
      </w:r>
      <w:r>
        <w:rPr>
          <w:rFonts w:hint="eastAsia" w:ascii="Times New Roman" w:hAnsi="Times New Roman" w:eastAsia="宋体" w:cs="宋体"/>
          <w:bCs/>
          <w:color w:val="auto"/>
          <w:sz w:val="24"/>
          <w:szCs w:val="24"/>
          <w:highlight w:val="none"/>
          <w:lang w:eastAsia="zh-CN"/>
        </w:rPr>
        <w:t>”</w:t>
      </w:r>
      <w:r>
        <w:rPr>
          <w:rFonts w:hint="eastAsia" w:ascii="Times New Roman" w:hAnsi="Times New Roman" w:eastAsia="宋体" w:cs="宋体"/>
          <w:bCs/>
          <w:color w:val="auto"/>
          <w:sz w:val="24"/>
          <w:szCs w:val="24"/>
          <w:highlight w:val="none"/>
        </w:rPr>
        <w:t>内响应文件应保持有效。有效期短于这个规定期限的磋商，将被拒绝。</w:t>
      </w:r>
    </w:p>
    <w:p w14:paraId="060FA8E0">
      <w:pPr>
        <w:keepNext w:val="0"/>
        <w:keepLines w:val="0"/>
        <w:pageBreakBefore w:val="0"/>
        <w:widowControl w:val="0"/>
        <w:kinsoku/>
        <w:wordWrap/>
        <w:topLinePunct w:val="0"/>
        <w:autoSpaceDE/>
        <w:autoSpaceDN/>
        <w:bidi w:val="0"/>
        <w:spacing w:line="360" w:lineRule="auto"/>
        <w:ind w:firstLine="494" w:firstLineChars="206"/>
        <w:textAlignment w:val="baseline"/>
        <w:rPr>
          <w:rFonts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rPr>
        <w:t>2、在特殊情况下，采购代理机构可与响应供应商协商延长响应文件的有效期。这种要求和答复都应以书面的形式进行。同意延长有效期的磋商响应供应商不能修改磋商响应文件，按本竞争性磋商文件规定的磋商保证金的有效期也相应延长。拒绝接受延期要求的磋商响应供应商的响应文件书将被拒绝，但磋商保证金可退还。</w:t>
      </w:r>
    </w:p>
    <w:p w14:paraId="070D48B5">
      <w:pPr>
        <w:keepNext w:val="0"/>
        <w:keepLines w:val="0"/>
        <w:pageBreakBefore w:val="0"/>
        <w:widowControl w:val="0"/>
        <w:kinsoku/>
        <w:wordWrap/>
        <w:topLinePunct w:val="0"/>
        <w:autoSpaceDE/>
        <w:autoSpaceDN/>
        <w:bidi w:val="0"/>
        <w:spacing w:line="360" w:lineRule="auto"/>
        <w:ind w:firstLine="482" w:firstLineChars="200"/>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十一、未尽事宜</w:t>
      </w:r>
    </w:p>
    <w:p w14:paraId="5E2AD763">
      <w:pPr>
        <w:wordWrap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按《中华人民共和国政府采购法》及《政府采购竞争性磋商采购方式管理暂行办法》与其他有关法律法规的规定执行。</w:t>
      </w:r>
    </w:p>
    <w:p w14:paraId="4DF9C9B8">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color w:val="auto"/>
          <w:w w:val="80"/>
          <w:kern w:val="44"/>
          <w:sz w:val="48"/>
          <w:szCs w:val="44"/>
          <w:highlight w:val="none"/>
        </w:rPr>
      </w:pPr>
      <w:r>
        <w:rPr>
          <w:rFonts w:ascii="Times New Roman" w:hAnsi="Times New Roman" w:eastAsia="宋体" w:cs="宋体"/>
          <w:color w:val="auto"/>
          <w:w w:val="80"/>
          <w:sz w:val="48"/>
          <w:szCs w:val="44"/>
          <w:highlight w:val="none"/>
        </w:rPr>
        <w:br w:type="page"/>
      </w:r>
    </w:p>
    <w:p w14:paraId="49FAFCA5">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第三章 项目需求</w:t>
      </w:r>
    </w:p>
    <w:p w14:paraId="147EAA26">
      <w:pPr>
        <w:wordWrap w:val="0"/>
        <w:spacing w:line="360" w:lineRule="auto"/>
        <w:ind w:firstLine="480" w:firstLineChars="200"/>
        <w:rPr>
          <w:rFonts w:hint="eastAsia" w:ascii="宋体" w:hAnsi="宋体" w:cs="宋体"/>
          <w:b w:val="0"/>
          <w:bCs w:val="0"/>
          <w:color w:val="auto"/>
          <w:sz w:val="24"/>
          <w:highlight w:val="none"/>
          <w:lang w:val="zh-CN"/>
        </w:rPr>
      </w:pPr>
      <w:r>
        <w:rPr>
          <w:rFonts w:hint="eastAsia" w:ascii="宋体" w:hAnsi="宋体" w:cs="宋体"/>
          <w:b w:val="0"/>
          <w:bCs w:val="0"/>
          <w:color w:val="auto"/>
          <w:sz w:val="24"/>
          <w:highlight w:val="none"/>
          <w:lang w:val="zh-CN" w:eastAsia="zh-CN"/>
        </w:rPr>
        <w:t>响应</w:t>
      </w:r>
      <w:r>
        <w:rPr>
          <w:rFonts w:hint="eastAsia" w:ascii="宋体" w:hAnsi="宋体" w:cs="宋体"/>
          <w:b w:val="0"/>
          <w:bCs w:val="0"/>
          <w:color w:val="auto"/>
          <w:sz w:val="24"/>
          <w:highlight w:val="none"/>
          <w:lang w:val="zh-CN"/>
        </w:rPr>
        <w:t>人在制作</w:t>
      </w:r>
      <w:r>
        <w:rPr>
          <w:rFonts w:hint="eastAsia" w:ascii="宋体" w:hAnsi="宋体" w:cs="宋体"/>
          <w:b w:val="0"/>
          <w:bCs w:val="0"/>
          <w:color w:val="auto"/>
          <w:sz w:val="24"/>
          <w:highlight w:val="none"/>
          <w:lang w:val="zh-CN" w:eastAsia="zh-CN"/>
        </w:rPr>
        <w:t>响应</w:t>
      </w:r>
      <w:r>
        <w:rPr>
          <w:rFonts w:hint="eastAsia" w:ascii="宋体" w:hAnsi="宋体" w:cs="宋体"/>
          <w:b w:val="0"/>
          <w:bCs w:val="0"/>
          <w:color w:val="auto"/>
          <w:sz w:val="24"/>
          <w:highlight w:val="none"/>
          <w:lang w:val="zh-CN"/>
        </w:rPr>
        <w:t>文件时仔细研究项目需求说明。项目需求包括技术要求和商务要求:技术要求是指对采购标的功能和质量要求，包括性能、材料、结构、外观、安全，或者服务内容和标准等</w:t>
      </w:r>
      <w:r>
        <w:rPr>
          <w:rFonts w:hint="eastAsia" w:ascii="宋体" w:hAnsi="宋体" w:cs="宋体"/>
          <w:b w:val="0"/>
          <w:bCs w:val="0"/>
          <w:color w:val="auto"/>
          <w:sz w:val="24"/>
          <w:highlight w:val="none"/>
          <w:lang w:val="zh-CN" w:eastAsia="zh-CN"/>
        </w:rPr>
        <w:t>；</w:t>
      </w:r>
      <w:r>
        <w:rPr>
          <w:rFonts w:hint="eastAsia" w:ascii="宋体" w:hAnsi="宋体" w:cs="宋体"/>
          <w:b w:val="0"/>
          <w:bCs w:val="0"/>
          <w:color w:val="auto"/>
          <w:sz w:val="24"/>
          <w:highlight w:val="none"/>
          <w:lang w:val="zh-CN"/>
        </w:rPr>
        <w:t>商务要求是指取得采购标的的时间、地点、财务和服务要求，包括交付（实施）的时间（期限）和地点（范围），付款条件（进度和方法）</w:t>
      </w:r>
      <w:r>
        <w:rPr>
          <w:rFonts w:hint="eastAsia" w:ascii="宋体" w:hAnsi="宋体" w:cs="宋体"/>
          <w:b w:val="0"/>
          <w:bCs w:val="0"/>
          <w:color w:val="auto"/>
          <w:sz w:val="24"/>
          <w:highlight w:val="none"/>
          <w:lang w:val="zh-CN" w:eastAsia="zh-CN"/>
        </w:rPr>
        <w:t>，</w:t>
      </w:r>
      <w:r>
        <w:rPr>
          <w:rFonts w:hint="eastAsia" w:ascii="宋体" w:hAnsi="宋体" w:cs="宋体"/>
          <w:b w:val="0"/>
          <w:bCs w:val="0"/>
          <w:color w:val="auto"/>
          <w:sz w:val="24"/>
          <w:highlight w:val="none"/>
          <w:lang w:val="zh-CN"/>
        </w:rPr>
        <w:t>包装和运输，售后服务，保险等。</w:t>
      </w:r>
    </w:p>
    <w:p w14:paraId="3776870F">
      <w:pPr>
        <w:wordWrap w:val="0"/>
        <w:spacing w:line="360" w:lineRule="auto"/>
        <w:ind w:firstLine="480" w:firstLineChars="200"/>
        <w:rPr>
          <w:rFonts w:hint="eastAsia" w:ascii="宋体" w:hAnsi="宋体" w:cs="宋体"/>
          <w:b/>
          <w:bCs/>
          <w:color w:val="auto"/>
          <w:sz w:val="24"/>
          <w:highlight w:val="none"/>
          <w:lang w:val="zh-CN"/>
        </w:rPr>
      </w:pPr>
      <w:r>
        <w:rPr>
          <w:rFonts w:hint="eastAsia" w:ascii="宋体" w:hAnsi="宋体" w:cs="宋体"/>
          <w:b w:val="0"/>
          <w:bCs w:val="0"/>
          <w:color w:val="auto"/>
          <w:sz w:val="24"/>
          <w:highlight w:val="none"/>
          <w:lang w:val="zh-CN" w:eastAsia="zh-CN"/>
        </w:rPr>
        <w:t>响应</w:t>
      </w:r>
      <w:r>
        <w:rPr>
          <w:rFonts w:hint="eastAsia" w:ascii="宋体" w:hAnsi="宋体" w:cs="宋体"/>
          <w:b w:val="0"/>
          <w:bCs w:val="0"/>
          <w:color w:val="auto"/>
          <w:sz w:val="24"/>
          <w:highlight w:val="none"/>
          <w:lang w:val="zh-CN"/>
        </w:rPr>
        <w:t>人不能简单照搬照抄</w:t>
      </w:r>
      <w:r>
        <w:rPr>
          <w:rFonts w:hint="eastAsia" w:ascii="宋体" w:hAnsi="宋体" w:cs="宋体"/>
          <w:b w:val="0"/>
          <w:bCs w:val="0"/>
          <w:color w:val="auto"/>
          <w:sz w:val="24"/>
          <w:highlight w:val="none"/>
          <w:lang w:val="zh-CN" w:eastAsia="zh-CN"/>
        </w:rPr>
        <w:t>采购</w:t>
      </w:r>
      <w:r>
        <w:rPr>
          <w:rFonts w:hint="eastAsia" w:ascii="宋体" w:hAnsi="宋体" w:cs="宋体"/>
          <w:b w:val="0"/>
          <w:bCs w:val="0"/>
          <w:color w:val="auto"/>
          <w:sz w:val="24"/>
          <w:highlight w:val="none"/>
          <w:lang w:val="zh-CN"/>
        </w:rPr>
        <w:t>文件项目需求说明中的技术、商务要求，必须作实事求是的响应。如</w:t>
      </w:r>
      <w:r>
        <w:rPr>
          <w:rFonts w:hint="eastAsia" w:ascii="宋体" w:hAnsi="宋体" w:cs="宋体"/>
          <w:b w:val="0"/>
          <w:bCs w:val="0"/>
          <w:color w:val="auto"/>
          <w:sz w:val="24"/>
          <w:highlight w:val="none"/>
          <w:lang w:val="zh-CN" w:eastAsia="zh-CN"/>
        </w:rPr>
        <w:t>响应</w:t>
      </w:r>
      <w:r>
        <w:rPr>
          <w:rFonts w:hint="eastAsia" w:ascii="宋体" w:hAnsi="宋体" w:cs="宋体"/>
          <w:b w:val="0"/>
          <w:bCs w:val="0"/>
          <w:color w:val="auto"/>
          <w:sz w:val="24"/>
          <w:highlight w:val="none"/>
          <w:lang w:val="zh-CN"/>
        </w:rPr>
        <w:t>人提供的货物和服务同采购人提出的项目需求说明中的技术、商务要求不同的，必须在《商务部分正负偏离表》和《技术部分正负偏离表》上明示。</w:t>
      </w:r>
    </w:p>
    <w:p w14:paraId="71990A97">
      <w:pPr>
        <w:pageBreakBefore w:val="0"/>
        <w:kinsoku/>
        <w:wordWrap/>
        <w:overflowPunct/>
        <w:topLinePunct w:val="0"/>
        <w:bidi w:val="0"/>
        <w:spacing w:line="360" w:lineRule="auto"/>
        <w:ind w:firstLine="480"/>
        <w:contextualSpacing/>
        <w:textAlignment w:val="auto"/>
        <w:rPr>
          <w:rFonts w:hint="eastAsia"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eastAsia="zh-CN"/>
        </w:rPr>
        <w:t>一、</w:t>
      </w:r>
      <w:r>
        <w:rPr>
          <w:rFonts w:hint="eastAsia" w:ascii="Times New Roman" w:hAnsi="Times New Roman" w:eastAsia="宋体" w:cs="Times New Roman"/>
          <w:b/>
          <w:bCs/>
          <w:color w:val="auto"/>
          <w:sz w:val="24"/>
          <w:szCs w:val="24"/>
          <w:highlight w:val="none"/>
        </w:rPr>
        <w:t>有关要求说明</w:t>
      </w:r>
    </w:p>
    <w:p w14:paraId="6D8473A5">
      <w:pPr>
        <w:pageBreakBefore w:val="0"/>
        <w:kinsoku/>
        <w:wordWrap/>
        <w:overflowPunct/>
        <w:topLinePunct w:val="0"/>
        <w:bidi w:val="0"/>
        <w:spacing w:line="360" w:lineRule="auto"/>
        <w:ind w:firstLine="482"/>
        <w:textAlignment w:val="auto"/>
        <w:rPr>
          <w:rFonts w:ascii="Times New Roman" w:hAnsi="Times New Roman" w:eastAsia="宋体"/>
          <w:b/>
          <w:color w:val="auto"/>
          <w:sz w:val="24"/>
          <w:szCs w:val="24"/>
          <w:highlight w:val="none"/>
          <w:lang w:val="zh-CN"/>
        </w:rPr>
      </w:pPr>
      <w:r>
        <w:rPr>
          <w:rFonts w:hint="eastAsia" w:ascii="Times New Roman" w:hAnsi="Times New Roman" w:eastAsia="宋体"/>
          <w:b/>
          <w:color w:val="auto"/>
          <w:sz w:val="24"/>
          <w:szCs w:val="24"/>
          <w:highlight w:val="none"/>
        </w:rPr>
        <w:t>1</w:t>
      </w:r>
      <w:r>
        <w:rPr>
          <w:rFonts w:ascii="Times New Roman" w:hAnsi="Times New Roman" w:eastAsia="宋体"/>
          <w:b/>
          <w:color w:val="auto"/>
          <w:sz w:val="24"/>
          <w:szCs w:val="24"/>
          <w:highlight w:val="none"/>
          <w:lang w:val="zh-CN"/>
        </w:rPr>
        <w:t>、主要技术参数：</w:t>
      </w:r>
    </w:p>
    <w:p w14:paraId="7E6811B7">
      <w:pPr>
        <w:pageBreakBefore w:val="0"/>
        <w:kinsoku/>
        <w:wordWrap/>
        <w:overflowPunct/>
        <w:topLinePunct w:val="0"/>
        <w:bidi w:val="0"/>
        <w:spacing w:line="360" w:lineRule="auto"/>
        <w:ind w:firstLine="480"/>
        <w:textAlignment w:val="auto"/>
        <w:rPr>
          <w:rFonts w:ascii="Times New Roman" w:hAnsi="Times New Roman" w:eastAsia="宋体"/>
          <w:b/>
          <w:color w:val="auto"/>
          <w:sz w:val="24"/>
          <w:szCs w:val="24"/>
          <w:highlight w:val="none"/>
          <w:lang w:val="zh-CN"/>
        </w:rPr>
      </w:pPr>
      <w:r>
        <w:rPr>
          <w:rFonts w:ascii="Times New Roman" w:hAnsi="Times New Roman" w:eastAsia="宋体"/>
          <w:color w:val="auto"/>
          <w:sz w:val="24"/>
          <w:szCs w:val="24"/>
          <w:highlight w:val="none"/>
          <w:lang w:val="zh-CN"/>
        </w:rPr>
        <w:t>为</w:t>
      </w:r>
      <w:r>
        <w:rPr>
          <w:rFonts w:ascii="Times New Roman" w:hAnsi="Times New Roman" w:eastAsia="宋体"/>
          <w:color w:val="auto"/>
          <w:sz w:val="24"/>
          <w:szCs w:val="24"/>
          <w:highlight w:val="none"/>
        </w:rPr>
        <w:t>鼓励</w:t>
      </w:r>
      <w:r>
        <w:rPr>
          <w:rFonts w:ascii="Times New Roman" w:hAnsi="Times New Roman" w:eastAsia="宋体"/>
          <w:color w:val="auto"/>
          <w:sz w:val="24"/>
          <w:szCs w:val="24"/>
          <w:highlight w:val="none"/>
          <w:lang w:val="zh-CN"/>
        </w:rPr>
        <w:t>不同品牌的充分竞争，如某主要技术参数属于个别品牌专有，则该主要技术参数不具有限制性，供应商可对该参数进行适当调整，并说明调整的理由。</w:t>
      </w:r>
    </w:p>
    <w:p w14:paraId="1E19F7D1">
      <w:pPr>
        <w:pageBreakBefore w:val="0"/>
        <w:kinsoku/>
        <w:wordWrap/>
        <w:overflowPunct/>
        <w:topLinePunct w:val="0"/>
        <w:bidi w:val="0"/>
        <w:spacing w:line="360" w:lineRule="auto"/>
        <w:ind w:firstLine="482"/>
        <w:textAlignment w:val="auto"/>
        <w:rPr>
          <w:rFonts w:ascii="Times New Roman" w:hAnsi="Times New Roman" w:eastAsia="宋体"/>
          <w:b/>
          <w:color w:val="auto"/>
          <w:sz w:val="24"/>
          <w:szCs w:val="24"/>
          <w:highlight w:val="none"/>
          <w:lang w:val="zh-CN"/>
        </w:rPr>
      </w:pPr>
      <w:r>
        <w:rPr>
          <w:rFonts w:hint="eastAsia" w:ascii="Times New Roman" w:hAnsi="Times New Roman" w:eastAsia="宋体"/>
          <w:b/>
          <w:color w:val="auto"/>
          <w:sz w:val="24"/>
          <w:szCs w:val="24"/>
          <w:highlight w:val="none"/>
          <w:lang w:val="en-US" w:eastAsia="zh-CN"/>
        </w:rPr>
        <w:t>2</w:t>
      </w:r>
      <w:r>
        <w:rPr>
          <w:rFonts w:ascii="Times New Roman" w:hAnsi="Times New Roman" w:eastAsia="宋体"/>
          <w:b/>
          <w:color w:val="auto"/>
          <w:sz w:val="24"/>
          <w:szCs w:val="24"/>
          <w:highlight w:val="none"/>
        </w:rPr>
        <w:t>、</w:t>
      </w:r>
      <w:r>
        <w:rPr>
          <w:rFonts w:ascii="Times New Roman" w:hAnsi="Times New Roman" w:eastAsia="宋体"/>
          <w:b/>
          <w:color w:val="auto"/>
          <w:sz w:val="24"/>
          <w:szCs w:val="24"/>
          <w:highlight w:val="none"/>
          <w:lang w:val="zh-CN"/>
        </w:rPr>
        <w:t>产品要求：</w:t>
      </w:r>
    </w:p>
    <w:p w14:paraId="4E5C1E5B">
      <w:pPr>
        <w:pageBreakBefore w:val="0"/>
        <w:kinsoku/>
        <w:wordWrap/>
        <w:overflowPunct/>
        <w:topLinePunct w:val="0"/>
        <w:bidi w:val="0"/>
        <w:spacing w:line="360" w:lineRule="auto"/>
        <w:ind w:firstLine="480"/>
        <w:textAlignment w:val="auto"/>
        <w:rPr>
          <w:rFonts w:hint="eastAsia" w:ascii="Times New Roman" w:hAnsi="Times New Roman" w:eastAsia="宋体" w:cs="宋体"/>
          <w:b/>
          <w:color w:val="auto"/>
          <w:sz w:val="24"/>
          <w:szCs w:val="24"/>
          <w:highlight w:val="none"/>
          <w:lang w:eastAsia="zh-CN"/>
        </w:rPr>
      </w:pPr>
      <w:r>
        <w:rPr>
          <w:rFonts w:ascii="Times New Roman" w:hAnsi="Times New Roman" w:eastAsia="宋体"/>
          <w:color w:val="auto"/>
          <w:sz w:val="24"/>
          <w:szCs w:val="24"/>
          <w:highlight w:val="none"/>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14:paraId="77ECC65A">
      <w:pPr>
        <w:keepNext w:val="0"/>
        <w:keepLines w:val="0"/>
        <w:pageBreakBefore w:val="0"/>
        <w:widowControl w:val="0"/>
        <w:numPr>
          <w:ilvl w:val="0"/>
          <w:numId w:val="1"/>
        </w:numPr>
        <w:kinsoku/>
        <w:wordWrap/>
        <w:topLinePunct w:val="0"/>
        <w:autoSpaceDE/>
        <w:autoSpaceDN/>
        <w:bidi w:val="0"/>
        <w:spacing w:line="360" w:lineRule="auto"/>
        <w:ind w:firstLine="482" w:firstLineChars="200"/>
        <w:rPr>
          <w:rFonts w:hint="eastAsia"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rPr>
        <w:t>项目需求内容</w:t>
      </w:r>
    </w:p>
    <w:p w14:paraId="352C3E39">
      <w:pPr>
        <w:keepNext w:val="0"/>
        <w:keepLines w:val="0"/>
        <w:pageBreakBefore w:val="0"/>
        <w:widowControl w:val="0"/>
        <w:numPr>
          <w:ilvl w:val="0"/>
          <w:numId w:val="0"/>
        </w:numPr>
        <w:kinsoku/>
        <w:wordWrap/>
        <w:topLinePunct w:val="0"/>
        <w:autoSpaceDE/>
        <w:autoSpaceDN/>
        <w:bidi w:val="0"/>
        <w:spacing w:line="360" w:lineRule="auto"/>
        <w:rPr>
          <w:rFonts w:hint="default" w:ascii="Times New Roman" w:hAnsi="Times New Roman" w:eastAsia="宋体" w:cs="宋体"/>
          <w:b/>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 xml:space="preserve">    1、项目需求清单</w:t>
      </w:r>
    </w:p>
    <w:tbl>
      <w:tblPr>
        <w:tblStyle w:val="25"/>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819"/>
        <w:gridCol w:w="858"/>
        <w:gridCol w:w="1928"/>
        <w:gridCol w:w="25"/>
        <w:gridCol w:w="517"/>
        <w:gridCol w:w="845"/>
        <w:gridCol w:w="20"/>
        <w:gridCol w:w="3484"/>
      </w:tblGrid>
      <w:tr w14:paraId="2B4AF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7" w:type="dxa"/>
            <w:noWrap w:val="0"/>
            <w:vAlign w:val="center"/>
          </w:tcPr>
          <w:p w14:paraId="2739F4B5">
            <w:pPr>
              <w:spacing w:line="440" w:lineRule="exact"/>
              <w:ind w:left="991" w:hanging="989"/>
              <w:jc w:val="center"/>
              <w:rPr>
                <w:rFonts w:ascii="Arial" w:hAnsi="Arial" w:cs="Arial"/>
                <w:color w:val="auto"/>
                <w:sz w:val="24"/>
                <w:highlight w:val="none"/>
              </w:rPr>
            </w:pPr>
            <w:r>
              <w:rPr>
                <w:rFonts w:ascii="Arial" w:hAnsi="宋体" w:cs="Arial"/>
                <w:color w:val="auto"/>
                <w:sz w:val="24"/>
                <w:highlight w:val="none"/>
              </w:rPr>
              <w:t>序号</w:t>
            </w:r>
          </w:p>
        </w:tc>
        <w:tc>
          <w:tcPr>
            <w:tcW w:w="1677" w:type="dxa"/>
            <w:gridSpan w:val="2"/>
            <w:noWrap w:val="0"/>
            <w:vAlign w:val="center"/>
          </w:tcPr>
          <w:p w14:paraId="2AF55AAE">
            <w:pPr>
              <w:spacing w:line="440" w:lineRule="exact"/>
              <w:ind w:left="991" w:hanging="989"/>
              <w:jc w:val="center"/>
              <w:rPr>
                <w:rFonts w:ascii="Arial" w:hAnsi="Arial" w:cs="Arial"/>
                <w:color w:val="auto"/>
                <w:sz w:val="24"/>
                <w:highlight w:val="none"/>
              </w:rPr>
            </w:pPr>
            <w:r>
              <w:rPr>
                <w:rFonts w:ascii="Arial" w:hAnsi="宋体" w:cs="Arial"/>
                <w:color w:val="auto"/>
                <w:sz w:val="24"/>
                <w:highlight w:val="none"/>
              </w:rPr>
              <w:t>产品名称</w:t>
            </w:r>
          </w:p>
        </w:tc>
        <w:tc>
          <w:tcPr>
            <w:tcW w:w="2470" w:type="dxa"/>
            <w:gridSpan w:val="3"/>
            <w:noWrap w:val="0"/>
            <w:vAlign w:val="center"/>
          </w:tcPr>
          <w:p w14:paraId="020DE172">
            <w:pPr>
              <w:spacing w:line="440" w:lineRule="exact"/>
              <w:ind w:left="991" w:hanging="989"/>
              <w:jc w:val="center"/>
              <w:rPr>
                <w:rFonts w:ascii="Arial" w:hAnsi="Arial" w:cs="Arial"/>
                <w:color w:val="auto"/>
                <w:sz w:val="24"/>
                <w:highlight w:val="none"/>
              </w:rPr>
            </w:pPr>
            <w:r>
              <w:rPr>
                <w:rFonts w:ascii="Arial" w:hAnsi="宋体" w:cs="Arial"/>
                <w:color w:val="auto"/>
                <w:sz w:val="24"/>
                <w:highlight w:val="none"/>
              </w:rPr>
              <w:t>型号规格</w:t>
            </w:r>
          </w:p>
        </w:tc>
        <w:tc>
          <w:tcPr>
            <w:tcW w:w="845" w:type="dxa"/>
            <w:noWrap w:val="0"/>
            <w:vAlign w:val="center"/>
          </w:tcPr>
          <w:p w14:paraId="6FDBF92C">
            <w:pPr>
              <w:spacing w:line="440" w:lineRule="exact"/>
              <w:ind w:left="991" w:hanging="989"/>
              <w:jc w:val="center"/>
              <w:rPr>
                <w:rFonts w:ascii="Arial" w:hAnsi="Arial" w:cs="Arial"/>
                <w:color w:val="auto"/>
                <w:sz w:val="24"/>
                <w:highlight w:val="none"/>
              </w:rPr>
            </w:pPr>
            <w:r>
              <w:rPr>
                <w:rFonts w:ascii="Arial" w:hAnsi="宋体" w:cs="Arial"/>
                <w:color w:val="auto"/>
                <w:sz w:val="24"/>
                <w:highlight w:val="none"/>
              </w:rPr>
              <w:t>数量</w:t>
            </w:r>
          </w:p>
        </w:tc>
        <w:tc>
          <w:tcPr>
            <w:tcW w:w="3504" w:type="dxa"/>
            <w:gridSpan w:val="2"/>
            <w:noWrap w:val="0"/>
            <w:vAlign w:val="center"/>
          </w:tcPr>
          <w:p w14:paraId="4515E3EB">
            <w:pPr>
              <w:spacing w:line="320" w:lineRule="exact"/>
              <w:jc w:val="center"/>
              <w:rPr>
                <w:rFonts w:hint="eastAsia" w:ascii="Arial" w:hAnsi="Arial" w:eastAsia="宋体" w:cs="Arial"/>
                <w:color w:val="auto"/>
                <w:sz w:val="24"/>
                <w:highlight w:val="none"/>
                <w:lang w:eastAsia="zh-CN"/>
              </w:rPr>
            </w:pPr>
            <w:r>
              <w:rPr>
                <w:rFonts w:hint="eastAsia" w:ascii="Arial" w:hAnsi="Arial" w:cs="Arial"/>
                <w:color w:val="auto"/>
                <w:sz w:val="24"/>
                <w:highlight w:val="none"/>
                <w:lang w:eastAsia="zh-CN"/>
              </w:rPr>
              <w:t>备注</w:t>
            </w:r>
          </w:p>
        </w:tc>
      </w:tr>
      <w:tr w14:paraId="5832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7" w:type="dxa"/>
            <w:noWrap w:val="0"/>
            <w:vAlign w:val="center"/>
          </w:tcPr>
          <w:p w14:paraId="63258D61">
            <w:pPr>
              <w:ind w:left="991" w:hanging="989"/>
              <w:jc w:val="center"/>
              <w:rPr>
                <w:rFonts w:hint="eastAsia" w:ascii="Arial" w:hAnsi="Arial" w:cs="Arial"/>
                <w:color w:val="auto"/>
                <w:sz w:val="24"/>
                <w:highlight w:val="none"/>
              </w:rPr>
            </w:pPr>
            <w:r>
              <w:rPr>
                <w:rFonts w:hint="eastAsia" w:ascii="Arial" w:hAnsi="Arial" w:cs="Arial"/>
                <w:color w:val="auto"/>
                <w:sz w:val="24"/>
                <w:highlight w:val="none"/>
              </w:rPr>
              <w:t>1</w:t>
            </w:r>
          </w:p>
        </w:tc>
        <w:tc>
          <w:tcPr>
            <w:tcW w:w="1677" w:type="dxa"/>
            <w:gridSpan w:val="2"/>
            <w:noWrap w:val="0"/>
            <w:vAlign w:val="center"/>
          </w:tcPr>
          <w:p w14:paraId="303452C4">
            <w:pPr>
              <w:jc w:val="center"/>
              <w:rPr>
                <w:rFonts w:hint="eastAsia" w:ascii="Arial" w:hAnsi="Arial" w:cs="Arial"/>
                <w:color w:val="auto"/>
                <w:sz w:val="24"/>
                <w:highlight w:val="none"/>
              </w:rPr>
            </w:pPr>
            <w:r>
              <w:rPr>
                <w:rFonts w:hint="eastAsia" w:ascii="Arial" w:hAnsi="Arial" w:cs="Arial"/>
                <w:color w:val="auto"/>
                <w:sz w:val="24"/>
                <w:highlight w:val="none"/>
              </w:rPr>
              <w:t>板式换热机组</w:t>
            </w:r>
          </w:p>
        </w:tc>
        <w:tc>
          <w:tcPr>
            <w:tcW w:w="2470" w:type="dxa"/>
            <w:gridSpan w:val="3"/>
            <w:noWrap w:val="0"/>
            <w:vAlign w:val="center"/>
          </w:tcPr>
          <w:p w14:paraId="6E77DB12">
            <w:pPr>
              <w:rPr>
                <w:rFonts w:hint="eastAsia" w:ascii="Arial" w:hAnsi="Arial" w:cs="Arial"/>
                <w:color w:val="auto"/>
                <w:sz w:val="24"/>
                <w:highlight w:val="none"/>
              </w:rPr>
            </w:pPr>
            <w:r>
              <w:rPr>
                <w:rFonts w:hint="eastAsia" w:ascii="Arial" w:hAnsi="Arial" w:cs="Arial"/>
                <w:color w:val="auto"/>
                <w:sz w:val="24"/>
                <w:highlight w:val="none"/>
              </w:rPr>
              <w:t>304L//750KW</w:t>
            </w:r>
          </w:p>
        </w:tc>
        <w:tc>
          <w:tcPr>
            <w:tcW w:w="845" w:type="dxa"/>
            <w:noWrap w:val="0"/>
            <w:vAlign w:val="center"/>
          </w:tcPr>
          <w:p w14:paraId="717978B1">
            <w:pPr>
              <w:spacing w:line="440" w:lineRule="exact"/>
              <w:ind w:left="991" w:hanging="989"/>
              <w:jc w:val="center"/>
              <w:rPr>
                <w:rFonts w:hint="eastAsia" w:ascii="Arial" w:hAnsi="Arial" w:cs="Arial"/>
                <w:color w:val="auto"/>
                <w:sz w:val="24"/>
                <w:highlight w:val="none"/>
              </w:rPr>
            </w:pPr>
            <w:r>
              <w:rPr>
                <w:rFonts w:hint="eastAsia" w:ascii="Arial" w:hAnsi="Arial" w:cs="Arial"/>
                <w:color w:val="auto"/>
                <w:sz w:val="24"/>
                <w:highlight w:val="none"/>
              </w:rPr>
              <w:t>1套</w:t>
            </w:r>
          </w:p>
        </w:tc>
        <w:tc>
          <w:tcPr>
            <w:tcW w:w="3504" w:type="dxa"/>
            <w:gridSpan w:val="2"/>
            <w:noWrap w:val="0"/>
            <w:vAlign w:val="center"/>
          </w:tcPr>
          <w:p w14:paraId="71BB0FDD">
            <w:pPr>
              <w:spacing w:line="400" w:lineRule="exact"/>
              <w:jc w:val="center"/>
              <w:rPr>
                <w:rFonts w:hint="eastAsia" w:ascii="Arial" w:hAnsi="Arial" w:eastAsia="宋体" w:cs="Arial"/>
                <w:color w:val="auto"/>
                <w:sz w:val="24"/>
                <w:highlight w:val="none"/>
                <w:lang w:eastAsia="zh-CN"/>
              </w:rPr>
            </w:pPr>
            <w:r>
              <w:rPr>
                <w:rFonts w:hint="eastAsia" w:ascii="Arial" w:hAnsi="Arial" w:cs="Arial"/>
                <w:color w:val="auto"/>
                <w:sz w:val="24"/>
                <w:highlight w:val="none"/>
                <w:lang w:eastAsia="zh-CN"/>
              </w:rPr>
              <w:t>包含板式换热机组、系统稳压补水装置、软水系统等</w:t>
            </w:r>
          </w:p>
        </w:tc>
      </w:tr>
      <w:tr w14:paraId="3BCB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737" w:type="dxa"/>
            <w:noWrap w:val="0"/>
            <w:vAlign w:val="center"/>
          </w:tcPr>
          <w:p w14:paraId="199787B3">
            <w:pPr>
              <w:ind w:left="991" w:hanging="989"/>
              <w:jc w:val="center"/>
              <w:rPr>
                <w:rFonts w:hint="eastAsia" w:ascii="Arial" w:hAnsi="Arial" w:cs="Arial"/>
                <w:color w:val="auto"/>
                <w:sz w:val="24"/>
                <w:highlight w:val="none"/>
              </w:rPr>
            </w:pPr>
            <w:r>
              <w:rPr>
                <w:rFonts w:hint="eastAsia" w:ascii="Arial" w:hAnsi="Arial" w:cs="Arial"/>
                <w:color w:val="auto"/>
                <w:sz w:val="24"/>
                <w:highlight w:val="none"/>
              </w:rPr>
              <w:t>2</w:t>
            </w:r>
          </w:p>
        </w:tc>
        <w:tc>
          <w:tcPr>
            <w:tcW w:w="1677" w:type="dxa"/>
            <w:gridSpan w:val="2"/>
            <w:noWrap w:val="0"/>
            <w:vAlign w:val="center"/>
          </w:tcPr>
          <w:p w14:paraId="41A69D3F">
            <w:pPr>
              <w:jc w:val="center"/>
              <w:rPr>
                <w:rFonts w:hint="eastAsia" w:ascii="Arial" w:hAnsi="Arial" w:cs="Arial"/>
                <w:color w:val="auto"/>
                <w:sz w:val="24"/>
                <w:highlight w:val="none"/>
              </w:rPr>
            </w:pPr>
            <w:r>
              <w:rPr>
                <w:rFonts w:hint="eastAsia" w:ascii="Arial" w:hAnsi="Arial" w:cs="Arial"/>
                <w:color w:val="auto"/>
                <w:sz w:val="24"/>
                <w:highlight w:val="none"/>
              </w:rPr>
              <w:t>机组现场安装</w:t>
            </w:r>
          </w:p>
        </w:tc>
        <w:tc>
          <w:tcPr>
            <w:tcW w:w="2470" w:type="dxa"/>
            <w:gridSpan w:val="3"/>
            <w:noWrap w:val="0"/>
            <w:vAlign w:val="center"/>
          </w:tcPr>
          <w:p w14:paraId="47434AB8">
            <w:pPr>
              <w:rPr>
                <w:rFonts w:hint="eastAsia" w:ascii="Arial" w:hAnsi="Arial" w:cs="Arial"/>
                <w:color w:val="auto"/>
                <w:sz w:val="24"/>
                <w:highlight w:val="none"/>
              </w:rPr>
            </w:pPr>
            <w:r>
              <w:rPr>
                <w:rFonts w:hint="eastAsia" w:ascii="Arial" w:hAnsi="Arial" w:cs="Arial"/>
                <w:color w:val="auto"/>
                <w:sz w:val="24"/>
                <w:highlight w:val="none"/>
              </w:rPr>
              <w:t>含材料，施工，保温，试压，调试运行</w:t>
            </w:r>
          </w:p>
        </w:tc>
        <w:tc>
          <w:tcPr>
            <w:tcW w:w="845" w:type="dxa"/>
            <w:noWrap w:val="0"/>
            <w:vAlign w:val="center"/>
          </w:tcPr>
          <w:p w14:paraId="71317BE6">
            <w:pPr>
              <w:spacing w:line="440" w:lineRule="exact"/>
              <w:ind w:left="991" w:hanging="989"/>
              <w:jc w:val="center"/>
              <w:rPr>
                <w:rFonts w:hint="eastAsia" w:ascii="Arial" w:hAnsi="Arial" w:cs="Arial"/>
                <w:color w:val="auto"/>
                <w:sz w:val="24"/>
                <w:highlight w:val="none"/>
              </w:rPr>
            </w:pPr>
            <w:r>
              <w:rPr>
                <w:rFonts w:hint="eastAsia" w:ascii="Arial" w:hAnsi="Arial" w:cs="Arial"/>
                <w:color w:val="auto"/>
                <w:sz w:val="24"/>
                <w:highlight w:val="none"/>
              </w:rPr>
              <w:t>1套</w:t>
            </w:r>
          </w:p>
        </w:tc>
        <w:tc>
          <w:tcPr>
            <w:tcW w:w="3504" w:type="dxa"/>
            <w:gridSpan w:val="2"/>
            <w:noWrap w:val="0"/>
            <w:vAlign w:val="center"/>
          </w:tcPr>
          <w:p w14:paraId="106AC867">
            <w:pPr>
              <w:spacing w:line="400" w:lineRule="exact"/>
              <w:jc w:val="center"/>
              <w:rPr>
                <w:rFonts w:hint="eastAsia" w:ascii="Arial" w:hAnsi="Arial" w:cs="Arial"/>
                <w:color w:val="auto"/>
                <w:sz w:val="24"/>
                <w:highlight w:val="none"/>
              </w:rPr>
            </w:pPr>
          </w:p>
        </w:tc>
      </w:tr>
      <w:tr w14:paraId="00F7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3" w:type="dxa"/>
            <w:gridSpan w:val="9"/>
            <w:noWrap w:val="0"/>
            <w:vAlign w:val="center"/>
          </w:tcPr>
          <w:p w14:paraId="5C8EFB22">
            <w:pPr>
              <w:spacing w:line="560" w:lineRule="exact"/>
              <w:rPr>
                <w:rFonts w:hint="eastAsia" w:ascii="宋体" w:hAnsi="宋体"/>
                <w:bCs/>
                <w:color w:val="auto"/>
                <w:sz w:val="24"/>
                <w:highlight w:val="none"/>
              </w:rPr>
            </w:pPr>
            <w:r>
              <w:rPr>
                <w:rFonts w:hint="eastAsia" w:ascii="宋体" w:hAnsi="宋体"/>
                <w:bCs/>
                <w:color w:val="auto"/>
                <w:sz w:val="24"/>
                <w:highlight w:val="none"/>
              </w:rPr>
              <w:t>机组板换</w:t>
            </w:r>
            <w:r>
              <w:rPr>
                <w:rFonts w:hint="eastAsia" w:ascii="宋体" w:hAnsi="宋体" w:cs="宋体"/>
                <w:color w:val="auto"/>
                <w:kern w:val="0"/>
                <w:sz w:val="24"/>
                <w:highlight w:val="none"/>
              </w:rPr>
              <w:t>1°温差，</w:t>
            </w:r>
            <w:r>
              <w:rPr>
                <w:rFonts w:hint="eastAsia" w:ascii="宋体" w:hAnsi="宋体"/>
                <w:bCs/>
                <w:color w:val="auto"/>
                <w:sz w:val="24"/>
                <w:highlight w:val="none"/>
              </w:rPr>
              <w:t>不锈钢304板  承压1.6MPa，单台换热量750kw</w:t>
            </w:r>
          </w:p>
          <w:p w14:paraId="538503C0">
            <w:pPr>
              <w:spacing w:line="560" w:lineRule="exact"/>
              <w:rPr>
                <w:rFonts w:hint="eastAsia" w:ascii="宋体" w:hAnsi="宋体"/>
                <w:bCs/>
                <w:color w:val="auto"/>
                <w:sz w:val="24"/>
                <w:highlight w:val="none"/>
              </w:rPr>
            </w:pPr>
            <w:r>
              <w:rPr>
                <w:rFonts w:hint="eastAsia" w:ascii="宋体" w:hAnsi="宋体"/>
                <w:bCs/>
                <w:color w:val="auto"/>
                <w:sz w:val="24"/>
                <w:highlight w:val="none"/>
              </w:rPr>
              <w:t>一次测：供回水温度 7/12℃，二次侧：供回水温度8/13℃</w:t>
            </w:r>
          </w:p>
        </w:tc>
      </w:tr>
      <w:tr w14:paraId="6C2F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3" w:type="dxa"/>
            <w:gridSpan w:val="9"/>
            <w:noWrap w:val="0"/>
            <w:vAlign w:val="center"/>
          </w:tcPr>
          <w:p w14:paraId="324DB3F6">
            <w:pPr>
              <w:spacing w:line="400" w:lineRule="exact"/>
              <w:rPr>
                <w:rFonts w:hint="eastAsia" w:ascii="Arial" w:hAnsi="Arial" w:cs="Arial"/>
                <w:b/>
                <w:color w:val="auto"/>
                <w:sz w:val="24"/>
                <w:highlight w:val="none"/>
              </w:rPr>
            </w:pPr>
            <w:r>
              <w:rPr>
                <w:rFonts w:hint="eastAsia" w:ascii="Arial" w:hAnsi="Arial" w:cs="Arial"/>
                <w:b/>
                <w:color w:val="auto"/>
                <w:sz w:val="24"/>
                <w:highlight w:val="none"/>
              </w:rPr>
              <w:t>机组配置清单：</w:t>
            </w:r>
          </w:p>
        </w:tc>
      </w:tr>
      <w:tr w14:paraId="7A1BE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556" w:type="dxa"/>
            <w:gridSpan w:val="2"/>
            <w:noWrap w:val="0"/>
            <w:vAlign w:val="center"/>
          </w:tcPr>
          <w:p w14:paraId="57D62734">
            <w:pPr>
              <w:ind w:left="991" w:hanging="989"/>
              <w:jc w:val="center"/>
              <w:rPr>
                <w:rFonts w:hint="eastAsia" w:ascii="Arial" w:hAnsi="Arial" w:cs="Arial"/>
                <w:b/>
                <w:bCs/>
                <w:color w:val="auto"/>
                <w:sz w:val="24"/>
                <w:highlight w:val="none"/>
              </w:rPr>
            </w:pPr>
            <w:r>
              <w:rPr>
                <w:rFonts w:hint="eastAsia" w:ascii="Arial" w:hAnsi="Arial" w:cs="Arial"/>
                <w:b/>
                <w:bCs/>
                <w:color w:val="auto"/>
                <w:sz w:val="24"/>
                <w:highlight w:val="none"/>
              </w:rPr>
              <w:t>名称</w:t>
            </w:r>
          </w:p>
        </w:tc>
        <w:tc>
          <w:tcPr>
            <w:tcW w:w="2786" w:type="dxa"/>
            <w:gridSpan w:val="2"/>
            <w:noWrap w:val="0"/>
            <w:vAlign w:val="center"/>
          </w:tcPr>
          <w:p w14:paraId="7FFC5F08">
            <w:pPr>
              <w:spacing w:line="400" w:lineRule="exact"/>
              <w:jc w:val="center"/>
              <w:rPr>
                <w:rFonts w:hint="eastAsia" w:ascii="Arial" w:hAnsi="Arial" w:cs="Arial"/>
                <w:b/>
                <w:bCs/>
                <w:color w:val="auto"/>
                <w:sz w:val="24"/>
                <w:highlight w:val="none"/>
              </w:rPr>
            </w:pPr>
            <w:r>
              <w:rPr>
                <w:rFonts w:hint="eastAsia" w:ascii="Arial" w:hAnsi="Arial" w:cs="Arial"/>
                <w:b/>
                <w:bCs/>
                <w:color w:val="auto"/>
                <w:sz w:val="24"/>
                <w:highlight w:val="none"/>
              </w:rPr>
              <w:t>规格</w:t>
            </w:r>
          </w:p>
        </w:tc>
        <w:tc>
          <w:tcPr>
            <w:tcW w:w="1407" w:type="dxa"/>
            <w:gridSpan w:val="4"/>
            <w:noWrap w:val="0"/>
            <w:vAlign w:val="center"/>
          </w:tcPr>
          <w:p w14:paraId="09B73A7C">
            <w:pPr>
              <w:spacing w:line="400" w:lineRule="exact"/>
              <w:jc w:val="center"/>
              <w:rPr>
                <w:rFonts w:hint="eastAsia" w:ascii="Arial" w:hAnsi="Arial" w:cs="Arial"/>
                <w:b/>
                <w:bCs/>
                <w:color w:val="auto"/>
                <w:sz w:val="24"/>
                <w:highlight w:val="none"/>
              </w:rPr>
            </w:pPr>
            <w:r>
              <w:rPr>
                <w:rFonts w:hint="eastAsia" w:ascii="Arial" w:hAnsi="Arial" w:cs="Arial"/>
                <w:b/>
                <w:bCs/>
                <w:color w:val="auto"/>
                <w:sz w:val="24"/>
                <w:highlight w:val="none"/>
              </w:rPr>
              <w:t>数量</w:t>
            </w:r>
          </w:p>
        </w:tc>
        <w:tc>
          <w:tcPr>
            <w:tcW w:w="3484" w:type="dxa"/>
            <w:noWrap w:val="0"/>
            <w:vAlign w:val="center"/>
          </w:tcPr>
          <w:p w14:paraId="3CE0EC0F">
            <w:pPr>
              <w:spacing w:line="400" w:lineRule="exact"/>
              <w:jc w:val="center"/>
              <w:rPr>
                <w:rFonts w:hint="eastAsia" w:ascii="Arial" w:hAnsi="Arial" w:cs="Arial"/>
                <w:b/>
                <w:bCs/>
                <w:color w:val="auto"/>
                <w:sz w:val="24"/>
                <w:highlight w:val="none"/>
              </w:rPr>
            </w:pPr>
            <w:r>
              <w:rPr>
                <w:rFonts w:hint="eastAsia" w:ascii="Arial" w:hAnsi="Arial" w:cs="Arial"/>
                <w:b/>
                <w:bCs/>
                <w:color w:val="auto"/>
                <w:sz w:val="24"/>
                <w:highlight w:val="none"/>
              </w:rPr>
              <w:t>建议品牌</w:t>
            </w:r>
          </w:p>
        </w:tc>
      </w:tr>
      <w:tr w14:paraId="0EE4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3" w:type="dxa"/>
            <w:gridSpan w:val="9"/>
            <w:noWrap w:val="0"/>
            <w:vAlign w:val="center"/>
          </w:tcPr>
          <w:p w14:paraId="63BF29CC">
            <w:pPr>
              <w:spacing w:line="500" w:lineRule="exact"/>
              <w:rPr>
                <w:rFonts w:hint="eastAsia" w:ascii="Arial" w:hAnsi="Arial" w:cs="Arial"/>
                <w:b/>
                <w:bCs/>
                <w:color w:val="auto"/>
                <w:sz w:val="24"/>
                <w:highlight w:val="none"/>
              </w:rPr>
            </w:pPr>
            <w:r>
              <w:rPr>
                <w:rFonts w:hint="eastAsia" w:ascii="宋体" w:hAnsi="宋体"/>
                <w:b/>
                <w:bCs/>
                <w:color w:val="auto"/>
                <w:sz w:val="24"/>
                <w:highlight w:val="none"/>
              </w:rPr>
              <w:t>一、板式换热机组含</w:t>
            </w:r>
          </w:p>
        </w:tc>
      </w:tr>
      <w:tr w14:paraId="2BDFC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gridSpan w:val="2"/>
            <w:noWrap w:val="0"/>
            <w:vAlign w:val="center"/>
          </w:tcPr>
          <w:p w14:paraId="05FE88D9">
            <w:pPr>
              <w:ind w:left="991" w:hanging="989"/>
              <w:jc w:val="center"/>
              <w:rPr>
                <w:rFonts w:hint="eastAsia" w:ascii="Arial" w:hAnsi="Arial" w:cs="Arial"/>
                <w:color w:val="auto"/>
                <w:sz w:val="24"/>
                <w:highlight w:val="none"/>
              </w:rPr>
            </w:pPr>
            <w:r>
              <w:rPr>
                <w:rFonts w:hint="eastAsia" w:ascii="Arial" w:hAnsi="Arial" w:cs="Arial"/>
                <w:color w:val="auto"/>
                <w:sz w:val="24"/>
                <w:highlight w:val="none"/>
              </w:rPr>
              <w:t>板式换热器</w:t>
            </w:r>
          </w:p>
        </w:tc>
        <w:tc>
          <w:tcPr>
            <w:tcW w:w="2786" w:type="dxa"/>
            <w:gridSpan w:val="2"/>
            <w:noWrap w:val="0"/>
            <w:vAlign w:val="center"/>
          </w:tcPr>
          <w:p w14:paraId="06AC4538">
            <w:pPr>
              <w:spacing w:line="400" w:lineRule="exact"/>
              <w:rPr>
                <w:rFonts w:hint="eastAsia" w:ascii="Arial" w:hAnsi="Arial" w:cs="Arial"/>
                <w:color w:val="auto"/>
                <w:sz w:val="24"/>
                <w:highlight w:val="none"/>
              </w:rPr>
            </w:pPr>
            <w:r>
              <w:rPr>
                <w:rFonts w:hint="eastAsia" w:ascii="Arial" w:hAnsi="Arial" w:cs="Arial"/>
                <w:color w:val="auto"/>
                <w:sz w:val="24"/>
                <w:highlight w:val="none"/>
              </w:rPr>
              <w:t xml:space="preserve"> 单台换热量750KW</w:t>
            </w:r>
          </w:p>
        </w:tc>
        <w:tc>
          <w:tcPr>
            <w:tcW w:w="1407" w:type="dxa"/>
            <w:gridSpan w:val="4"/>
            <w:noWrap w:val="0"/>
            <w:vAlign w:val="center"/>
          </w:tcPr>
          <w:p w14:paraId="6540F820">
            <w:pPr>
              <w:spacing w:line="400" w:lineRule="exact"/>
              <w:jc w:val="center"/>
              <w:rPr>
                <w:rFonts w:hint="eastAsia" w:ascii="Arial" w:hAnsi="Arial" w:cs="Arial"/>
                <w:color w:val="auto"/>
                <w:sz w:val="24"/>
                <w:highlight w:val="none"/>
              </w:rPr>
            </w:pPr>
            <w:r>
              <w:rPr>
                <w:rFonts w:hint="eastAsia" w:ascii="Arial" w:hAnsi="Arial" w:cs="Arial"/>
                <w:color w:val="auto"/>
                <w:sz w:val="24"/>
                <w:highlight w:val="none"/>
              </w:rPr>
              <w:t>2台</w:t>
            </w:r>
          </w:p>
        </w:tc>
        <w:tc>
          <w:tcPr>
            <w:tcW w:w="3484" w:type="dxa"/>
            <w:noWrap w:val="0"/>
            <w:vAlign w:val="center"/>
          </w:tcPr>
          <w:p w14:paraId="32523B14">
            <w:pPr>
              <w:spacing w:line="400" w:lineRule="exact"/>
              <w:rPr>
                <w:rFonts w:hint="default" w:ascii="Arial" w:hAnsi="Arial" w:eastAsia="宋体" w:cs="Arial"/>
                <w:color w:val="auto"/>
                <w:sz w:val="24"/>
                <w:highlight w:val="none"/>
                <w:lang w:val="en-US" w:eastAsia="zh-CN"/>
              </w:rPr>
            </w:pPr>
            <w:r>
              <w:rPr>
                <w:rFonts w:hint="eastAsia" w:ascii="Arial" w:hAnsi="Arial" w:cs="Arial"/>
                <w:color w:val="auto"/>
                <w:sz w:val="24"/>
                <w:highlight w:val="none"/>
              </w:rPr>
              <w:t>潺林</w:t>
            </w:r>
            <w:r>
              <w:rPr>
                <w:rFonts w:hint="eastAsia" w:ascii="Arial" w:hAnsi="Arial" w:cs="Arial"/>
                <w:color w:val="auto"/>
                <w:sz w:val="24"/>
                <w:highlight w:val="none"/>
                <w:lang w:eastAsia="zh-CN"/>
              </w:rPr>
              <w:t>、</w:t>
            </w:r>
            <w:r>
              <w:rPr>
                <w:rFonts w:hint="eastAsia" w:ascii="Arial" w:hAnsi="Arial" w:cs="Arial"/>
                <w:color w:val="auto"/>
                <w:sz w:val="24"/>
                <w:highlight w:val="none"/>
              </w:rPr>
              <w:t>恒力</w:t>
            </w:r>
            <w:r>
              <w:rPr>
                <w:rFonts w:hint="eastAsia" w:ascii="Arial" w:hAnsi="Arial" w:cs="Arial"/>
                <w:color w:val="auto"/>
                <w:sz w:val="24"/>
                <w:highlight w:val="none"/>
                <w:lang w:eastAsia="zh-CN"/>
              </w:rPr>
              <w:t>、</w:t>
            </w:r>
            <w:r>
              <w:rPr>
                <w:rFonts w:hint="eastAsia" w:ascii="Arial" w:hAnsi="Arial" w:cs="Arial"/>
                <w:color w:val="auto"/>
                <w:sz w:val="24"/>
                <w:highlight w:val="none"/>
              </w:rPr>
              <w:t>巨元</w:t>
            </w:r>
            <w:r>
              <w:rPr>
                <w:rFonts w:hint="eastAsia" w:ascii="Arial" w:hAnsi="Arial" w:cs="Arial"/>
                <w:color w:val="auto"/>
                <w:sz w:val="24"/>
                <w:highlight w:val="none"/>
                <w:lang w:eastAsia="zh-CN"/>
              </w:rPr>
              <w:t>、诺沃、</w:t>
            </w:r>
            <w:r>
              <w:rPr>
                <w:rFonts w:hint="eastAsia" w:ascii="Arial" w:hAnsi="Arial" w:cs="Arial"/>
                <w:color w:val="auto"/>
                <w:sz w:val="24"/>
                <w:highlight w:val="none"/>
                <w:lang w:val="en-US" w:eastAsia="zh-CN"/>
              </w:rPr>
              <w:t>apv</w:t>
            </w:r>
          </w:p>
        </w:tc>
      </w:tr>
      <w:tr w14:paraId="145EE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gridSpan w:val="2"/>
            <w:noWrap w:val="0"/>
            <w:vAlign w:val="center"/>
          </w:tcPr>
          <w:p w14:paraId="3EECCC33">
            <w:pPr>
              <w:ind w:left="991" w:hanging="989"/>
              <w:jc w:val="center"/>
              <w:rPr>
                <w:rFonts w:hint="eastAsia" w:ascii="Arial" w:hAnsi="Arial" w:cs="Arial"/>
                <w:color w:val="auto"/>
                <w:sz w:val="24"/>
                <w:highlight w:val="none"/>
              </w:rPr>
            </w:pPr>
            <w:r>
              <w:rPr>
                <w:rFonts w:hint="eastAsia" w:ascii="宋体" w:hAnsi="宋体"/>
                <w:color w:val="auto"/>
                <w:sz w:val="24"/>
                <w:highlight w:val="none"/>
              </w:rPr>
              <w:t>循环水泵</w:t>
            </w:r>
          </w:p>
        </w:tc>
        <w:tc>
          <w:tcPr>
            <w:tcW w:w="2786" w:type="dxa"/>
            <w:gridSpan w:val="2"/>
            <w:noWrap w:val="0"/>
            <w:vAlign w:val="center"/>
          </w:tcPr>
          <w:p w14:paraId="16670A8F">
            <w:pPr>
              <w:spacing w:line="400" w:lineRule="exact"/>
              <w:rPr>
                <w:rFonts w:hint="eastAsia" w:ascii="Arial" w:hAnsi="Arial" w:cs="Arial"/>
                <w:color w:val="auto"/>
                <w:sz w:val="24"/>
                <w:highlight w:val="none"/>
              </w:rPr>
            </w:pPr>
            <w:r>
              <w:rPr>
                <w:rFonts w:hint="eastAsia" w:ascii="宋体" w:hAnsi="宋体"/>
                <w:color w:val="auto"/>
                <w:sz w:val="24"/>
                <w:highlight w:val="none"/>
              </w:rPr>
              <w:t>流量：145m³/h，扬程25米，功率18千瓦</w:t>
            </w:r>
          </w:p>
        </w:tc>
        <w:tc>
          <w:tcPr>
            <w:tcW w:w="1407" w:type="dxa"/>
            <w:gridSpan w:val="4"/>
            <w:noWrap w:val="0"/>
            <w:vAlign w:val="center"/>
          </w:tcPr>
          <w:p w14:paraId="6C6082C3">
            <w:pPr>
              <w:ind w:left="991" w:hanging="989"/>
              <w:jc w:val="center"/>
              <w:rPr>
                <w:rFonts w:ascii="宋体" w:hAnsi="宋体"/>
                <w:color w:val="auto"/>
                <w:sz w:val="24"/>
                <w:highlight w:val="none"/>
              </w:rPr>
            </w:pPr>
          </w:p>
          <w:p w14:paraId="18506390">
            <w:pPr>
              <w:spacing w:line="400" w:lineRule="exact"/>
              <w:jc w:val="center"/>
              <w:rPr>
                <w:rFonts w:hint="eastAsia" w:ascii="宋体" w:hAnsi="宋体"/>
                <w:color w:val="auto"/>
                <w:sz w:val="24"/>
                <w:highlight w:val="none"/>
              </w:rPr>
            </w:pPr>
            <w:r>
              <w:rPr>
                <w:rFonts w:hint="eastAsia" w:ascii="Arial" w:hAnsi="Arial" w:cs="Arial"/>
                <w:color w:val="auto"/>
                <w:sz w:val="24"/>
                <w:highlight w:val="none"/>
              </w:rPr>
              <w:t>2台</w:t>
            </w:r>
          </w:p>
        </w:tc>
        <w:tc>
          <w:tcPr>
            <w:tcW w:w="3484" w:type="dxa"/>
            <w:noWrap w:val="0"/>
            <w:vAlign w:val="center"/>
          </w:tcPr>
          <w:p w14:paraId="4F99E0A3">
            <w:pPr>
              <w:spacing w:line="400" w:lineRule="exact"/>
              <w:rPr>
                <w:rFonts w:hint="eastAsia" w:ascii="宋体" w:hAnsi="宋体"/>
                <w:color w:val="auto"/>
                <w:sz w:val="24"/>
                <w:highlight w:val="none"/>
              </w:rPr>
            </w:pPr>
            <w:r>
              <w:rPr>
                <w:rFonts w:hint="eastAsia" w:ascii="宋体" w:hAnsi="宋体"/>
                <w:color w:val="auto"/>
                <w:sz w:val="24"/>
                <w:highlight w:val="none"/>
              </w:rPr>
              <w:t>南方，凯泉，东方，利欧</w:t>
            </w:r>
          </w:p>
        </w:tc>
      </w:tr>
      <w:tr w14:paraId="74589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gridSpan w:val="2"/>
            <w:noWrap w:val="0"/>
            <w:vAlign w:val="center"/>
          </w:tcPr>
          <w:p w14:paraId="53551D32">
            <w:pPr>
              <w:spacing w:line="500" w:lineRule="exact"/>
              <w:ind w:firstLine="240" w:firstLineChars="100"/>
              <w:rPr>
                <w:rFonts w:ascii="宋体" w:hAnsi="宋体" w:cs="宋体"/>
                <w:color w:val="auto"/>
                <w:kern w:val="0"/>
                <w:sz w:val="24"/>
                <w:highlight w:val="none"/>
              </w:rPr>
            </w:pPr>
            <w:r>
              <w:rPr>
                <w:rFonts w:hint="eastAsia" w:ascii="宋体" w:hAnsi="宋体"/>
                <w:color w:val="auto"/>
                <w:sz w:val="24"/>
                <w:highlight w:val="none"/>
              </w:rPr>
              <w:t>控制柜</w:t>
            </w:r>
          </w:p>
          <w:p w14:paraId="5EE28311">
            <w:pPr>
              <w:ind w:left="991" w:hanging="989"/>
              <w:jc w:val="center"/>
              <w:rPr>
                <w:rFonts w:hint="eastAsia" w:ascii="宋体" w:hAnsi="宋体"/>
                <w:color w:val="auto"/>
                <w:sz w:val="24"/>
                <w:highlight w:val="none"/>
              </w:rPr>
            </w:pPr>
          </w:p>
        </w:tc>
        <w:tc>
          <w:tcPr>
            <w:tcW w:w="2786" w:type="dxa"/>
            <w:gridSpan w:val="2"/>
            <w:noWrap w:val="0"/>
            <w:vAlign w:val="center"/>
          </w:tcPr>
          <w:p w14:paraId="07577BFD">
            <w:pPr>
              <w:spacing w:line="400" w:lineRule="exact"/>
              <w:rPr>
                <w:rFonts w:hint="eastAsia" w:ascii="宋体" w:hAnsi="宋体"/>
                <w:color w:val="auto"/>
                <w:sz w:val="24"/>
                <w:highlight w:val="none"/>
              </w:rPr>
            </w:pPr>
          </w:p>
        </w:tc>
        <w:tc>
          <w:tcPr>
            <w:tcW w:w="1407" w:type="dxa"/>
            <w:gridSpan w:val="4"/>
            <w:noWrap w:val="0"/>
            <w:vAlign w:val="center"/>
          </w:tcPr>
          <w:p w14:paraId="6CFF1A2C">
            <w:pPr>
              <w:spacing w:line="400" w:lineRule="exact"/>
              <w:jc w:val="center"/>
              <w:rPr>
                <w:rFonts w:hint="eastAsia" w:ascii="宋体" w:hAnsi="宋体"/>
                <w:color w:val="auto"/>
                <w:sz w:val="24"/>
                <w:highlight w:val="none"/>
              </w:rPr>
            </w:pPr>
            <w:r>
              <w:rPr>
                <w:rFonts w:hint="eastAsia" w:ascii="宋体" w:hAnsi="宋体"/>
                <w:color w:val="auto"/>
                <w:sz w:val="24"/>
                <w:highlight w:val="none"/>
              </w:rPr>
              <w:t>1</w:t>
            </w:r>
          </w:p>
        </w:tc>
        <w:tc>
          <w:tcPr>
            <w:tcW w:w="3484" w:type="dxa"/>
            <w:noWrap w:val="0"/>
            <w:vAlign w:val="center"/>
          </w:tcPr>
          <w:p w14:paraId="433494C1">
            <w:pPr>
              <w:spacing w:line="500" w:lineRule="exact"/>
              <w:rPr>
                <w:rFonts w:hint="eastAsia" w:ascii="宋体" w:hAnsi="宋体" w:cs="宋体"/>
                <w:color w:val="auto"/>
                <w:kern w:val="0"/>
                <w:sz w:val="24"/>
                <w:highlight w:val="none"/>
              </w:rPr>
            </w:pPr>
            <w:r>
              <w:rPr>
                <w:rFonts w:hint="eastAsia" w:ascii="宋体" w:hAnsi="宋体"/>
                <w:color w:val="auto"/>
                <w:sz w:val="24"/>
                <w:highlight w:val="none"/>
              </w:rPr>
              <w:t xml:space="preserve">ABB变频器，电器元件，开关施耐德，海格 </w:t>
            </w:r>
            <w:r>
              <w:rPr>
                <w:rFonts w:hint="eastAsia" w:ascii="宋体" w:hAnsi="宋体"/>
                <w:color w:val="auto"/>
                <w:sz w:val="24"/>
                <w:highlight w:val="none"/>
                <w:lang w:eastAsia="zh-CN"/>
              </w:rPr>
              <w:t>，</w:t>
            </w:r>
            <w:r>
              <w:rPr>
                <w:rFonts w:hint="eastAsia" w:ascii="宋体" w:hAnsi="宋体" w:cs="宋体"/>
                <w:color w:val="auto"/>
                <w:kern w:val="0"/>
                <w:sz w:val="24"/>
                <w:highlight w:val="none"/>
              </w:rPr>
              <w:t>西门子</w:t>
            </w:r>
          </w:p>
        </w:tc>
      </w:tr>
      <w:tr w14:paraId="6594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3" w:type="dxa"/>
            <w:gridSpan w:val="9"/>
            <w:noWrap w:val="0"/>
            <w:vAlign w:val="center"/>
          </w:tcPr>
          <w:p w14:paraId="2946E3E1">
            <w:pPr>
              <w:spacing w:line="500" w:lineRule="exact"/>
              <w:ind w:firstLine="240" w:firstLineChars="100"/>
              <w:rPr>
                <w:rFonts w:hint="eastAsia" w:ascii="宋体" w:hAnsi="宋体"/>
                <w:color w:val="auto"/>
                <w:sz w:val="24"/>
                <w:highlight w:val="none"/>
              </w:rPr>
            </w:pPr>
            <w:r>
              <w:rPr>
                <w:rFonts w:hint="eastAsia" w:ascii="宋体" w:hAnsi="宋体"/>
                <w:color w:val="auto"/>
                <w:sz w:val="24"/>
                <w:highlight w:val="none"/>
              </w:rPr>
              <w:t>机组全部，阀门（品牌，沪工，标一，宇明），过滤器，仪表，传感器，连接管道法兰，槽钢基础</w:t>
            </w:r>
          </w:p>
        </w:tc>
      </w:tr>
      <w:tr w14:paraId="0577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3" w:type="dxa"/>
            <w:gridSpan w:val="9"/>
            <w:noWrap w:val="0"/>
            <w:vAlign w:val="center"/>
          </w:tcPr>
          <w:p w14:paraId="1074DB92">
            <w:pPr>
              <w:spacing w:line="500" w:lineRule="exact"/>
              <w:rPr>
                <w:rFonts w:hint="eastAsia" w:ascii="宋体" w:hAnsi="宋体"/>
                <w:b/>
                <w:bCs/>
                <w:color w:val="auto"/>
                <w:sz w:val="24"/>
                <w:highlight w:val="none"/>
              </w:rPr>
            </w:pPr>
            <w:r>
              <w:rPr>
                <w:rFonts w:hint="eastAsia" w:ascii="宋体" w:hAnsi="宋体"/>
                <w:b/>
                <w:bCs/>
                <w:color w:val="auto"/>
                <w:sz w:val="24"/>
                <w:highlight w:val="none"/>
              </w:rPr>
              <w:t>二、系统稳压补水装置</w:t>
            </w:r>
          </w:p>
        </w:tc>
      </w:tr>
      <w:tr w14:paraId="3B7B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gridSpan w:val="2"/>
            <w:noWrap w:val="0"/>
            <w:vAlign w:val="center"/>
          </w:tcPr>
          <w:p w14:paraId="57D88457">
            <w:pPr>
              <w:ind w:left="991" w:hanging="989"/>
              <w:jc w:val="center"/>
              <w:rPr>
                <w:rFonts w:hint="eastAsia" w:ascii="宋体" w:hAnsi="宋体"/>
                <w:bCs/>
                <w:color w:val="auto"/>
                <w:sz w:val="24"/>
                <w:highlight w:val="none"/>
              </w:rPr>
            </w:pPr>
            <w:r>
              <w:rPr>
                <w:rFonts w:hint="eastAsia" w:ascii="宋体" w:hAnsi="宋体"/>
                <w:bCs/>
                <w:color w:val="auto"/>
                <w:sz w:val="24"/>
                <w:highlight w:val="none"/>
              </w:rPr>
              <w:t>补水泵</w:t>
            </w:r>
          </w:p>
        </w:tc>
        <w:tc>
          <w:tcPr>
            <w:tcW w:w="2786" w:type="dxa"/>
            <w:gridSpan w:val="2"/>
            <w:noWrap w:val="0"/>
            <w:vAlign w:val="center"/>
          </w:tcPr>
          <w:p w14:paraId="29382142">
            <w:pPr>
              <w:ind w:left="991" w:hanging="989"/>
              <w:rPr>
                <w:rFonts w:hint="eastAsia" w:ascii="宋体" w:hAnsi="宋体"/>
                <w:bCs/>
                <w:color w:val="auto"/>
                <w:sz w:val="24"/>
                <w:highlight w:val="none"/>
              </w:rPr>
            </w:pPr>
            <w:r>
              <w:rPr>
                <w:rFonts w:hint="eastAsia" w:ascii="宋体" w:hAnsi="宋体"/>
                <w:bCs/>
                <w:color w:val="auto"/>
                <w:sz w:val="24"/>
                <w:highlight w:val="none"/>
              </w:rPr>
              <w:t xml:space="preserve">流量：3m³/h，扬程28米，功率1.5千瓦 </w:t>
            </w:r>
          </w:p>
        </w:tc>
        <w:tc>
          <w:tcPr>
            <w:tcW w:w="1407" w:type="dxa"/>
            <w:gridSpan w:val="4"/>
            <w:noWrap w:val="0"/>
            <w:vAlign w:val="center"/>
          </w:tcPr>
          <w:p w14:paraId="107A9163">
            <w:pPr>
              <w:ind w:left="991" w:hanging="989"/>
              <w:jc w:val="center"/>
              <w:rPr>
                <w:rFonts w:hint="eastAsia" w:ascii="宋体" w:hAnsi="宋体"/>
                <w:bCs/>
                <w:color w:val="auto"/>
                <w:sz w:val="24"/>
                <w:highlight w:val="none"/>
              </w:rPr>
            </w:pPr>
            <w:r>
              <w:rPr>
                <w:rFonts w:hint="eastAsia" w:ascii="Arial" w:hAnsi="Arial" w:cs="Arial"/>
                <w:bCs/>
                <w:color w:val="auto"/>
                <w:sz w:val="24"/>
                <w:highlight w:val="none"/>
              </w:rPr>
              <w:t>2台</w:t>
            </w:r>
          </w:p>
        </w:tc>
        <w:tc>
          <w:tcPr>
            <w:tcW w:w="3484" w:type="dxa"/>
            <w:noWrap w:val="0"/>
            <w:vAlign w:val="center"/>
          </w:tcPr>
          <w:p w14:paraId="5279A9E4">
            <w:pPr>
              <w:ind w:left="991" w:hanging="989"/>
              <w:rPr>
                <w:rFonts w:hint="eastAsia" w:ascii="宋体" w:hAnsi="宋体"/>
                <w:bCs/>
                <w:color w:val="auto"/>
                <w:sz w:val="24"/>
                <w:highlight w:val="none"/>
              </w:rPr>
            </w:pPr>
            <w:r>
              <w:rPr>
                <w:rFonts w:hint="eastAsia" w:ascii="宋体" w:hAnsi="宋体"/>
                <w:bCs/>
                <w:color w:val="auto"/>
                <w:sz w:val="24"/>
                <w:highlight w:val="none"/>
              </w:rPr>
              <w:t>南方，凯泉，东方，利欧</w:t>
            </w:r>
          </w:p>
        </w:tc>
      </w:tr>
      <w:tr w14:paraId="1F7A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gridSpan w:val="2"/>
            <w:noWrap w:val="0"/>
            <w:vAlign w:val="center"/>
          </w:tcPr>
          <w:p w14:paraId="5C2970ED">
            <w:pPr>
              <w:ind w:left="991" w:hanging="989"/>
              <w:jc w:val="center"/>
              <w:rPr>
                <w:rFonts w:hint="eastAsia" w:ascii="宋体" w:hAnsi="宋体" w:cs="宋体"/>
                <w:bCs/>
                <w:color w:val="auto"/>
                <w:kern w:val="0"/>
                <w:sz w:val="24"/>
                <w:highlight w:val="none"/>
              </w:rPr>
            </w:pPr>
            <w:r>
              <w:rPr>
                <w:rFonts w:hint="eastAsia" w:ascii="宋体" w:hAnsi="宋体" w:cs="宋体"/>
                <w:bCs/>
                <w:color w:val="auto"/>
                <w:kern w:val="0"/>
                <w:sz w:val="24"/>
                <w:highlight w:val="none"/>
              </w:rPr>
              <w:t>隔膜式膨胀</w:t>
            </w:r>
          </w:p>
          <w:p w14:paraId="0B4C8717">
            <w:pPr>
              <w:ind w:left="991" w:hanging="989"/>
              <w:jc w:val="center"/>
              <w:rPr>
                <w:rFonts w:hint="eastAsia" w:ascii="Arial" w:hAnsi="Arial" w:cs="Arial"/>
                <w:bCs/>
                <w:color w:val="auto"/>
                <w:sz w:val="24"/>
                <w:highlight w:val="none"/>
              </w:rPr>
            </w:pPr>
            <w:r>
              <w:rPr>
                <w:rFonts w:hint="eastAsia" w:ascii="宋体" w:hAnsi="宋体" w:cs="宋体"/>
                <w:bCs/>
                <w:color w:val="auto"/>
                <w:kern w:val="0"/>
                <w:sz w:val="24"/>
                <w:highlight w:val="none"/>
              </w:rPr>
              <w:t>水罐</w:t>
            </w:r>
          </w:p>
        </w:tc>
        <w:tc>
          <w:tcPr>
            <w:tcW w:w="2811" w:type="dxa"/>
            <w:gridSpan w:val="3"/>
            <w:noWrap w:val="0"/>
            <w:vAlign w:val="center"/>
          </w:tcPr>
          <w:p w14:paraId="356C4B5A">
            <w:pPr>
              <w:spacing w:line="500" w:lineRule="exact"/>
              <w:rPr>
                <w:rFonts w:hint="eastAsia" w:ascii="宋体" w:hAnsi="宋体"/>
                <w:bCs/>
                <w:color w:val="auto"/>
                <w:sz w:val="24"/>
                <w:highlight w:val="none"/>
              </w:rPr>
            </w:pPr>
            <w:r>
              <w:rPr>
                <w:rFonts w:hint="eastAsia" w:ascii="Arial" w:hAnsi="Arial" w:cs="Arial"/>
                <w:bCs/>
                <w:color w:val="auto"/>
                <w:sz w:val="24"/>
                <w:highlight w:val="none"/>
              </w:rPr>
              <w:t>有效容积600L，</w:t>
            </w:r>
            <w:r>
              <w:rPr>
                <w:rFonts w:hint="eastAsia" w:ascii="宋体" w:hAnsi="宋体"/>
                <w:bCs/>
                <w:color w:val="auto"/>
                <w:sz w:val="24"/>
                <w:highlight w:val="none"/>
              </w:rPr>
              <w:t>系统压力稳定在0.3MPa</w:t>
            </w:r>
          </w:p>
        </w:tc>
        <w:tc>
          <w:tcPr>
            <w:tcW w:w="1382" w:type="dxa"/>
            <w:gridSpan w:val="3"/>
            <w:noWrap w:val="0"/>
            <w:vAlign w:val="center"/>
          </w:tcPr>
          <w:p w14:paraId="7247D9F0">
            <w:pPr>
              <w:spacing w:line="400" w:lineRule="exact"/>
              <w:jc w:val="center"/>
              <w:rPr>
                <w:rFonts w:hint="eastAsia" w:ascii="Arial" w:hAnsi="Arial" w:cs="Arial"/>
                <w:bCs/>
                <w:color w:val="auto"/>
                <w:sz w:val="24"/>
                <w:highlight w:val="none"/>
              </w:rPr>
            </w:pPr>
            <w:r>
              <w:rPr>
                <w:rFonts w:hint="eastAsia" w:ascii="Arial" w:hAnsi="Arial" w:cs="Arial"/>
                <w:bCs/>
                <w:color w:val="auto"/>
                <w:sz w:val="24"/>
                <w:highlight w:val="none"/>
              </w:rPr>
              <w:t>1台</w:t>
            </w:r>
          </w:p>
        </w:tc>
        <w:tc>
          <w:tcPr>
            <w:tcW w:w="3484" w:type="dxa"/>
            <w:noWrap w:val="0"/>
            <w:vAlign w:val="center"/>
          </w:tcPr>
          <w:p w14:paraId="176DAFDA">
            <w:pPr>
              <w:spacing w:line="400" w:lineRule="exact"/>
              <w:rPr>
                <w:rFonts w:hint="eastAsia" w:ascii="Arial" w:hAnsi="Arial" w:cs="Arial"/>
                <w:bCs/>
                <w:color w:val="auto"/>
                <w:sz w:val="24"/>
                <w:highlight w:val="none"/>
              </w:rPr>
            </w:pPr>
          </w:p>
        </w:tc>
      </w:tr>
      <w:tr w14:paraId="305B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gridSpan w:val="2"/>
            <w:noWrap w:val="0"/>
            <w:vAlign w:val="center"/>
          </w:tcPr>
          <w:p w14:paraId="2078B127">
            <w:pPr>
              <w:spacing w:line="500" w:lineRule="exact"/>
              <w:ind w:left="480"/>
              <w:rPr>
                <w:rFonts w:ascii="宋体" w:hAnsi="宋体" w:cs="宋体"/>
                <w:bCs/>
                <w:color w:val="auto"/>
                <w:kern w:val="0"/>
                <w:sz w:val="24"/>
                <w:highlight w:val="none"/>
              </w:rPr>
            </w:pPr>
            <w:r>
              <w:rPr>
                <w:rFonts w:hint="eastAsia" w:ascii="宋体" w:hAnsi="宋体"/>
                <w:bCs/>
                <w:color w:val="auto"/>
                <w:sz w:val="24"/>
                <w:highlight w:val="none"/>
              </w:rPr>
              <w:t>控制柜</w:t>
            </w:r>
          </w:p>
          <w:p w14:paraId="0B4DBDF3">
            <w:pPr>
              <w:ind w:left="991" w:hanging="989"/>
              <w:jc w:val="center"/>
              <w:rPr>
                <w:rFonts w:hint="eastAsia" w:ascii="宋体" w:hAnsi="宋体"/>
                <w:bCs/>
                <w:color w:val="auto"/>
                <w:sz w:val="24"/>
                <w:highlight w:val="none"/>
              </w:rPr>
            </w:pPr>
          </w:p>
        </w:tc>
        <w:tc>
          <w:tcPr>
            <w:tcW w:w="2811" w:type="dxa"/>
            <w:gridSpan w:val="3"/>
            <w:noWrap w:val="0"/>
            <w:vAlign w:val="center"/>
          </w:tcPr>
          <w:p w14:paraId="605F1505">
            <w:pPr>
              <w:spacing w:line="400" w:lineRule="exact"/>
              <w:rPr>
                <w:rFonts w:hint="eastAsia" w:ascii="宋体" w:hAnsi="宋体"/>
                <w:bCs/>
                <w:color w:val="auto"/>
                <w:sz w:val="24"/>
                <w:highlight w:val="none"/>
              </w:rPr>
            </w:pPr>
          </w:p>
        </w:tc>
        <w:tc>
          <w:tcPr>
            <w:tcW w:w="1382" w:type="dxa"/>
            <w:gridSpan w:val="3"/>
            <w:noWrap w:val="0"/>
            <w:vAlign w:val="center"/>
          </w:tcPr>
          <w:p w14:paraId="02686268">
            <w:pPr>
              <w:spacing w:line="400" w:lineRule="exact"/>
              <w:jc w:val="center"/>
              <w:rPr>
                <w:rFonts w:hint="eastAsia" w:ascii="宋体" w:hAnsi="宋体"/>
                <w:bCs/>
                <w:color w:val="auto"/>
                <w:sz w:val="24"/>
                <w:highlight w:val="none"/>
              </w:rPr>
            </w:pPr>
            <w:r>
              <w:rPr>
                <w:rFonts w:hint="eastAsia" w:ascii="宋体" w:hAnsi="宋体"/>
                <w:bCs/>
                <w:color w:val="auto"/>
                <w:sz w:val="24"/>
                <w:highlight w:val="none"/>
              </w:rPr>
              <w:t>1台</w:t>
            </w:r>
          </w:p>
        </w:tc>
        <w:tc>
          <w:tcPr>
            <w:tcW w:w="3484" w:type="dxa"/>
            <w:noWrap w:val="0"/>
            <w:vAlign w:val="center"/>
          </w:tcPr>
          <w:p w14:paraId="676909A8">
            <w:pPr>
              <w:spacing w:line="500" w:lineRule="exact"/>
              <w:rPr>
                <w:rFonts w:hint="eastAsia" w:ascii="宋体" w:hAnsi="宋体" w:cs="宋体"/>
                <w:bCs/>
                <w:color w:val="auto"/>
                <w:kern w:val="0"/>
                <w:sz w:val="24"/>
                <w:highlight w:val="none"/>
              </w:rPr>
            </w:pPr>
            <w:r>
              <w:rPr>
                <w:rFonts w:hint="eastAsia" w:ascii="宋体" w:hAnsi="宋体"/>
                <w:bCs/>
                <w:color w:val="auto"/>
                <w:sz w:val="24"/>
                <w:highlight w:val="none"/>
              </w:rPr>
              <w:t xml:space="preserve">ABB变频器，电器元件，开关施耐德，海格 </w:t>
            </w:r>
            <w:r>
              <w:rPr>
                <w:rFonts w:hint="eastAsia" w:ascii="宋体" w:hAnsi="宋体"/>
                <w:bCs/>
                <w:color w:val="auto"/>
                <w:sz w:val="24"/>
                <w:highlight w:val="none"/>
                <w:lang w:eastAsia="zh-CN"/>
              </w:rPr>
              <w:t>，</w:t>
            </w:r>
            <w:r>
              <w:rPr>
                <w:rFonts w:hint="eastAsia" w:ascii="宋体" w:hAnsi="宋体" w:cs="宋体"/>
                <w:bCs/>
                <w:color w:val="auto"/>
                <w:kern w:val="0"/>
                <w:sz w:val="24"/>
                <w:highlight w:val="none"/>
              </w:rPr>
              <w:t>西门子</w:t>
            </w:r>
          </w:p>
        </w:tc>
      </w:tr>
      <w:tr w14:paraId="6C146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3" w:type="dxa"/>
            <w:gridSpan w:val="9"/>
            <w:noWrap w:val="0"/>
            <w:vAlign w:val="center"/>
          </w:tcPr>
          <w:p w14:paraId="5A73F554">
            <w:pPr>
              <w:spacing w:line="500" w:lineRule="exact"/>
              <w:ind w:firstLine="240" w:firstLineChars="100"/>
              <w:rPr>
                <w:rFonts w:hint="eastAsia" w:ascii="宋体" w:hAnsi="宋体"/>
                <w:bCs/>
                <w:color w:val="auto"/>
                <w:sz w:val="24"/>
                <w:highlight w:val="none"/>
              </w:rPr>
            </w:pPr>
            <w:r>
              <w:rPr>
                <w:rFonts w:hint="eastAsia" w:ascii="宋体" w:hAnsi="宋体"/>
                <w:bCs/>
                <w:color w:val="auto"/>
                <w:sz w:val="24"/>
                <w:highlight w:val="none"/>
              </w:rPr>
              <w:t>机组全部，阀门，过滤器，仪表，传感器，连接管道法兰，槽钢基础</w:t>
            </w:r>
          </w:p>
        </w:tc>
      </w:tr>
      <w:tr w14:paraId="07A7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3" w:type="dxa"/>
            <w:gridSpan w:val="9"/>
            <w:noWrap w:val="0"/>
            <w:vAlign w:val="center"/>
          </w:tcPr>
          <w:p w14:paraId="4E9ABF7D">
            <w:pPr>
              <w:spacing w:line="500" w:lineRule="exact"/>
              <w:jc w:val="left"/>
              <w:rPr>
                <w:rFonts w:hint="eastAsia" w:ascii="宋体" w:hAnsi="宋体"/>
                <w:color w:val="auto"/>
                <w:sz w:val="24"/>
                <w:highlight w:val="none"/>
              </w:rPr>
            </w:pPr>
            <w:r>
              <w:rPr>
                <w:rFonts w:hint="eastAsia" w:ascii="宋体" w:hAnsi="宋体"/>
                <w:b/>
                <w:bCs/>
                <w:color w:val="auto"/>
                <w:sz w:val="24"/>
                <w:highlight w:val="none"/>
              </w:rPr>
              <w:t>三、软水器系统品牌：</w:t>
            </w:r>
          </w:p>
        </w:tc>
      </w:tr>
      <w:tr w14:paraId="670B1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gridSpan w:val="2"/>
            <w:noWrap w:val="0"/>
            <w:vAlign w:val="center"/>
          </w:tcPr>
          <w:p w14:paraId="737B063F">
            <w:pPr>
              <w:ind w:left="991" w:hanging="989"/>
              <w:jc w:val="center"/>
              <w:rPr>
                <w:rFonts w:hint="eastAsia" w:ascii="Arial" w:hAnsi="Arial" w:cs="Arial"/>
                <w:color w:val="auto"/>
                <w:sz w:val="24"/>
                <w:highlight w:val="none"/>
              </w:rPr>
            </w:pPr>
            <w:r>
              <w:rPr>
                <w:rFonts w:hint="eastAsia" w:ascii="Arial" w:hAnsi="Arial" w:cs="Arial"/>
                <w:color w:val="auto"/>
                <w:sz w:val="24"/>
                <w:highlight w:val="none"/>
              </w:rPr>
              <w:t>软水系统</w:t>
            </w:r>
          </w:p>
        </w:tc>
        <w:tc>
          <w:tcPr>
            <w:tcW w:w="2811" w:type="dxa"/>
            <w:gridSpan w:val="3"/>
            <w:noWrap w:val="0"/>
            <w:vAlign w:val="center"/>
          </w:tcPr>
          <w:p w14:paraId="320D9F89">
            <w:pPr>
              <w:ind w:left="991" w:hanging="989"/>
              <w:jc w:val="center"/>
              <w:rPr>
                <w:rFonts w:hint="eastAsia" w:ascii="宋体" w:hAnsi="宋体"/>
                <w:color w:val="auto"/>
                <w:sz w:val="24"/>
                <w:highlight w:val="none"/>
              </w:rPr>
            </w:pPr>
            <w:r>
              <w:rPr>
                <w:rFonts w:hint="eastAsia" w:ascii="宋体" w:hAnsi="宋体"/>
                <w:color w:val="auto"/>
                <w:sz w:val="24"/>
                <w:highlight w:val="none"/>
              </w:rPr>
              <w:t>处理水量2-3m³，流量型</w:t>
            </w:r>
          </w:p>
        </w:tc>
        <w:tc>
          <w:tcPr>
            <w:tcW w:w="1382" w:type="dxa"/>
            <w:gridSpan w:val="3"/>
            <w:noWrap w:val="0"/>
            <w:vAlign w:val="center"/>
          </w:tcPr>
          <w:p w14:paraId="404C8C69">
            <w:pPr>
              <w:spacing w:line="400" w:lineRule="exact"/>
              <w:jc w:val="center"/>
              <w:rPr>
                <w:rFonts w:hint="eastAsia" w:ascii="Arial" w:hAnsi="Arial" w:cs="Arial"/>
                <w:color w:val="auto"/>
                <w:sz w:val="24"/>
                <w:highlight w:val="none"/>
              </w:rPr>
            </w:pPr>
            <w:r>
              <w:rPr>
                <w:rFonts w:hint="eastAsia" w:ascii="Arial" w:hAnsi="Arial" w:cs="Arial"/>
                <w:color w:val="auto"/>
                <w:sz w:val="24"/>
                <w:highlight w:val="none"/>
              </w:rPr>
              <w:t>1套</w:t>
            </w:r>
          </w:p>
        </w:tc>
        <w:tc>
          <w:tcPr>
            <w:tcW w:w="3484" w:type="dxa"/>
            <w:noWrap w:val="0"/>
            <w:vAlign w:val="center"/>
          </w:tcPr>
          <w:p w14:paraId="775E22E7">
            <w:pPr>
              <w:spacing w:line="400" w:lineRule="exact"/>
              <w:rPr>
                <w:rFonts w:hint="eastAsia" w:ascii="宋体" w:hAnsi="宋体"/>
                <w:color w:val="auto"/>
                <w:sz w:val="24"/>
                <w:highlight w:val="none"/>
              </w:rPr>
            </w:pPr>
            <w:r>
              <w:rPr>
                <w:rFonts w:hint="eastAsia" w:ascii="宋体" w:hAnsi="宋体"/>
                <w:color w:val="auto"/>
                <w:sz w:val="24"/>
                <w:highlight w:val="none"/>
              </w:rPr>
              <w:t>富莱克，阿图组</w:t>
            </w:r>
          </w:p>
        </w:tc>
      </w:tr>
      <w:tr w14:paraId="290B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556" w:type="dxa"/>
            <w:gridSpan w:val="2"/>
            <w:noWrap w:val="0"/>
            <w:vAlign w:val="center"/>
          </w:tcPr>
          <w:p w14:paraId="4330F239">
            <w:pPr>
              <w:ind w:left="991" w:hanging="989"/>
              <w:jc w:val="center"/>
              <w:rPr>
                <w:rFonts w:hint="eastAsia" w:ascii="Arial" w:hAnsi="Arial" w:cs="Arial"/>
                <w:color w:val="auto"/>
                <w:sz w:val="24"/>
                <w:highlight w:val="none"/>
              </w:rPr>
            </w:pPr>
            <w:r>
              <w:rPr>
                <w:rFonts w:hint="eastAsia" w:ascii="宋体" w:hAnsi="宋体"/>
                <w:color w:val="auto"/>
                <w:sz w:val="24"/>
                <w:highlight w:val="none"/>
              </w:rPr>
              <w:t>软水箱</w:t>
            </w:r>
          </w:p>
        </w:tc>
        <w:tc>
          <w:tcPr>
            <w:tcW w:w="2811" w:type="dxa"/>
            <w:gridSpan w:val="3"/>
            <w:noWrap w:val="0"/>
            <w:vAlign w:val="center"/>
          </w:tcPr>
          <w:p w14:paraId="734E08D9">
            <w:pPr>
              <w:ind w:left="991" w:hanging="989"/>
              <w:jc w:val="center"/>
              <w:rPr>
                <w:rFonts w:hint="eastAsia" w:ascii="宋体" w:hAnsi="宋体"/>
                <w:color w:val="auto"/>
                <w:sz w:val="24"/>
                <w:highlight w:val="none"/>
              </w:rPr>
            </w:pPr>
            <w:r>
              <w:rPr>
                <w:rFonts w:hint="eastAsia" w:ascii="宋体" w:hAnsi="宋体"/>
                <w:color w:val="auto"/>
                <w:sz w:val="24"/>
                <w:highlight w:val="none"/>
              </w:rPr>
              <w:t>3m³不锈钢</w:t>
            </w:r>
          </w:p>
        </w:tc>
        <w:tc>
          <w:tcPr>
            <w:tcW w:w="1382" w:type="dxa"/>
            <w:gridSpan w:val="3"/>
            <w:noWrap w:val="0"/>
            <w:vAlign w:val="center"/>
          </w:tcPr>
          <w:p w14:paraId="162F07D0">
            <w:pPr>
              <w:spacing w:line="400" w:lineRule="exact"/>
              <w:jc w:val="center"/>
              <w:rPr>
                <w:rFonts w:hint="eastAsia" w:ascii="Arial" w:hAnsi="Arial" w:cs="Arial"/>
                <w:color w:val="auto"/>
                <w:sz w:val="24"/>
                <w:highlight w:val="none"/>
              </w:rPr>
            </w:pPr>
            <w:r>
              <w:rPr>
                <w:rFonts w:hint="eastAsia" w:ascii="Arial" w:hAnsi="Arial" w:cs="Arial"/>
                <w:color w:val="auto"/>
                <w:sz w:val="24"/>
                <w:highlight w:val="none"/>
              </w:rPr>
              <w:t>1台</w:t>
            </w:r>
          </w:p>
        </w:tc>
        <w:tc>
          <w:tcPr>
            <w:tcW w:w="3484" w:type="dxa"/>
            <w:noWrap w:val="0"/>
            <w:vAlign w:val="center"/>
          </w:tcPr>
          <w:p w14:paraId="6BD403BF">
            <w:pPr>
              <w:spacing w:line="400" w:lineRule="exact"/>
              <w:rPr>
                <w:rFonts w:hint="eastAsia" w:ascii="宋体" w:hAnsi="宋体"/>
                <w:color w:val="auto"/>
                <w:sz w:val="24"/>
                <w:highlight w:val="none"/>
              </w:rPr>
            </w:pPr>
          </w:p>
        </w:tc>
      </w:tr>
      <w:tr w14:paraId="1B024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9233" w:type="dxa"/>
            <w:gridSpan w:val="9"/>
            <w:noWrap w:val="0"/>
            <w:vAlign w:val="center"/>
          </w:tcPr>
          <w:p w14:paraId="3889D567">
            <w:pPr>
              <w:spacing w:line="400" w:lineRule="exact"/>
              <w:rPr>
                <w:rFonts w:hint="eastAsia" w:ascii="宋体" w:hAnsi="宋体"/>
                <w:color w:val="auto"/>
                <w:sz w:val="24"/>
                <w:highlight w:val="none"/>
              </w:rPr>
            </w:pPr>
            <w:r>
              <w:rPr>
                <w:rFonts w:hint="eastAsia" w:ascii="Arial" w:hAnsi="Arial" w:cs="Arial"/>
                <w:color w:val="auto"/>
                <w:sz w:val="24"/>
                <w:highlight w:val="none"/>
              </w:rPr>
              <w:t>四、成套阀门，仪表，管道，底座（</w:t>
            </w:r>
            <w:r>
              <w:rPr>
                <w:rFonts w:hint="eastAsia" w:ascii="宋体" w:hAnsi="宋体"/>
                <w:bCs/>
                <w:color w:val="auto"/>
                <w:sz w:val="24"/>
                <w:highlight w:val="none"/>
              </w:rPr>
              <w:t>阀门，</w:t>
            </w:r>
            <w:r>
              <w:rPr>
                <w:rFonts w:hint="eastAsia" w:ascii="Arial" w:hAnsi="Arial" w:cs="Arial"/>
                <w:color w:val="auto"/>
                <w:sz w:val="24"/>
                <w:highlight w:val="none"/>
              </w:rPr>
              <w:t>管道，底座成套碳钢材质）</w:t>
            </w:r>
          </w:p>
        </w:tc>
      </w:tr>
    </w:tbl>
    <w:p w14:paraId="2EF5E77E">
      <w:pPr>
        <w:spacing w:line="500" w:lineRule="exact"/>
        <w:rPr>
          <w:rFonts w:hint="eastAsia" w:ascii="宋体" w:hAnsi="宋体"/>
          <w:b/>
          <w:bCs/>
          <w:color w:val="auto"/>
          <w:sz w:val="24"/>
          <w:highlight w:val="none"/>
        </w:rPr>
      </w:pPr>
      <w:r>
        <w:rPr>
          <w:rFonts w:hint="eastAsia" w:ascii="宋体" w:hAnsi="宋体"/>
          <w:b/>
          <w:bCs/>
          <w:color w:val="auto"/>
          <w:sz w:val="24"/>
          <w:highlight w:val="none"/>
        </w:rPr>
        <w:t xml:space="preserve">备注： </w:t>
      </w:r>
    </w:p>
    <w:p w14:paraId="7AC5A2F7">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宋体" w:hAnsi="宋体" w:eastAsiaTheme="minorEastAsia"/>
          <w:b/>
          <w:bCs/>
          <w:color w:val="auto"/>
          <w:sz w:val="24"/>
          <w:highlight w:val="none"/>
          <w:lang w:eastAsia="zh-CN"/>
        </w:rPr>
      </w:pPr>
      <w:r>
        <w:rPr>
          <w:rFonts w:hint="eastAsia" w:ascii="宋体" w:hAnsi="宋体"/>
          <w:b/>
          <w:bCs/>
          <w:color w:val="auto"/>
          <w:sz w:val="24"/>
          <w:highlight w:val="none"/>
        </w:rPr>
        <w:t>1、工程包括所有的设施、设备，安装调试（含管道连接、</w:t>
      </w:r>
      <w:r>
        <w:rPr>
          <w:rFonts w:hint="eastAsia" w:ascii="Arial" w:hAnsi="Arial" w:cs="Arial"/>
          <w:b/>
          <w:bCs/>
          <w:color w:val="auto"/>
          <w:sz w:val="24"/>
          <w:highlight w:val="none"/>
        </w:rPr>
        <w:t>阀门、法兰管道连接、保温、试压、调试运行</w:t>
      </w:r>
      <w:r>
        <w:rPr>
          <w:rFonts w:hint="eastAsia" w:ascii="宋体" w:hAnsi="宋体"/>
          <w:b/>
          <w:bCs/>
          <w:color w:val="auto"/>
          <w:sz w:val="24"/>
          <w:highlight w:val="none"/>
        </w:rPr>
        <w:t>等）</w:t>
      </w:r>
      <w:r>
        <w:rPr>
          <w:rFonts w:hint="eastAsia" w:ascii="宋体" w:hAnsi="宋体"/>
          <w:b/>
          <w:bCs/>
          <w:color w:val="auto"/>
          <w:sz w:val="24"/>
          <w:highlight w:val="none"/>
          <w:lang w:eastAsia="zh-CN"/>
        </w:rPr>
        <w:t>；</w:t>
      </w:r>
      <w:r>
        <w:rPr>
          <w:rFonts w:hint="eastAsia" w:eastAsia="宋体"/>
          <w:b/>
          <w:bCs/>
          <w:color w:val="auto"/>
          <w:sz w:val="24"/>
          <w:szCs w:val="24"/>
          <w:highlight w:val="none"/>
        </w:rPr>
        <w:t>发生的费用均由供应商考虑并包含在</w:t>
      </w:r>
      <w:r>
        <w:rPr>
          <w:rFonts w:hint="eastAsia" w:eastAsia="宋体"/>
          <w:b/>
          <w:bCs/>
          <w:color w:val="auto"/>
          <w:sz w:val="24"/>
          <w:szCs w:val="24"/>
          <w:highlight w:val="none"/>
          <w:lang w:eastAsia="zh-CN"/>
        </w:rPr>
        <w:t>响应</w:t>
      </w:r>
      <w:r>
        <w:rPr>
          <w:rFonts w:hint="eastAsia" w:eastAsia="宋体"/>
          <w:b/>
          <w:bCs/>
          <w:color w:val="auto"/>
          <w:sz w:val="24"/>
          <w:szCs w:val="24"/>
          <w:highlight w:val="none"/>
        </w:rPr>
        <w:t>报价中</w:t>
      </w:r>
      <w:r>
        <w:rPr>
          <w:rFonts w:hint="eastAsia" w:ascii="宋体" w:hAnsi="宋体"/>
          <w:b/>
          <w:bCs/>
          <w:color w:val="auto"/>
          <w:sz w:val="24"/>
          <w:highlight w:val="none"/>
          <w:lang w:eastAsia="zh-CN"/>
        </w:rPr>
        <w:t>。</w:t>
      </w:r>
    </w:p>
    <w:p w14:paraId="5624CE68">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eastAsia="宋体" w:cs="宋体"/>
          <w:b/>
          <w:color w:val="auto"/>
          <w:sz w:val="24"/>
          <w:szCs w:val="24"/>
          <w:highlight w:val="none"/>
          <w:lang w:eastAsia="zh-CN"/>
        </w:rPr>
      </w:pPr>
      <w:r>
        <w:rPr>
          <w:rFonts w:hint="eastAsia" w:ascii="宋体" w:hAnsi="宋体" w:eastAsia="宋体" w:cs="Times New Roman"/>
          <w:b/>
          <w:bCs/>
          <w:color w:val="auto"/>
          <w:sz w:val="24"/>
          <w:highlight w:val="none"/>
        </w:rPr>
        <w:t>2、注意：供回水为2进2出（4,6号楼），媒水1进1出（锅炉，冷水机组）</w:t>
      </w:r>
    </w:p>
    <w:p w14:paraId="3661D32E">
      <w:pPr>
        <w:tabs>
          <w:tab w:val="left" w:pos="10080"/>
          <w:tab w:val="left" w:pos="10440"/>
        </w:tabs>
        <w:spacing w:line="360" w:lineRule="auto"/>
        <w:ind w:firstLine="482"/>
        <w:rPr>
          <w:rFonts w:eastAsia="宋体"/>
          <w:b/>
          <w:bCs/>
          <w:color w:val="auto"/>
          <w:sz w:val="24"/>
          <w:szCs w:val="24"/>
          <w:highlight w:val="none"/>
        </w:rPr>
      </w:pPr>
      <w:r>
        <w:rPr>
          <w:rFonts w:hint="eastAsia" w:eastAsia="宋体"/>
          <w:b/>
          <w:bCs/>
          <w:color w:val="auto"/>
          <w:sz w:val="24"/>
          <w:szCs w:val="24"/>
          <w:highlight w:val="none"/>
          <w:lang w:eastAsia="zh-CN"/>
        </w:rPr>
        <w:t>三</w:t>
      </w:r>
      <w:r>
        <w:rPr>
          <w:rFonts w:hint="eastAsia" w:eastAsia="宋体"/>
          <w:b/>
          <w:bCs/>
          <w:color w:val="auto"/>
          <w:sz w:val="24"/>
          <w:szCs w:val="24"/>
          <w:highlight w:val="none"/>
        </w:rPr>
        <w:t>、一般要求</w:t>
      </w:r>
    </w:p>
    <w:p w14:paraId="6F21DCAA">
      <w:pPr>
        <w:spacing w:line="360" w:lineRule="auto"/>
        <w:ind w:firstLine="480"/>
        <w:rPr>
          <w:rFonts w:eastAsia="宋体"/>
          <w:color w:val="auto"/>
          <w:sz w:val="24"/>
          <w:szCs w:val="24"/>
          <w:highlight w:val="none"/>
        </w:rPr>
      </w:pPr>
      <w:r>
        <w:rPr>
          <w:rFonts w:hint="eastAsia" w:eastAsia="宋体" w:cs="宋体"/>
          <w:color w:val="auto"/>
          <w:sz w:val="24"/>
          <w:szCs w:val="24"/>
          <w:highlight w:val="none"/>
        </w:rPr>
        <w:t>1、供应商必须能提供</w:t>
      </w:r>
      <w:r>
        <w:rPr>
          <w:rFonts w:hint="eastAsia" w:eastAsia="宋体" w:cs="宋体"/>
          <w:color w:val="auto"/>
          <w:sz w:val="24"/>
          <w:szCs w:val="24"/>
          <w:highlight w:val="none"/>
          <w:lang w:eastAsia="zh-CN"/>
        </w:rPr>
        <w:t>采购</w:t>
      </w:r>
      <w:r>
        <w:rPr>
          <w:rFonts w:hint="eastAsia" w:eastAsia="宋体" w:cs="宋体"/>
          <w:color w:val="auto"/>
          <w:sz w:val="24"/>
          <w:szCs w:val="24"/>
          <w:highlight w:val="none"/>
        </w:rPr>
        <w:t>文件中的全部货物、软件、服务、配件、材料及工具。</w:t>
      </w:r>
    </w:p>
    <w:p w14:paraId="6DA09803">
      <w:pPr>
        <w:spacing w:line="360" w:lineRule="auto"/>
        <w:ind w:firstLine="480"/>
        <w:rPr>
          <w:rFonts w:eastAsia="宋体"/>
          <w:color w:val="auto"/>
          <w:sz w:val="24"/>
          <w:szCs w:val="24"/>
          <w:highlight w:val="none"/>
        </w:rPr>
      </w:pPr>
      <w:r>
        <w:rPr>
          <w:rFonts w:hint="eastAsia" w:eastAsia="宋体"/>
          <w:color w:val="auto"/>
          <w:sz w:val="24"/>
          <w:szCs w:val="24"/>
          <w:highlight w:val="none"/>
          <w:lang w:val="en-US" w:eastAsia="zh-CN"/>
        </w:rPr>
        <w:t>2</w:t>
      </w:r>
      <w:r>
        <w:rPr>
          <w:rFonts w:hint="eastAsia" w:eastAsia="宋体"/>
          <w:color w:val="auto"/>
          <w:sz w:val="24"/>
          <w:szCs w:val="24"/>
          <w:highlight w:val="none"/>
        </w:rPr>
        <w:t>、供应商供货应符合国家有关法律、法规规定、标准；</w:t>
      </w:r>
      <w:r>
        <w:rPr>
          <w:rFonts w:hint="eastAsia" w:ascii="Arial" w:hAnsi="Arial" w:cs="Arial"/>
          <w:color w:val="auto"/>
          <w:sz w:val="24"/>
          <w:highlight w:val="none"/>
        </w:rPr>
        <w:t>板式换热机组</w:t>
      </w:r>
      <w:r>
        <w:rPr>
          <w:rFonts w:hint="eastAsia" w:eastAsia="宋体"/>
          <w:color w:val="auto"/>
          <w:sz w:val="24"/>
          <w:szCs w:val="24"/>
          <w:highlight w:val="none"/>
        </w:rPr>
        <w:t>应有齐备的技术文件、图纸、说明书、合格证。</w:t>
      </w:r>
    </w:p>
    <w:p w14:paraId="30C3FAB3">
      <w:pPr>
        <w:spacing w:line="360" w:lineRule="auto"/>
        <w:ind w:firstLine="480"/>
        <w:rPr>
          <w:rFonts w:eastAsia="宋体"/>
          <w:color w:val="auto"/>
          <w:sz w:val="24"/>
          <w:szCs w:val="24"/>
          <w:highlight w:val="none"/>
        </w:rPr>
      </w:pPr>
      <w:r>
        <w:rPr>
          <w:rFonts w:hint="eastAsia" w:eastAsia="宋体"/>
          <w:color w:val="auto"/>
          <w:sz w:val="24"/>
          <w:szCs w:val="24"/>
          <w:highlight w:val="none"/>
          <w:lang w:val="en-US" w:eastAsia="zh-CN"/>
        </w:rPr>
        <w:t>3、</w:t>
      </w:r>
      <w:r>
        <w:rPr>
          <w:rFonts w:hint="eastAsia" w:eastAsia="宋体"/>
          <w:color w:val="auto"/>
          <w:sz w:val="24"/>
          <w:szCs w:val="24"/>
          <w:highlight w:val="none"/>
        </w:rPr>
        <w:t>供应商应提供合格的、具有高可靠性的优质产品，所有设备必须为全新设备。</w:t>
      </w:r>
    </w:p>
    <w:p w14:paraId="32D2BA0F">
      <w:pPr>
        <w:spacing w:line="360" w:lineRule="auto"/>
        <w:ind w:firstLine="480"/>
        <w:rPr>
          <w:rFonts w:eastAsia="宋体"/>
          <w:color w:val="auto"/>
          <w:sz w:val="24"/>
          <w:szCs w:val="24"/>
          <w:highlight w:val="none"/>
        </w:rPr>
      </w:pPr>
      <w:r>
        <w:rPr>
          <w:rFonts w:hint="eastAsia" w:eastAsia="宋体"/>
          <w:color w:val="auto"/>
          <w:sz w:val="24"/>
          <w:szCs w:val="24"/>
          <w:highlight w:val="none"/>
          <w:lang w:val="en-US" w:eastAsia="zh-CN"/>
        </w:rPr>
        <w:t>4</w:t>
      </w:r>
      <w:r>
        <w:rPr>
          <w:rFonts w:hint="eastAsia" w:eastAsia="宋体"/>
          <w:color w:val="auto"/>
          <w:sz w:val="24"/>
          <w:szCs w:val="24"/>
          <w:highlight w:val="none"/>
        </w:rPr>
        <w:t>、</w:t>
      </w:r>
      <w:r>
        <w:rPr>
          <w:rFonts w:hint="eastAsia" w:eastAsia="宋体"/>
          <w:color w:val="auto"/>
          <w:sz w:val="24"/>
          <w:szCs w:val="24"/>
          <w:highlight w:val="none"/>
          <w:lang w:eastAsia="zh-CN"/>
        </w:rPr>
        <w:t>响应</w:t>
      </w:r>
      <w:r>
        <w:rPr>
          <w:rFonts w:hint="eastAsia" w:eastAsia="宋体"/>
          <w:color w:val="auto"/>
          <w:sz w:val="24"/>
          <w:szCs w:val="24"/>
          <w:highlight w:val="none"/>
        </w:rPr>
        <w:t>产品必须满足长时间连续运行功能。</w:t>
      </w:r>
    </w:p>
    <w:p w14:paraId="71182FBD">
      <w:pPr>
        <w:spacing w:line="360" w:lineRule="auto"/>
        <w:ind w:firstLine="480"/>
        <w:rPr>
          <w:rFonts w:eastAsia="宋体"/>
          <w:color w:val="auto"/>
          <w:sz w:val="24"/>
          <w:szCs w:val="24"/>
          <w:highlight w:val="none"/>
        </w:rPr>
      </w:pPr>
      <w:r>
        <w:rPr>
          <w:rFonts w:hint="eastAsia" w:eastAsia="宋体"/>
          <w:color w:val="auto"/>
          <w:sz w:val="24"/>
          <w:szCs w:val="24"/>
          <w:highlight w:val="none"/>
          <w:lang w:val="en-US" w:eastAsia="zh-CN"/>
        </w:rPr>
        <w:t>5</w:t>
      </w:r>
      <w:r>
        <w:rPr>
          <w:rFonts w:hint="eastAsia" w:eastAsia="宋体"/>
          <w:color w:val="auto"/>
          <w:sz w:val="24"/>
          <w:szCs w:val="24"/>
          <w:highlight w:val="none"/>
        </w:rPr>
        <w:t>、供应商应在</w:t>
      </w:r>
      <w:r>
        <w:rPr>
          <w:rFonts w:hint="eastAsia" w:eastAsia="宋体"/>
          <w:color w:val="auto"/>
          <w:sz w:val="24"/>
          <w:szCs w:val="24"/>
          <w:highlight w:val="none"/>
          <w:lang w:eastAsia="zh-CN"/>
        </w:rPr>
        <w:t>响应</w:t>
      </w:r>
      <w:r>
        <w:rPr>
          <w:rFonts w:hint="eastAsia" w:eastAsia="宋体"/>
          <w:color w:val="auto"/>
          <w:sz w:val="24"/>
          <w:szCs w:val="24"/>
          <w:highlight w:val="none"/>
        </w:rPr>
        <w:t>文件中标明所投产品的规格、型号、品牌、配置说明。</w:t>
      </w:r>
    </w:p>
    <w:p w14:paraId="12760268">
      <w:pPr>
        <w:spacing w:line="360" w:lineRule="auto"/>
        <w:ind w:firstLine="480"/>
        <w:rPr>
          <w:rFonts w:eastAsia="宋体"/>
          <w:color w:val="auto"/>
          <w:sz w:val="24"/>
          <w:szCs w:val="24"/>
          <w:highlight w:val="none"/>
        </w:rPr>
      </w:pPr>
      <w:r>
        <w:rPr>
          <w:rFonts w:hint="eastAsia" w:eastAsia="宋体"/>
          <w:color w:val="auto"/>
          <w:sz w:val="24"/>
          <w:szCs w:val="24"/>
          <w:highlight w:val="none"/>
          <w:lang w:val="en-US" w:eastAsia="zh-CN"/>
        </w:rPr>
        <w:t>6</w:t>
      </w:r>
      <w:r>
        <w:rPr>
          <w:rFonts w:hint="eastAsia" w:eastAsia="宋体"/>
          <w:color w:val="auto"/>
          <w:sz w:val="24"/>
          <w:szCs w:val="24"/>
          <w:highlight w:val="none"/>
        </w:rPr>
        <w:t>、设备的材料、制造、测试等应采用适用于该项目的相应质量标准、试验规格和技术标准以及在本技术需求书中规定的任何其它标准。</w:t>
      </w:r>
    </w:p>
    <w:p w14:paraId="4EFC8334">
      <w:pPr>
        <w:tabs>
          <w:tab w:val="left" w:pos="10080"/>
          <w:tab w:val="left" w:pos="10440"/>
        </w:tabs>
        <w:spacing w:line="360" w:lineRule="auto"/>
        <w:ind w:firstLine="480"/>
        <w:rPr>
          <w:rFonts w:eastAsia="宋体"/>
          <w:bCs/>
          <w:color w:val="auto"/>
          <w:sz w:val="24"/>
          <w:szCs w:val="24"/>
          <w:highlight w:val="none"/>
        </w:rPr>
      </w:pPr>
      <w:r>
        <w:rPr>
          <w:rFonts w:hint="eastAsia" w:eastAsia="宋体"/>
          <w:bCs/>
          <w:color w:val="auto"/>
          <w:sz w:val="24"/>
          <w:szCs w:val="24"/>
          <w:highlight w:val="none"/>
          <w:lang w:val="en-US" w:eastAsia="zh-CN"/>
        </w:rPr>
        <w:t>7</w:t>
      </w:r>
      <w:r>
        <w:rPr>
          <w:rFonts w:hint="eastAsia" w:eastAsia="宋体"/>
          <w:bCs/>
          <w:color w:val="auto"/>
          <w:sz w:val="24"/>
          <w:szCs w:val="24"/>
          <w:highlight w:val="none"/>
        </w:rPr>
        <w:t>、供应商应在交付货物的同时向</w:t>
      </w:r>
      <w:r>
        <w:rPr>
          <w:rFonts w:hint="eastAsia" w:eastAsia="宋体"/>
          <w:bCs/>
          <w:color w:val="auto"/>
          <w:sz w:val="24"/>
          <w:szCs w:val="24"/>
          <w:highlight w:val="none"/>
          <w:lang w:eastAsia="zh-CN"/>
        </w:rPr>
        <w:t>采购</w:t>
      </w:r>
      <w:r>
        <w:rPr>
          <w:rFonts w:hint="eastAsia" w:eastAsia="宋体"/>
          <w:bCs/>
          <w:color w:val="auto"/>
          <w:sz w:val="24"/>
          <w:szCs w:val="24"/>
          <w:highlight w:val="none"/>
        </w:rPr>
        <w:t>人提供产品全套随机资料一套（包括但不限于含产品合格证书、使用维护说明书、验收报告书、原厂保修单等）。</w:t>
      </w:r>
    </w:p>
    <w:p w14:paraId="0CE7B52B">
      <w:pPr>
        <w:tabs>
          <w:tab w:val="left" w:pos="10080"/>
          <w:tab w:val="left" w:pos="10440"/>
        </w:tabs>
        <w:spacing w:line="360" w:lineRule="auto"/>
        <w:ind w:firstLine="482"/>
        <w:rPr>
          <w:rFonts w:eastAsia="宋体"/>
          <w:b/>
          <w:bCs/>
          <w:color w:val="auto"/>
          <w:sz w:val="24"/>
          <w:szCs w:val="24"/>
          <w:highlight w:val="none"/>
        </w:rPr>
      </w:pPr>
      <w:r>
        <w:rPr>
          <w:rFonts w:hint="eastAsia" w:eastAsia="宋体"/>
          <w:b/>
          <w:bCs/>
          <w:color w:val="auto"/>
          <w:sz w:val="24"/>
          <w:szCs w:val="24"/>
          <w:highlight w:val="none"/>
          <w:lang w:eastAsia="zh-CN"/>
        </w:rPr>
        <w:t>四</w:t>
      </w:r>
      <w:r>
        <w:rPr>
          <w:rFonts w:hint="eastAsia" w:eastAsia="宋体"/>
          <w:b/>
          <w:bCs/>
          <w:color w:val="auto"/>
          <w:sz w:val="24"/>
          <w:szCs w:val="24"/>
          <w:highlight w:val="none"/>
        </w:rPr>
        <w:t>、产品质量保证期及售后服务</w:t>
      </w:r>
    </w:p>
    <w:p w14:paraId="37FA2AA9">
      <w:pPr>
        <w:widowControl/>
        <w:spacing w:line="360" w:lineRule="auto"/>
        <w:ind w:firstLine="480"/>
        <w:jc w:val="left"/>
        <w:rPr>
          <w:rFonts w:eastAsia="宋体"/>
          <w:color w:val="auto"/>
          <w:sz w:val="24"/>
          <w:szCs w:val="24"/>
          <w:highlight w:val="none"/>
        </w:rPr>
      </w:pPr>
      <w:r>
        <w:rPr>
          <w:rFonts w:hint="eastAsia" w:eastAsia="宋体"/>
          <w:color w:val="auto"/>
          <w:sz w:val="24"/>
          <w:szCs w:val="24"/>
          <w:highlight w:val="none"/>
        </w:rPr>
        <w:t>1、提供所投品牌销售、专业安装、系统调试和专业维护授权及服务维修授权、售后服务承诺书。</w:t>
      </w:r>
    </w:p>
    <w:p w14:paraId="1998FA10">
      <w:pPr>
        <w:widowControl/>
        <w:spacing w:line="360" w:lineRule="auto"/>
        <w:ind w:firstLine="480"/>
        <w:jc w:val="left"/>
        <w:rPr>
          <w:rFonts w:eastAsia="宋体"/>
          <w:color w:val="auto"/>
          <w:sz w:val="24"/>
          <w:szCs w:val="24"/>
          <w:highlight w:val="none"/>
        </w:rPr>
      </w:pPr>
      <w:r>
        <w:rPr>
          <w:rFonts w:hint="eastAsia" w:eastAsia="宋体"/>
          <w:color w:val="auto"/>
          <w:sz w:val="24"/>
          <w:szCs w:val="24"/>
          <w:highlight w:val="none"/>
          <w:lang w:val="en-US" w:eastAsia="zh-CN"/>
        </w:rPr>
        <w:t>2</w:t>
      </w:r>
      <w:r>
        <w:rPr>
          <w:rFonts w:hint="eastAsia" w:eastAsia="宋体"/>
          <w:color w:val="auto"/>
          <w:sz w:val="24"/>
          <w:szCs w:val="24"/>
          <w:highlight w:val="none"/>
        </w:rPr>
        <w:t>、</w:t>
      </w:r>
      <w:r>
        <w:rPr>
          <w:rFonts w:hint="eastAsia" w:eastAsia="宋体"/>
          <w:color w:val="auto"/>
          <w:sz w:val="24"/>
          <w:szCs w:val="24"/>
          <w:highlight w:val="none"/>
          <w:lang w:eastAsia="zh-CN"/>
        </w:rPr>
        <w:t>成交</w:t>
      </w:r>
      <w:r>
        <w:rPr>
          <w:rFonts w:hint="eastAsia" w:eastAsia="宋体"/>
          <w:color w:val="auto"/>
          <w:sz w:val="24"/>
          <w:szCs w:val="24"/>
          <w:highlight w:val="none"/>
        </w:rPr>
        <w:t>供应商负责安装、调试、配合</w:t>
      </w:r>
      <w:r>
        <w:rPr>
          <w:rFonts w:hint="eastAsia" w:eastAsia="宋体"/>
          <w:color w:val="auto"/>
          <w:sz w:val="24"/>
          <w:szCs w:val="24"/>
          <w:highlight w:val="none"/>
          <w:lang w:eastAsia="zh-CN"/>
        </w:rPr>
        <w:t>采购</w:t>
      </w:r>
      <w:r>
        <w:rPr>
          <w:rFonts w:hint="eastAsia" w:eastAsia="宋体"/>
          <w:color w:val="auto"/>
          <w:sz w:val="24"/>
          <w:szCs w:val="24"/>
          <w:highlight w:val="none"/>
        </w:rPr>
        <w:t>人进行验收，并承担因此发生的一切费用。</w:t>
      </w:r>
    </w:p>
    <w:p w14:paraId="70EC22FC">
      <w:pPr>
        <w:widowControl/>
        <w:spacing w:line="360" w:lineRule="auto"/>
        <w:ind w:firstLine="480"/>
        <w:jc w:val="left"/>
        <w:rPr>
          <w:rFonts w:hint="eastAsia" w:eastAsia="宋体"/>
          <w:color w:val="auto"/>
          <w:sz w:val="24"/>
          <w:szCs w:val="24"/>
          <w:highlight w:val="none"/>
          <w:lang w:eastAsia="zh-CN"/>
        </w:rPr>
      </w:pPr>
      <w:r>
        <w:rPr>
          <w:rFonts w:hint="eastAsia" w:eastAsia="宋体"/>
          <w:color w:val="auto"/>
          <w:sz w:val="24"/>
          <w:szCs w:val="24"/>
          <w:highlight w:val="none"/>
          <w:lang w:val="en-US" w:eastAsia="zh-CN"/>
        </w:rPr>
        <w:t>3</w:t>
      </w:r>
      <w:r>
        <w:rPr>
          <w:rFonts w:hint="eastAsia" w:eastAsia="宋体"/>
          <w:color w:val="auto"/>
          <w:sz w:val="24"/>
          <w:szCs w:val="24"/>
          <w:highlight w:val="none"/>
        </w:rPr>
        <w:t>、</w:t>
      </w:r>
      <w:r>
        <w:rPr>
          <w:rFonts w:hint="eastAsia" w:eastAsia="宋体"/>
          <w:color w:val="auto"/>
          <w:sz w:val="24"/>
          <w:szCs w:val="24"/>
          <w:highlight w:val="none"/>
          <w:lang w:eastAsia="zh-CN"/>
        </w:rPr>
        <w:t>成交</w:t>
      </w:r>
      <w:r>
        <w:rPr>
          <w:rFonts w:hint="eastAsia" w:eastAsia="宋体"/>
          <w:bCs/>
          <w:color w:val="auto"/>
          <w:sz w:val="24"/>
          <w:szCs w:val="24"/>
          <w:highlight w:val="none"/>
        </w:rPr>
        <w:t>供应商</w:t>
      </w:r>
      <w:r>
        <w:rPr>
          <w:rFonts w:hint="eastAsia" w:eastAsia="宋体" w:cs="宋体"/>
          <w:color w:val="auto"/>
          <w:sz w:val="24"/>
          <w:szCs w:val="24"/>
          <w:highlight w:val="none"/>
          <w:lang w:val="zh-CN"/>
        </w:rPr>
        <w:t>须确保工作人员均受过严格培训，具有丰富施工经验的工程技术人员，严格按照标准和规范进行施工。</w:t>
      </w:r>
      <w:r>
        <w:rPr>
          <w:rFonts w:hint="eastAsia" w:ascii="宋体" w:hAnsi="宋体" w:eastAsia="宋体" w:cs="Times New Roman"/>
          <w:b/>
          <w:bCs/>
          <w:color w:val="auto"/>
          <w:sz w:val="24"/>
          <w:highlight w:val="none"/>
        </w:rPr>
        <w:t>现场施工安装单位要具备相应的安装施工资质，施工人员要有焊工证，要严格执行施工安全要求</w:t>
      </w:r>
      <w:r>
        <w:rPr>
          <w:rFonts w:hint="eastAsia" w:ascii="宋体" w:hAnsi="宋体" w:eastAsia="宋体" w:cs="Times New Roman"/>
          <w:b/>
          <w:bCs/>
          <w:color w:val="auto"/>
          <w:sz w:val="24"/>
          <w:highlight w:val="none"/>
          <w:lang w:eastAsia="zh-CN"/>
        </w:rPr>
        <w:t>，施工安全风险和责任由成交供应商自行承担。</w:t>
      </w:r>
    </w:p>
    <w:p w14:paraId="5BABCA67">
      <w:pPr>
        <w:widowControl/>
        <w:spacing w:line="360" w:lineRule="auto"/>
        <w:ind w:firstLine="480"/>
        <w:jc w:val="left"/>
        <w:rPr>
          <w:rFonts w:eastAsia="宋体"/>
          <w:color w:val="auto"/>
          <w:sz w:val="24"/>
          <w:szCs w:val="24"/>
          <w:highlight w:val="none"/>
        </w:rPr>
      </w:pPr>
      <w:r>
        <w:rPr>
          <w:rFonts w:hint="eastAsia" w:eastAsia="宋体"/>
          <w:color w:val="auto"/>
          <w:sz w:val="24"/>
          <w:szCs w:val="24"/>
          <w:highlight w:val="none"/>
          <w:lang w:val="en-US" w:eastAsia="zh-CN"/>
        </w:rPr>
        <w:t>4</w:t>
      </w:r>
      <w:r>
        <w:rPr>
          <w:rFonts w:hint="eastAsia" w:eastAsia="宋体"/>
          <w:color w:val="auto"/>
          <w:sz w:val="24"/>
          <w:szCs w:val="24"/>
          <w:highlight w:val="none"/>
        </w:rPr>
        <w:t>、</w:t>
      </w:r>
      <w:r>
        <w:rPr>
          <w:rFonts w:hint="eastAsia" w:eastAsia="宋体"/>
          <w:color w:val="auto"/>
          <w:sz w:val="24"/>
          <w:szCs w:val="24"/>
          <w:highlight w:val="none"/>
          <w:lang w:eastAsia="zh-CN"/>
        </w:rPr>
        <w:t>成交</w:t>
      </w:r>
      <w:r>
        <w:rPr>
          <w:rFonts w:hint="eastAsia" w:eastAsia="宋体"/>
          <w:color w:val="auto"/>
          <w:sz w:val="24"/>
          <w:szCs w:val="24"/>
          <w:highlight w:val="none"/>
        </w:rPr>
        <w:t>供应商在合同规定的期限内对所提供的</w:t>
      </w:r>
      <w:r>
        <w:rPr>
          <w:rFonts w:hint="eastAsia" w:eastAsia="宋体"/>
          <w:color w:val="auto"/>
          <w:sz w:val="24"/>
          <w:szCs w:val="24"/>
          <w:highlight w:val="none"/>
          <w:lang w:eastAsia="zh-CN"/>
        </w:rPr>
        <w:t>采购</w:t>
      </w:r>
      <w:r>
        <w:rPr>
          <w:rFonts w:hint="eastAsia" w:eastAsia="宋体"/>
          <w:color w:val="auto"/>
          <w:sz w:val="24"/>
          <w:szCs w:val="24"/>
          <w:highlight w:val="none"/>
        </w:rPr>
        <w:t>物实行现场维护，随时处理存在的故障，如现场不能维修解决的故障问题，须提供故障不能排除时的解决方案。</w:t>
      </w:r>
    </w:p>
    <w:p w14:paraId="22D325AD">
      <w:pPr>
        <w:widowControl/>
        <w:spacing w:line="360" w:lineRule="auto"/>
        <w:ind w:firstLine="480"/>
        <w:jc w:val="left"/>
        <w:rPr>
          <w:rFonts w:eastAsia="宋体"/>
          <w:color w:val="auto"/>
          <w:sz w:val="24"/>
          <w:szCs w:val="24"/>
          <w:highlight w:val="none"/>
        </w:rPr>
      </w:pPr>
      <w:r>
        <w:rPr>
          <w:rFonts w:hint="eastAsia" w:eastAsia="宋体"/>
          <w:color w:val="auto"/>
          <w:sz w:val="24"/>
          <w:szCs w:val="24"/>
          <w:highlight w:val="none"/>
          <w:lang w:val="en-US" w:eastAsia="zh-CN"/>
        </w:rPr>
        <w:t>5</w:t>
      </w:r>
      <w:r>
        <w:rPr>
          <w:rFonts w:hint="eastAsia" w:eastAsia="宋体"/>
          <w:color w:val="auto"/>
          <w:sz w:val="24"/>
          <w:szCs w:val="24"/>
          <w:highlight w:val="none"/>
        </w:rPr>
        <w:t>、质量保证期内的服务</w:t>
      </w:r>
    </w:p>
    <w:p w14:paraId="6AC65999">
      <w:pPr>
        <w:widowControl/>
        <w:spacing w:line="360" w:lineRule="auto"/>
        <w:ind w:firstLine="480"/>
        <w:jc w:val="left"/>
        <w:rPr>
          <w:rFonts w:hint="eastAsia" w:eastAsia="宋体"/>
          <w:color w:val="auto"/>
          <w:sz w:val="24"/>
          <w:szCs w:val="24"/>
          <w:highlight w:val="none"/>
        </w:rPr>
      </w:pPr>
      <w:r>
        <w:rPr>
          <w:rFonts w:hint="eastAsia" w:eastAsia="宋体"/>
          <w:color w:val="auto"/>
          <w:sz w:val="24"/>
          <w:szCs w:val="24"/>
          <w:highlight w:val="none"/>
          <w:lang w:val="en-US" w:eastAsia="zh-CN"/>
        </w:rPr>
        <w:t>5</w:t>
      </w:r>
      <w:r>
        <w:rPr>
          <w:rFonts w:hint="eastAsia" w:eastAsia="宋体"/>
          <w:color w:val="auto"/>
          <w:sz w:val="24"/>
          <w:szCs w:val="24"/>
          <w:highlight w:val="none"/>
        </w:rPr>
        <w:t>.1质保期：自设备调试验收合格并交付使用之日起计算至少两年免费质保期。</w:t>
      </w:r>
    </w:p>
    <w:p w14:paraId="6EB1FAFC">
      <w:pPr>
        <w:widowControl/>
        <w:spacing w:line="360" w:lineRule="auto"/>
        <w:ind w:firstLine="480"/>
        <w:jc w:val="left"/>
        <w:rPr>
          <w:rFonts w:eastAsia="宋体"/>
          <w:color w:val="auto"/>
          <w:sz w:val="24"/>
          <w:szCs w:val="24"/>
          <w:highlight w:val="none"/>
        </w:rPr>
      </w:pPr>
      <w:r>
        <w:rPr>
          <w:rFonts w:hint="eastAsia" w:eastAsia="宋体"/>
          <w:color w:val="auto"/>
          <w:sz w:val="24"/>
          <w:szCs w:val="24"/>
          <w:highlight w:val="none"/>
          <w:lang w:val="en-US" w:eastAsia="zh-CN"/>
        </w:rPr>
        <w:t>5.2</w:t>
      </w:r>
      <w:r>
        <w:rPr>
          <w:rFonts w:hint="eastAsia" w:eastAsia="宋体"/>
          <w:color w:val="auto"/>
          <w:sz w:val="24"/>
          <w:szCs w:val="24"/>
          <w:highlight w:val="none"/>
        </w:rPr>
        <w:t>对由于设备零、部件质量问题造成损坏的，</w:t>
      </w:r>
      <w:r>
        <w:rPr>
          <w:rFonts w:hint="eastAsia" w:eastAsia="宋体"/>
          <w:color w:val="auto"/>
          <w:sz w:val="24"/>
          <w:szCs w:val="24"/>
          <w:highlight w:val="none"/>
          <w:lang w:eastAsia="zh-CN"/>
        </w:rPr>
        <w:t>成交</w:t>
      </w:r>
      <w:r>
        <w:rPr>
          <w:rFonts w:hint="eastAsia" w:eastAsia="宋体"/>
          <w:color w:val="auto"/>
          <w:sz w:val="24"/>
          <w:szCs w:val="24"/>
          <w:highlight w:val="none"/>
        </w:rPr>
        <w:t>供应商免费维修或更换至符合质量要求，并承担因此给采购人造成的经济损失。由于采购人或用户人为因素造成的零、部件损坏，</w:t>
      </w:r>
      <w:r>
        <w:rPr>
          <w:rFonts w:hint="eastAsia" w:eastAsia="宋体"/>
          <w:color w:val="auto"/>
          <w:sz w:val="24"/>
          <w:szCs w:val="24"/>
          <w:highlight w:val="none"/>
          <w:lang w:eastAsia="zh-CN"/>
        </w:rPr>
        <w:t>成交</w:t>
      </w:r>
      <w:r>
        <w:rPr>
          <w:rFonts w:hint="eastAsia" w:eastAsia="宋体"/>
          <w:color w:val="auto"/>
          <w:sz w:val="24"/>
          <w:szCs w:val="24"/>
          <w:highlight w:val="none"/>
        </w:rPr>
        <w:t>供应商有义务对损坏零、部件进行维修更换，只收取采购方材料费。</w:t>
      </w:r>
    </w:p>
    <w:p w14:paraId="28FE4A70">
      <w:pPr>
        <w:widowControl/>
        <w:spacing w:line="360" w:lineRule="auto"/>
        <w:ind w:firstLine="480"/>
        <w:jc w:val="left"/>
        <w:rPr>
          <w:rFonts w:eastAsia="宋体"/>
          <w:color w:val="auto"/>
          <w:sz w:val="24"/>
          <w:szCs w:val="24"/>
          <w:highlight w:val="none"/>
        </w:rPr>
      </w:pPr>
      <w:r>
        <w:rPr>
          <w:rFonts w:hint="eastAsia" w:eastAsia="宋体"/>
          <w:color w:val="auto"/>
          <w:sz w:val="24"/>
          <w:szCs w:val="24"/>
          <w:highlight w:val="none"/>
          <w:lang w:val="en-US" w:eastAsia="zh-CN"/>
        </w:rPr>
        <w:t>5</w:t>
      </w:r>
      <w:r>
        <w:rPr>
          <w:rFonts w:hint="eastAsia" w:eastAsia="宋体"/>
          <w:color w:val="auto"/>
          <w:sz w:val="24"/>
          <w:szCs w:val="24"/>
          <w:highlight w:val="none"/>
        </w:rPr>
        <w:t>.</w:t>
      </w:r>
      <w:r>
        <w:rPr>
          <w:rFonts w:hint="eastAsia" w:eastAsia="宋体"/>
          <w:color w:val="auto"/>
          <w:sz w:val="24"/>
          <w:szCs w:val="24"/>
          <w:highlight w:val="none"/>
          <w:lang w:val="en-US" w:eastAsia="zh-CN"/>
        </w:rPr>
        <w:t>3</w:t>
      </w:r>
      <w:r>
        <w:rPr>
          <w:rFonts w:hint="eastAsia" w:eastAsia="宋体"/>
          <w:color w:val="auto"/>
          <w:sz w:val="21"/>
          <w:szCs w:val="22"/>
          <w:highlight w:val="none"/>
        </w:rPr>
        <w:t xml:space="preserve"> </w:t>
      </w:r>
      <w:r>
        <w:rPr>
          <w:rFonts w:hint="eastAsia" w:eastAsia="宋体"/>
          <w:color w:val="auto"/>
          <w:sz w:val="24"/>
          <w:szCs w:val="24"/>
          <w:highlight w:val="none"/>
        </w:rPr>
        <w:t>质保期内货物或软件一旦出现故障，</w:t>
      </w:r>
      <w:r>
        <w:rPr>
          <w:rFonts w:hint="eastAsia" w:eastAsia="宋体"/>
          <w:color w:val="auto"/>
          <w:sz w:val="24"/>
          <w:szCs w:val="24"/>
          <w:highlight w:val="none"/>
          <w:lang w:eastAsia="zh-CN"/>
        </w:rPr>
        <w:t>成交</w:t>
      </w:r>
      <w:r>
        <w:rPr>
          <w:rFonts w:hint="eastAsia" w:eastAsia="宋体"/>
          <w:color w:val="auto"/>
          <w:sz w:val="24"/>
          <w:szCs w:val="24"/>
          <w:highlight w:val="none"/>
        </w:rPr>
        <w:t>供应商响应时间不超过2小时，检修人员应在24小时内到</w:t>
      </w:r>
      <w:r>
        <w:rPr>
          <w:rFonts w:hint="eastAsia" w:eastAsia="宋体"/>
          <w:color w:val="auto"/>
          <w:sz w:val="24"/>
          <w:szCs w:val="24"/>
          <w:highlight w:val="none"/>
          <w:lang w:eastAsia="zh-CN"/>
        </w:rPr>
        <w:t>采购</w:t>
      </w:r>
      <w:r>
        <w:rPr>
          <w:rFonts w:hint="eastAsia" w:eastAsia="宋体"/>
          <w:color w:val="auto"/>
          <w:sz w:val="24"/>
          <w:szCs w:val="24"/>
          <w:highlight w:val="none"/>
        </w:rPr>
        <w:t>人指定地点及时排除故障，48小时内解决故障问题，恢复设备正常使用。如遇故障无法排除，</w:t>
      </w:r>
      <w:r>
        <w:rPr>
          <w:rFonts w:hint="eastAsia" w:eastAsia="宋体"/>
          <w:color w:val="auto"/>
          <w:sz w:val="24"/>
          <w:szCs w:val="24"/>
          <w:highlight w:val="none"/>
          <w:lang w:eastAsia="zh-CN"/>
        </w:rPr>
        <w:t>成交</w:t>
      </w:r>
      <w:r>
        <w:rPr>
          <w:rFonts w:hint="eastAsia" w:eastAsia="宋体"/>
          <w:color w:val="auto"/>
          <w:sz w:val="24"/>
          <w:szCs w:val="24"/>
          <w:highlight w:val="none"/>
        </w:rPr>
        <w:t>供应商应负责向</w:t>
      </w:r>
      <w:r>
        <w:rPr>
          <w:rFonts w:hint="eastAsia" w:eastAsia="宋体"/>
          <w:color w:val="auto"/>
          <w:sz w:val="24"/>
          <w:szCs w:val="24"/>
          <w:highlight w:val="none"/>
          <w:lang w:eastAsia="zh-CN"/>
        </w:rPr>
        <w:t>采购</w:t>
      </w:r>
      <w:r>
        <w:rPr>
          <w:rFonts w:hint="eastAsia" w:eastAsia="宋体"/>
          <w:color w:val="auto"/>
          <w:sz w:val="24"/>
          <w:szCs w:val="24"/>
          <w:highlight w:val="none"/>
        </w:rPr>
        <w:t>人提供应急备用设备，其费用由</w:t>
      </w:r>
      <w:r>
        <w:rPr>
          <w:rFonts w:hint="eastAsia" w:eastAsia="宋体"/>
          <w:color w:val="auto"/>
          <w:sz w:val="24"/>
          <w:szCs w:val="24"/>
          <w:highlight w:val="none"/>
          <w:lang w:eastAsia="zh-CN"/>
        </w:rPr>
        <w:t>成交</w:t>
      </w:r>
      <w:r>
        <w:rPr>
          <w:rFonts w:hint="eastAsia" w:eastAsia="宋体"/>
          <w:color w:val="auto"/>
          <w:sz w:val="24"/>
          <w:szCs w:val="24"/>
          <w:highlight w:val="none"/>
        </w:rPr>
        <w:t>供应商自行承担。</w:t>
      </w:r>
    </w:p>
    <w:p w14:paraId="081C8177">
      <w:pPr>
        <w:widowControl/>
        <w:spacing w:line="360" w:lineRule="auto"/>
        <w:ind w:firstLine="480"/>
        <w:jc w:val="left"/>
        <w:rPr>
          <w:rFonts w:eastAsia="宋体"/>
          <w:b/>
          <w:bCs/>
          <w:color w:val="auto"/>
          <w:sz w:val="24"/>
          <w:szCs w:val="24"/>
          <w:highlight w:val="none"/>
        </w:rPr>
      </w:pPr>
      <w:r>
        <w:rPr>
          <w:rFonts w:hint="eastAsia" w:eastAsia="宋体"/>
          <w:color w:val="auto"/>
          <w:sz w:val="24"/>
          <w:szCs w:val="24"/>
          <w:highlight w:val="none"/>
          <w:lang w:val="en-US" w:eastAsia="zh-CN"/>
        </w:rPr>
        <w:t>6</w:t>
      </w:r>
      <w:r>
        <w:rPr>
          <w:rFonts w:hint="eastAsia" w:eastAsia="宋体"/>
          <w:color w:val="auto"/>
          <w:sz w:val="24"/>
          <w:szCs w:val="24"/>
          <w:highlight w:val="none"/>
        </w:rPr>
        <w:t>、</w:t>
      </w:r>
      <w:r>
        <w:rPr>
          <w:rFonts w:hint="eastAsia" w:eastAsia="宋体"/>
          <w:b/>
          <w:bCs/>
          <w:color w:val="auto"/>
          <w:sz w:val="24"/>
          <w:szCs w:val="24"/>
          <w:highlight w:val="none"/>
        </w:rPr>
        <w:t>质保期满后，</w:t>
      </w:r>
      <w:r>
        <w:rPr>
          <w:rFonts w:hint="eastAsia" w:eastAsia="宋体"/>
          <w:b/>
          <w:bCs/>
          <w:color w:val="auto"/>
          <w:sz w:val="24"/>
          <w:szCs w:val="24"/>
          <w:highlight w:val="none"/>
          <w:lang w:eastAsia="zh-CN"/>
        </w:rPr>
        <w:t>成交</w:t>
      </w:r>
      <w:r>
        <w:rPr>
          <w:rFonts w:hint="eastAsia" w:eastAsia="宋体"/>
          <w:b/>
          <w:bCs/>
          <w:color w:val="auto"/>
          <w:sz w:val="24"/>
          <w:szCs w:val="24"/>
          <w:highlight w:val="none"/>
        </w:rPr>
        <w:t>供应商须承诺提供至少</w:t>
      </w:r>
      <w:r>
        <w:rPr>
          <w:rFonts w:hint="eastAsia" w:eastAsia="宋体"/>
          <w:b/>
          <w:bCs/>
          <w:color w:val="auto"/>
          <w:sz w:val="24"/>
          <w:szCs w:val="24"/>
          <w:highlight w:val="none"/>
          <w:lang w:eastAsia="zh-CN"/>
        </w:rPr>
        <w:t>一年</w:t>
      </w:r>
      <w:r>
        <w:rPr>
          <w:rFonts w:hint="eastAsia" w:eastAsia="宋体"/>
          <w:b/>
          <w:bCs/>
          <w:color w:val="auto"/>
          <w:sz w:val="24"/>
          <w:szCs w:val="24"/>
          <w:highlight w:val="none"/>
        </w:rPr>
        <w:t>免费维保及终身维修服务，保证零配件供应及维修时效，维修费用按照材料成本收取。同时提供</w:t>
      </w:r>
      <w:r>
        <w:rPr>
          <w:rFonts w:hint="eastAsia" w:eastAsia="宋体"/>
          <w:b/>
          <w:bCs/>
          <w:color w:val="auto"/>
          <w:sz w:val="24"/>
          <w:szCs w:val="22"/>
          <w:highlight w:val="none"/>
        </w:rPr>
        <w:t>终身</w:t>
      </w:r>
      <w:r>
        <w:rPr>
          <w:rFonts w:hint="eastAsia" w:eastAsia="宋体"/>
          <w:b/>
          <w:bCs/>
          <w:color w:val="auto"/>
          <w:sz w:val="24"/>
          <w:szCs w:val="24"/>
          <w:highlight w:val="none"/>
        </w:rPr>
        <w:t>免费软件升级服务。</w:t>
      </w:r>
    </w:p>
    <w:p w14:paraId="62B7A8FC">
      <w:pPr>
        <w:widowControl/>
        <w:spacing w:line="360" w:lineRule="auto"/>
        <w:ind w:firstLine="480"/>
        <w:jc w:val="left"/>
        <w:rPr>
          <w:rFonts w:eastAsia="宋体"/>
          <w:color w:val="auto"/>
          <w:sz w:val="24"/>
          <w:szCs w:val="24"/>
          <w:highlight w:val="none"/>
        </w:rPr>
      </w:pPr>
      <w:r>
        <w:rPr>
          <w:rFonts w:hint="eastAsia" w:eastAsia="宋体"/>
          <w:color w:val="auto"/>
          <w:sz w:val="24"/>
          <w:szCs w:val="24"/>
          <w:highlight w:val="none"/>
          <w:lang w:val="en-US" w:eastAsia="zh-CN"/>
        </w:rPr>
        <w:t>7</w:t>
      </w:r>
      <w:r>
        <w:rPr>
          <w:rFonts w:hint="eastAsia" w:eastAsia="宋体"/>
          <w:color w:val="auto"/>
          <w:sz w:val="24"/>
          <w:szCs w:val="24"/>
          <w:highlight w:val="none"/>
        </w:rPr>
        <w:t>、技术支持和服务：</w:t>
      </w:r>
      <w:r>
        <w:rPr>
          <w:rFonts w:hint="eastAsia" w:eastAsia="宋体"/>
          <w:color w:val="auto"/>
          <w:sz w:val="24"/>
          <w:szCs w:val="24"/>
          <w:highlight w:val="none"/>
          <w:lang w:eastAsia="zh-CN"/>
        </w:rPr>
        <w:t>成交</w:t>
      </w:r>
      <w:r>
        <w:rPr>
          <w:rFonts w:hint="eastAsia" w:eastAsia="宋体"/>
          <w:color w:val="auto"/>
          <w:sz w:val="24"/>
          <w:szCs w:val="24"/>
          <w:highlight w:val="none"/>
        </w:rPr>
        <w:t>供应商免费在现场对业主有关操作人员进行设备结构、工作原理、操作方法及维护保养等相关技术培训。</w:t>
      </w:r>
    </w:p>
    <w:p w14:paraId="21B43B43">
      <w:pPr>
        <w:widowControl/>
        <w:spacing w:line="360" w:lineRule="auto"/>
        <w:ind w:firstLine="480"/>
        <w:jc w:val="left"/>
        <w:rPr>
          <w:rFonts w:eastAsia="宋体"/>
          <w:color w:val="auto"/>
          <w:sz w:val="24"/>
          <w:szCs w:val="24"/>
          <w:highlight w:val="none"/>
        </w:rPr>
      </w:pPr>
      <w:r>
        <w:rPr>
          <w:rFonts w:hint="eastAsia" w:eastAsia="宋体"/>
          <w:color w:val="auto"/>
          <w:sz w:val="24"/>
          <w:szCs w:val="24"/>
          <w:highlight w:val="none"/>
          <w:lang w:val="en-US" w:eastAsia="zh-CN"/>
        </w:rPr>
        <w:t>8</w:t>
      </w:r>
      <w:r>
        <w:rPr>
          <w:rFonts w:hint="eastAsia" w:eastAsia="宋体"/>
          <w:color w:val="auto"/>
          <w:sz w:val="24"/>
          <w:szCs w:val="24"/>
          <w:highlight w:val="none"/>
        </w:rPr>
        <w:t>、根据</w:t>
      </w:r>
      <w:r>
        <w:rPr>
          <w:rFonts w:hint="eastAsia" w:eastAsia="宋体"/>
          <w:color w:val="auto"/>
          <w:sz w:val="24"/>
          <w:szCs w:val="24"/>
          <w:highlight w:val="none"/>
          <w:lang w:eastAsia="zh-CN"/>
        </w:rPr>
        <w:t>采购</w:t>
      </w:r>
      <w:r>
        <w:rPr>
          <w:rFonts w:hint="eastAsia" w:eastAsia="宋体"/>
          <w:color w:val="auto"/>
          <w:sz w:val="24"/>
          <w:szCs w:val="24"/>
          <w:highlight w:val="none"/>
        </w:rPr>
        <w:t>文件规定需要补充的其他内容。</w:t>
      </w:r>
    </w:p>
    <w:p w14:paraId="5AC40885">
      <w:pPr>
        <w:widowControl/>
        <w:spacing w:line="360" w:lineRule="auto"/>
        <w:ind w:firstLine="480"/>
        <w:jc w:val="left"/>
        <w:rPr>
          <w:rFonts w:eastAsia="宋体" w:cs="宋体"/>
          <w:bCs/>
          <w:color w:val="auto"/>
          <w:sz w:val="24"/>
          <w:szCs w:val="24"/>
          <w:highlight w:val="none"/>
        </w:rPr>
      </w:pPr>
      <w:r>
        <w:rPr>
          <w:rFonts w:hint="eastAsia" w:eastAsia="宋体"/>
          <w:color w:val="auto"/>
          <w:sz w:val="24"/>
          <w:szCs w:val="24"/>
          <w:highlight w:val="none"/>
          <w:lang w:val="en-US" w:eastAsia="zh-CN"/>
        </w:rPr>
        <w:t>9</w:t>
      </w:r>
      <w:r>
        <w:rPr>
          <w:rFonts w:hint="eastAsia" w:eastAsia="宋体"/>
          <w:color w:val="auto"/>
          <w:sz w:val="24"/>
          <w:szCs w:val="24"/>
          <w:highlight w:val="none"/>
        </w:rPr>
        <w:t>、维护与保养：</w:t>
      </w:r>
      <w:r>
        <w:rPr>
          <w:rFonts w:hint="eastAsia" w:eastAsia="宋体"/>
          <w:color w:val="auto"/>
          <w:sz w:val="24"/>
          <w:szCs w:val="24"/>
          <w:highlight w:val="none"/>
          <w:lang w:eastAsia="zh-CN"/>
        </w:rPr>
        <w:t>成交</w:t>
      </w:r>
      <w:r>
        <w:rPr>
          <w:rFonts w:hint="eastAsia" w:eastAsia="宋体"/>
          <w:color w:val="auto"/>
          <w:sz w:val="24"/>
          <w:szCs w:val="24"/>
          <w:highlight w:val="none"/>
        </w:rPr>
        <w:t>供应商须具备满足本项目需要的专业服务资质及售后服务维护保养能力。</w:t>
      </w:r>
    </w:p>
    <w:p w14:paraId="3D527669">
      <w:pPr>
        <w:tabs>
          <w:tab w:val="left" w:pos="10080"/>
          <w:tab w:val="left" w:pos="10440"/>
        </w:tabs>
        <w:spacing w:line="360" w:lineRule="auto"/>
        <w:ind w:firstLine="480"/>
        <w:rPr>
          <w:rFonts w:eastAsia="宋体"/>
          <w:bCs/>
          <w:color w:val="auto"/>
          <w:sz w:val="24"/>
          <w:szCs w:val="24"/>
          <w:highlight w:val="none"/>
        </w:rPr>
      </w:pPr>
      <w:bookmarkStart w:id="10" w:name="_Toc15186"/>
      <w:r>
        <w:rPr>
          <w:rFonts w:hint="eastAsia" w:eastAsia="宋体"/>
          <w:bCs/>
          <w:color w:val="auto"/>
          <w:sz w:val="24"/>
          <w:szCs w:val="24"/>
          <w:highlight w:val="none"/>
          <w:lang w:val="en-US" w:eastAsia="zh-CN"/>
        </w:rPr>
        <w:t>10</w:t>
      </w:r>
      <w:r>
        <w:rPr>
          <w:rFonts w:hint="eastAsia" w:eastAsia="宋体"/>
          <w:bCs/>
          <w:color w:val="auto"/>
          <w:sz w:val="24"/>
          <w:szCs w:val="24"/>
          <w:highlight w:val="none"/>
        </w:rPr>
        <w:t>、</w:t>
      </w:r>
      <w:r>
        <w:rPr>
          <w:rFonts w:hint="eastAsia" w:eastAsia="宋体"/>
          <w:color w:val="auto"/>
          <w:sz w:val="24"/>
          <w:szCs w:val="22"/>
          <w:highlight w:val="none"/>
        </w:rPr>
        <w:t>备件要求：</w:t>
      </w:r>
      <w:r>
        <w:rPr>
          <w:rFonts w:hint="eastAsia" w:eastAsia="宋体"/>
          <w:color w:val="auto"/>
          <w:sz w:val="24"/>
          <w:szCs w:val="24"/>
          <w:highlight w:val="none"/>
          <w:lang w:eastAsia="zh-CN"/>
        </w:rPr>
        <w:t>成交</w:t>
      </w:r>
      <w:r>
        <w:rPr>
          <w:rFonts w:hint="eastAsia" w:eastAsia="宋体"/>
          <w:color w:val="auto"/>
          <w:sz w:val="24"/>
          <w:szCs w:val="24"/>
          <w:highlight w:val="none"/>
        </w:rPr>
        <w:t>供应商</w:t>
      </w:r>
      <w:r>
        <w:rPr>
          <w:rFonts w:hint="eastAsia" w:eastAsia="宋体"/>
          <w:color w:val="auto"/>
          <w:sz w:val="24"/>
          <w:szCs w:val="22"/>
          <w:highlight w:val="none"/>
        </w:rPr>
        <w:t>应设置备件库，存入所有必须的备件，保证必要时可以及时供应技术及维修服务。</w:t>
      </w:r>
    </w:p>
    <w:bookmarkEnd w:id="10"/>
    <w:p w14:paraId="40FCC8D2">
      <w:pPr>
        <w:tabs>
          <w:tab w:val="left" w:pos="10080"/>
          <w:tab w:val="left" w:pos="10440"/>
        </w:tabs>
        <w:spacing w:line="360" w:lineRule="auto"/>
        <w:ind w:firstLine="482"/>
        <w:rPr>
          <w:rFonts w:eastAsia="宋体"/>
          <w:b/>
          <w:bCs/>
          <w:color w:val="auto"/>
          <w:sz w:val="24"/>
          <w:szCs w:val="24"/>
          <w:highlight w:val="none"/>
        </w:rPr>
      </w:pPr>
      <w:r>
        <w:rPr>
          <w:rFonts w:hint="eastAsia" w:eastAsia="宋体"/>
          <w:b/>
          <w:bCs/>
          <w:color w:val="auto"/>
          <w:sz w:val="24"/>
          <w:szCs w:val="24"/>
          <w:highlight w:val="none"/>
          <w:lang w:eastAsia="zh-CN"/>
        </w:rPr>
        <w:t>五</w:t>
      </w:r>
      <w:r>
        <w:rPr>
          <w:rFonts w:hint="eastAsia" w:eastAsia="宋体"/>
          <w:b/>
          <w:bCs/>
          <w:color w:val="auto"/>
          <w:sz w:val="24"/>
          <w:szCs w:val="24"/>
          <w:highlight w:val="none"/>
        </w:rPr>
        <w:t>、采购项目交付时间、地点及安装调试服务</w:t>
      </w:r>
    </w:p>
    <w:p w14:paraId="401BF8EF">
      <w:pPr>
        <w:spacing w:line="360" w:lineRule="auto"/>
        <w:ind w:firstLine="480"/>
        <w:rPr>
          <w:rFonts w:eastAsia="宋体"/>
          <w:color w:val="auto"/>
          <w:sz w:val="24"/>
          <w:szCs w:val="24"/>
          <w:highlight w:val="none"/>
        </w:rPr>
      </w:pPr>
      <w:r>
        <w:rPr>
          <w:rFonts w:hint="eastAsia" w:eastAsia="宋体"/>
          <w:color w:val="auto"/>
          <w:sz w:val="24"/>
          <w:szCs w:val="24"/>
          <w:highlight w:val="none"/>
        </w:rPr>
        <w:t>1、采购项目交付：</w:t>
      </w:r>
    </w:p>
    <w:p w14:paraId="4CCD8608">
      <w:pPr>
        <w:spacing w:line="360" w:lineRule="auto"/>
        <w:ind w:firstLine="480"/>
        <w:rPr>
          <w:rFonts w:eastAsia="宋体"/>
          <w:color w:val="auto"/>
          <w:sz w:val="24"/>
          <w:szCs w:val="24"/>
          <w:highlight w:val="none"/>
        </w:rPr>
      </w:pPr>
      <w:r>
        <w:rPr>
          <w:rFonts w:hint="eastAsia" w:eastAsia="宋体"/>
          <w:color w:val="auto"/>
          <w:sz w:val="24"/>
          <w:szCs w:val="24"/>
          <w:highlight w:val="none"/>
        </w:rPr>
        <w:t>（1）交货地点：根据</w:t>
      </w:r>
      <w:r>
        <w:rPr>
          <w:rFonts w:hint="eastAsia" w:eastAsia="宋体"/>
          <w:color w:val="auto"/>
          <w:sz w:val="24"/>
          <w:szCs w:val="24"/>
          <w:highlight w:val="none"/>
          <w:lang w:eastAsia="zh-CN"/>
        </w:rPr>
        <w:t>采购</w:t>
      </w:r>
      <w:r>
        <w:rPr>
          <w:rFonts w:hint="eastAsia" w:eastAsia="宋体"/>
          <w:color w:val="auto"/>
          <w:sz w:val="24"/>
          <w:szCs w:val="24"/>
          <w:highlight w:val="none"/>
        </w:rPr>
        <w:t>人要求，产品送至</w:t>
      </w:r>
      <w:r>
        <w:rPr>
          <w:rFonts w:hint="eastAsia" w:eastAsia="宋体"/>
          <w:color w:val="auto"/>
          <w:sz w:val="24"/>
          <w:szCs w:val="24"/>
          <w:highlight w:val="none"/>
          <w:lang w:eastAsia="zh-CN"/>
        </w:rPr>
        <w:t>采购</w:t>
      </w:r>
      <w:r>
        <w:rPr>
          <w:rFonts w:hint="eastAsia" w:eastAsia="宋体"/>
          <w:color w:val="auto"/>
          <w:sz w:val="24"/>
          <w:szCs w:val="24"/>
          <w:highlight w:val="none"/>
        </w:rPr>
        <w:t>人指定的地点进行安装、调试。</w:t>
      </w:r>
    </w:p>
    <w:p w14:paraId="20CB118C">
      <w:pPr>
        <w:spacing w:line="360" w:lineRule="auto"/>
        <w:ind w:firstLine="480"/>
        <w:rPr>
          <w:rFonts w:eastAsia="宋体"/>
          <w:color w:val="auto"/>
          <w:sz w:val="24"/>
          <w:szCs w:val="24"/>
          <w:highlight w:val="none"/>
        </w:rPr>
      </w:pPr>
      <w:r>
        <w:rPr>
          <w:rFonts w:hint="eastAsia" w:eastAsia="宋体"/>
          <w:color w:val="auto"/>
          <w:sz w:val="24"/>
          <w:szCs w:val="24"/>
          <w:highlight w:val="none"/>
        </w:rPr>
        <w:t>（2）货物装卸、运输涉及到的保险，其费用包含在合同总价中。</w:t>
      </w:r>
    </w:p>
    <w:p w14:paraId="2871D1A1">
      <w:pPr>
        <w:spacing w:line="360" w:lineRule="auto"/>
        <w:ind w:firstLine="480"/>
        <w:rPr>
          <w:rFonts w:eastAsia="宋体"/>
          <w:color w:val="auto"/>
          <w:sz w:val="24"/>
          <w:szCs w:val="24"/>
          <w:highlight w:val="none"/>
        </w:rPr>
      </w:pPr>
      <w:r>
        <w:rPr>
          <w:rFonts w:hint="eastAsia" w:eastAsia="宋体"/>
          <w:color w:val="auto"/>
          <w:sz w:val="24"/>
          <w:szCs w:val="24"/>
          <w:highlight w:val="none"/>
        </w:rPr>
        <w:t>2、项目交付期：</w:t>
      </w:r>
      <w:r>
        <w:rPr>
          <w:rFonts w:hint="eastAsia" w:ascii="Times New Roman" w:hAnsi="Times New Roman" w:eastAsia="宋体" w:cs="宋体"/>
          <w:b w:val="0"/>
          <w:bCs w:val="0"/>
          <w:color w:val="auto"/>
          <w:sz w:val="24"/>
          <w:szCs w:val="24"/>
          <w:highlight w:val="none"/>
        </w:rPr>
        <w:t>合同签订后</w:t>
      </w:r>
      <w:r>
        <w:rPr>
          <w:rFonts w:hint="eastAsia" w:ascii="Times New Roman" w:hAnsi="Times New Roman" w:eastAsia="宋体" w:cs="宋体"/>
          <w:b w:val="0"/>
          <w:bCs w:val="0"/>
          <w:color w:val="auto"/>
          <w:sz w:val="24"/>
          <w:szCs w:val="24"/>
          <w:highlight w:val="none"/>
          <w:lang w:val="en-US" w:eastAsia="zh-CN"/>
        </w:rPr>
        <w:t>30</w:t>
      </w:r>
      <w:r>
        <w:rPr>
          <w:rFonts w:hint="eastAsia" w:ascii="Times New Roman" w:hAnsi="Times New Roman" w:eastAsia="宋体" w:cs="宋体"/>
          <w:b w:val="0"/>
          <w:bCs w:val="0"/>
          <w:color w:val="auto"/>
          <w:sz w:val="24"/>
          <w:szCs w:val="24"/>
          <w:highlight w:val="none"/>
        </w:rPr>
        <w:t>天内完成供货、安装调试并经验收合格</w:t>
      </w:r>
      <w:r>
        <w:rPr>
          <w:rFonts w:hint="eastAsia" w:eastAsia="宋体"/>
          <w:color w:val="auto"/>
          <w:sz w:val="24"/>
          <w:szCs w:val="24"/>
          <w:highlight w:val="none"/>
        </w:rPr>
        <w:t>。</w:t>
      </w:r>
    </w:p>
    <w:p w14:paraId="51504557">
      <w:pPr>
        <w:spacing w:line="360" w:lineRule="auto"/>
        <w:ind w:firstLine="480"/>
        <w:rPr>
          <w:rFonts w:eastAsia="宋体"/>
          <w:color w:val="auto"/>
          <w:sz w:val="24"/>
          <w:szCs w:val="24"/>
          <w:highlight w:val="none"/>
        </w:rPr>
      </w:pPr>
      <w:r>
        <w:rPr>
          <w:rFonts w:hint="eastAsia" w:eastAsia="宋体"/>
          <w:color w:val="auto"/>
          <w:sz w:val="24"/>
          <w:szCs w:val="24"/>
          <w:highlight w:val="none"/>
        </w:rPr>
        <w:t>3、发货到</w:t>
      </w:r>
      <w:r>
        <w:rPr>
          <w:rFonts w:hint="eastAsia" w:eastAsia="宋体"/>
          <w:color w:val="auto"/>
          <w:sz w:val="24"/>
          <w:szCs w:val="24"/>
          <w:highlight w:val="none"/>
          <w:lang w:eastAsia="zh-CN"/>
        </w:rPr>
        <w:t>采购</w:t>
      </w:r>
      <w:r>
        <w:rPr>
          <w:rFonts w:hint="eastAsia" w:eastAsia="宋体"/>
          <w:color w:val="auto"/>
          <w:sz w:val="24"/>
          <w:szCs w:val="24"/>
          <w:highlight w:val="none"/>
        </w:rPr>
        <w:t>人指定地点时应先用函、电通告</w:t>
      </w:r>
      <w:r>
        <w:rPr>
          <w:rFonts w:hint="eastAsia" w:eastAsia="宋体"/>
          <w:color w:val="auto"/>
          <w:sz w:val="24"/>
          <w:szCs w:val="24"/>
          <w:highlight w:val="none"/>
          <w:lang w:eastAsia="zh-CN"/>
        </w:rPr>
        <w:t>采购</w:t>
      </w:r>
      <w:r>
        <w:rPr>
          <w:rFonts w:hint="eastAsia" w:eastAsia="宋体"/>
          <w:color w:val="auto"/>
          <w:sz w:val="24"/>
          <w:szCs w:val="24"/>
          <w:highlight w:val="none"/>
        </w:rPr>
        <w:t>人。</w:t>
      </w:r>
    </w:p>
    <w:p w14:paraId="60F2EEBB">
      <w:pPr>
        <w:spacing w:line="360" w:lineRule="auto"/>
        <w:ind w:firstLine="480"/>
        <w:rPr>
          <w:rFonts w:eastAsia="宋体"/>
          <w:color w:val="auto"/>
          <w:sz w:val="24"/>
          <w:szCs w:val="24"/>
          <w:highlight w:val="none"/>
        </w:rPr>
      </w:pPr>
      <w:r>
        <w:rPr>
          <w:rFonts w:hint="eastAsia" w:eastAsia="宋体"/>
          <w:color w:val="auto"/>
          <w:sz w:val="24"/>
          <w:szCs w:val="24"/>
          <w:highlight w:val="none"/>
        </w:rPr>
        <w:t>4、产品的外观、包装、运输应按国家规定或部颁标准执行，如因</w:t>
      </w:r>
      <w:r>
        <w:rPr>
          <w:rFonts w:hint="eastAsia" w:eastAsia="宋体"/>
          <w:color w:val="auto"/>
          <w:sz w:val="24"/>
          <w:szCs w:val="24"/>
          <w:highlight w:val="none"/>
          <w:lang w:eastAsia="zh-CN"/>
        </w:rPr>
        <w:t>成交</w:t>
      </w:r>
      <w:r>
        <w:rPr>
          <w:rFonts w:hint="eastAsia" w:eastAsia="宋体"/>
          <w:color w:val="auto"/>
          <w:sz w:val="24"/>
          <w:szCs w:val="24"/>
          <w:highlight w:val="none"/>
        </w:rPr>
        <w:t>供应商包装不当以及其它原因造成损坏或丢失，应由</w:t>
      </w:r>
      <w:r>
        <w:rPr>
          <w:rFonts w:hint="eastAsia" w:eastAsia="宋体"/>
          <w:color w:val="auto"/>
          <w:sz w:val="24"/>
          <w:szCs w:val="24"/>
          <w:highlight w:val="none"/>
          <w:lang w:eastAsia="zh-CN"/>
        </w:rPr>
        <w:t>成交</w:t>
      </w:r>
      <w:r>
        <w:rPr>
          <w:rFonts w:hint="eastAsia" w:eastAsia="宋体"/>
          <w:color w:val="auto"/>
          <w:sz w:val="24"/>
          <w:szCs w:val="24"/>
          <w:highlight w:val="none"/>
        </w:rPr>
        <w:t>供应商负一切责任。</w:t>
      </w:r>
    </w:p>
    <w:p w14:paraId="31373079">
      <w:pPr>
        <w:spacing w:line="360" w:lineRule="auto"/>
        <w:ind w:firstLine="480"/>
        <w:rPr>
          <w:rFonts w:eastAsia="宋体"/>
          <w:color w:val="auto"/>
          <w:sz w:val="24"/>
          <w:szCs w:val="24"/>
          <w:highlight w:val="none"/>
        </w:rPr>
      </w:pPr>
      <w:r>
        <w:rPr>
          <w:rFonts w:hint="eastAsia" w:eastAsia="宋体"/>
          <w:color w:val="auto"/>
          <w:sz w:val="24"/>
          <w:szCs w:val="24"/>
          <w:highlight w:val="none"/>
        </w:rPr>
        <w:t>5、合同项目涉及到的产品设备交货时，外包装应完整无破损。</w:t>
      </w:r>
    </w:p>
    <w:p w14:paraId="692A36E4">
      <w:pPr>
        <w:spacing w:line="360" w:lineRule="auto"/>
        <w:ind w:firstLine="480"/>
        <w:rPr>
          <w:rFonts w:eastAsia="宋体"/>
          <w:color w:val="auto"/>
          <w:sz w:val="24"/>
          <w:szCs w:val="24"/>
          <w:highlight w:val="none"/>
        </w:rPr>
      </w:pPr>
      <w:r>
        <w:rPr>
          <w:rFonts w:hint="eastAsia" w:eastAsia="宋体"/>
          <w:color w:val="auto"/>
          <w:sz w:val="24"/>
          <w:szCs w:val="24"/>
          <w:highlight w:val="none"/>
        </w:rPr>
        <w:t>6、安装计划：由</w:t>
      </w:r>
      <w:r>
        <w:rPr>
          <w:rFonts w:hint="eastAsia" w:eastAsia="宋体"/>
          <w:color w:val="auto"/>
          <w:sz w:val="24"/>
          <w:szCs w:val="24"/>
          <w:highlight w:val="none"/>
          <w:lang w:eastAsia="zh-CN"/>
        </w:rPr>
        <w:t>成交</w:t>
      </w:r>
      <w:r>
        <w:rPr>
          <w:rFonts w:hint="eastAsia" w:eastAsia="宋体"/>
          <w:color w:val="auto"/>
          <w:sz w:val="24"/>
          <w:szCs w:val="24"/>
          <w:highlight w:val="none"/>
        </w:rPr>
        <w:t>供应商制定详细安装计划，该计划必须由业主认可，业主在实施过程中随总进度计划的变化作相应调整，供应商不能为此而提出任何附加费用。</w:t>
      </w:r>
    </w:p>
    <w:p w14:paraId="70DD8300">
      <w:pPr>
        <w:spacing w:line="360" w:lineRule="auto"/>
        <w:ind w:firstLine="480"/>
        <w:rPr>
          <w:rFonts w:eastAsia="宋体"/>
          <w:color w:val="auto"/>
          <w:sz w:val="24"/>
          <w:szCs w:val="24"/>
          <w:highlight w:val="none"/>
        </w:rPr>
      </w:pPr>
      <w:r>
        <w:rPr>
          <w:rFonts w:hint="eastAsia" w:eastAsia="宋体"/>
          <w:color w:val="auto"/>
          <w:sz w:val="24"/>
          <w:szCs w:val="24"/>
          <w:highlight w:val="none"/>
        </w:rPr>
        <w:t>7、产品保护</w:t>
      </w:r>
    </w:p>
    <w:p w14:paraId="6999CEC7">
      <w:pPr>
        <w:spacing w:line="360" w:lineRule="auto"/>
        <w:ind w:firstLine="480"/>
        <w:rPr>
          <w:rFonts w:eastAsia="宋体"/>
          <w:color w:val="auto"/>
          <w:sz w:val="24"/>
          <w:szCs w:val="24"/>
          <w:highlight w:val="none"/>
        </w:rPr>
      </w:pPr>
      <w:r>
        <w:rPr>
          <w:rFonts w:hint="eastAsia" w:eastAsia="宋体"/>
          <w:color w:val="auto"/>
          <w:sz w:val="24"/>
          <w:szCs w:val="24"/>
          <w:highlight w:val="none"/>
        </w:rPr>
        <w:t>安装完成后，</w:t>
      </w:r>
      <w:r>
        <w:rPr>
          <w:rFonts w:hint="eastAsia" w:eastAsia="宋体"/>
          <w:color w:val="auto"/>
          <w:sz w:val="24"/>
          <w:szCs w:val="24"/>
          <w:highlight w:val="none"/>
          <w:lang w:eastAsia="zh-CN"/>
        </w:rPr>
        <w:t>成交</w:t>
      </w:r>
      <w:r>
        <w:rPr>
          <w:rFonts w:hint="eastAsia" w:eastAsia="宋体"/>
          <w:color w:val="auto"/>
          <w:sz w:val="24"/>
          <w:szCs w:val="24"/>
          <w:highlight w:val="none"/>
        </w:rPr>
        <w:t>供应商应配合进行产品的保护和清洁工作直至项目全部验收合格为止。</w:t>
      </w:r>
      <w:r>
        <w:rPr>
          <w:rFonts w:hint="eastAsia" w:eastAsia="宋体"/>
          <w:color w:val="auto"/>
          <w:sz w:val="24"/>
          <w:szCs w:val="24"/>
          <w:highlight w:val="none"/>
          <w:lang w:eastAsia="zh-CN"/>
        </w:rPr>
        <w:t>成交</w:t>
      </w:r>
      <w:r>
        <w:rPr>
          <w:rFonts w:hint="eastAsia" w:eastAsia="宋体"/>
          <w:color w:val="auto"/>
          <w:sz w:val="24"/>
          <w:szCs w:val="24"/>
          <w:highlight w:val="none"/>
        </w:rPr>
        <w:t>供应商如果在货物安装、调试过程中，对</w:t>
      </w:r>
      <w:r>
        <w:rPr>
          <w:rFonts w:hint="eastAsia" w:eastAsia="宋体"/>
          <w:color w:val="auto"/>
          <w:sz w:val="24"/>
          <w:szCs w:val="24"/>
          <w:highlight w:val="none"/>
          <w:lang w:eastAsia="zh-CN"/>
        </w:rPr>
        <w:t>采购</w:t>
      </w:r>
      <w:r>
        <w:rPr>
          <w:rFonts w:hint="eastAsia" w:eastAsia="宋体"/>
          <w:color w:val="auto"/>
          <w:sz w:val="24"/>
          <w:szCs w:val="24"/>
          <w:highlight w:val="none"/>
        </w:rPr>
        <w:t>人的建筑主体或其它产品造成损坏，应负责修理或给予赔偿。</w:t>
      </w:r>
    </w:p>
    <w:p w14:paraId="44617031">
      <w:pPr>
        <w:spacing w:line="360" w:lineRule="auto"/>
        <w:ind w:firstLine="482"/>
        <w:rPr>
          <w:rFonts w:eastAsia="宋体"/>
          <w:b/>
          <w:bCs/>
          <w:color w:val="auto"/>
          <w:sz w:val="24"/>
          <w:szCs w:val="24"/>
          <w:highlight w:val="none"/>
        </w:rPr>
      </w:pPr>
      <w:r>
        <w:rPr>
          <w:rFonts w:hint="eastAsia" w:eastAsia="宋体"/>
          <w:b/>
          <w:bCs/>
          <w:color w:val="auto"/>
          <w:sz w:val="24"/>
          <w:szCs w:val="24"/>
          <w:highlight w:val="none"/>
          <w:lang w:eastAsia="zh-CN"/>
        </w:rPr>
        <w:t>七</w:t>
      </w:r>
      <w:r>
        <w:rPr>
          <w:rFonts w:hint="eastAsia" w:eastAsia="宋体"/>
          <w:b/>
          <w:bCs/>
          <w:color w:val="auto"/>
          <w:sz w:val="24"/>
          <w:szCs w:val="24"/>
          <w:highlight w:val="none"/>
        </w:rPr>
        <w:t>、验收</w:t>
      </w:r>
    </w:p>
    <w:p w14:paraId="4B616000">
      <w:pPr>
        <w:spacing w:line="360" w:lineRule="auto"/>
        <w:ind w:firstLine="480"/>
        <w:rPr>
          <w:rFonts w:eastAsia="宋体"/>
          <w:color w:val="auto"/>
          <w:sz w:val="24"/>
          <w:szCs w:val="24"/>
          <w:highlight w:val="none"/>
        </w:rPr>
      </w:pPr>
      <w:r>
        <w:rPr>
          <w:rFonts w:hint="eastAsia" w:eastAsia="宋体"/>
          <w:color w:val="auto"/>
          <w:sz w:val="24"/>
          <w:szCs w:val="24"/>
          <w:highlight w:val="none"/>
          <w:lang w:val="en-US" w:eastAsia="zh-CN"/>
        </w:rPr>
        <w:t>1、</w:t>
      </w:r>
      <w:r>
        <w:rPr>
          <w:rFonts w:hint="eastAsia" w:eastAsia="宋体"/>
          <w:color w:val="auto"/>
          <w:sz w:val="24"/>
          <w:szCs w:val="24"/>
          <w:highlight w:val="none"/>
        </w:rPr>
        <w:t>采购方将在</w:t>
      </w:r>
      <w:r>
        <w:rPr>
          <w:rFonts w:hint="eastAsia" w:eastAsia="宋体"/>
          <w:color w:val="auto"/>
          <w:sz w:val="24"/>
          <w:szCs w:val="24"/>
          <w:highlight w:val="none"/>
          <w:lang w:eastAsia="zh-CN"/>
        </w:rPr>
        <w:t>成交</w:t>
      </w:r>
      <w:r>
        <w:rPr>
          <w:rFonts w:hint="eastAsia" w:eastAsia="宋体"/>
          <w:color w:val="auto"/>
          <w:sz w:val="24"/>
          <w:szCs w:val="24"/>
          <w:highlight w:val="none"/>
        </w:rPr>
        <w:t>供应商安装调试合格后组织验收，如果货物的质量和规格与合同规定不符，或在质量保证期内发现货物是有缺陷的，包括潜在缺陷或使用不符合要求的材料，采购方应报请当地质检部门进行检查，并有权凭其出具的检验报告向</w:t>
      </w:r>
      <w:r>
        <w:rPr>
          <w:rFonts w:hint="eastAsia" w:eastAsia="宋体"/>
          <w:color w:val="auto"/>
          <w:sz w:val="24"/>
          <w:szCs w:val="24"/>
          <w:highlight w:val="none"/>
          <w:lang w:eastAsia="zh-CN"/>
        </w:rPr>
        <w:t>成交</w:t>
      </w:r>
      <w:r>
        <w:rPr>
          <w:rFonts w:hint="eastAsia" w:eastAsia="宋体"/>
          <w:color w:val="auto"/>
          <w:sz w:val="24"/>
          <w:szCs w:val="24"/>
          <w:highlight w:val="none"/>
        </w:rPr>
        <w:t>供应商提出索赔。</w:t>
      </w:r>
    </w:p>
    <w:p w14:paraId="2D2A11BA">
      <w:pPr>
        <w:spacing w:line="360" w:lineRule="auto"/>
        <w:ind w:firstLine="480"/>
        <w:rPr>
          <w:rFonts w:eastAsia="宋体"/>
          <w:color w:val="auto"/>
          <w:sz w:val="24"/>
          <w:szCs w:val="24"/>
          <w:highlight w:val="none"/>
        </w:rPr>
      </w:pPr>
      <w:r>
        <w:rPr>
          <w:rFonts w:hint="eastAsia" w:eastAsia="宋体"/>
          <w:color w:val="auto"/>
          <w:sz w:val="24"/>
          <w:szCs w:val="24"/>
          <w:highlight w:val="none"/>
          <w:lang w:val="en-US" w:eastAsia="zh-CN"/>
        </w:rPr>
        <w:t>2</w:t>
      </w:r>
      <w:r>
        <w:rPr>
          <w:rFonts w:hint="eastAsia" w:eastAsia="宋体"/>
          <w:color w:val="auto"/>
          <w:sz w:val="24"/>
          <w:szCs w:val="24"/>
          <w:highlight w:val="none"/>
        </w:rPr>
        <w:t>、验收由</w:t>
      </w:r>
      <w:r>
        <w:rPr>
          <w:rFonts w:hint="eastAsia" w:eastAsia="宋体"/>
          <w:color w:val="auto"/>
          <w:sz w:val="24"/>
          <w:szCs w:val="24"/>
          <w:highlight w:val="none"/>
          <w:lang w:eastAsia="zh-CN"/>
        </w:rPr>
        <w:t>采购</w:t>
      </w:r>
      <w:r>
        <w:rPr>
          <w:rFonts w:hint="eastAsia" w:eastAsia="宋体"/>
          <w:color w:val="auto"/>
          <w:sz w:val="24"/>
          <w:szCs w:val="24"/>
          <w:highlight w:val="none"/>
        </w:rPr>
        <w:t>人和其他相关部门共同组织。</w:t>
      </w:r>
    </w:p>
    <w:p w14:paraId="50AB60E1">
      <w:pPr>
        <w:keepNext/>
        <w:keepLines/>
        <w:spacing w:line="360" w:lineRule="auto"/>
        <w:ind w:firstLine="482"/>
        <w:outlineLvl w:val="1"/>
        <w:rPr>
          <w:rFonts w:eastAsia="宋体" w:cs="宋体"/>
          <w:b/>
          <w:bCs/>
          <w:color w:val="auto"/>
          <w:sz w:val="24"/>
          <w:szCs w:val="24"/>
          <w:highlight w:val="none"/>
        </w:rPr>
      </w:pPr>
      <w:r>
        <w:rPr>
          <w:rFonts w:hint="eastAsia" w:eastAsia="宋体" w:cs="宋体"/>
          <w:b/>
          <w:bCs/>
          <w:color w:val="auto"/>
          <w:sz w:val="24"/>
          <w:szCs w:val="24"/>
          <w:highlight w:val="none"/>
          <w:lang w:eastAsia="zh-CN"/>
        </w:rPr>
        <w:t>八</w:t>
      </w:r>
      <w:r>
        <w:rPr>
          <w:rFonts w:hint="eastAsia" w:eastAsia="宋体" w:cs="宋体"/>
          <w:b/>
          <w:bCs/>
          <w:color w:val="auto"/>
          <w:sz w:val="24"/>
          <w:szCs w:val="24"/>
          <w:highlight w:val="none"/>
        </w:rPr>
        <w:t>、其它要求</w:t>
      </w:r>
    </w:p>
    <w:p w14:paraId="2A00E1E9">
      <w:pPr>
        <w:spacing w:line="360" w:lineRule="auto"/>
        <w:ind w:firstLine="480"/>
        <w:rPr>
          <w:rFonts w:eastAsia="宋体"/>
          <w:color w:val="auto"/>
          <w:sz w:val="24"/>
          <w:szCs w:val="24"/>
          <w:highlight w:val="none"/>
        </w:rPr>
      </w:pPr>
      <w:r>
        <w:rPr>
          <w:rFonts w:hint="eastAsia" w:eastAsia="宋体"/>
          <w:color w:val="auto"/>
          <w:sz w:val="24"/>
          <w:szCs w:val="24"/>
          <w:highlight w:val="none"/>
          <w:lang w:val="en-US" w:eastAsia="zh-CN"/>
        </w:rPr>
        <w:t>1</w:t>
      </w:r>
      <w:r>
        <w:rPr>
          <w:rFonts w:hint="eastAsia" w:eastAsia="宋体"/>
          <w:color w:val="auto"/>
          <w:sz w:val="24"/>
          <w:szCs w:val="24"/>
          <w:highlight w:val="none"/>
        </w:rPr>
        <w:t>、现场条件</w:t>
      </w:r>
    </w:p>
    <w:p w14:paraId="5EC49043">
      <w:pPr>
        <w:spacing w:line="360" w:lineRule="auto"/>
        <w:ind w:firstLine="480"/>
        <w:rPr>
          <w:rFonts w:eastAsia="宋体"/>
          <w:color w:val="auto"/>
          <w:sz w:val="24"/>
          <w:szCs w:val="24"/>
          <w:highlight w:val="none"/>
        </w:rPr>
      </w:pPr>
      <w:r>
        <w:rPr>
          <w:rFonts w:hint="eastAsia" w:eastAsia="宋体"/>
          <w:color w:val="auto"/>
          <w:sz w:val="24"/>
          <w:szCs w:val="24"/>
          <w:highlight w:val="none"/>
        </w:rPr>
        <w:t>（1）已具备实施条件，但项目实施不能影响医院正常的医疗工作。</w:t>
      </w:r>
    </w:p>
    <w:p w14:paraId="7F7FCD17">
      <w:pPr>
        <w:spacing w:line="360" w:lineRule="auto"/>
        <w:ind w:firstLine="480"/>
        <w:rPr>
          <w:rFonts w:hint="eastAsia" w:eastAsia="宋体"/>
          <w:color w:val="auto"/>
          <w:sz w:val="24"/>
          <w:szCs w:val="24"/>
          <w:highlight w:val="none"/>
        </w:rPr>
      </w:pPr>
      <w:r>
        <w:rPr>
          <w:rFonts w:hint="eastAsia" w:eastAsia="宋体"/>
          <w:color w:val="auto"/>
          <w:sz w:val="24"/>
          <w:szCs w:val="24"/>
          <w:highlight w:val="none"/>
        </w:rPr>
        <w:t>（2）供应商应联系采购人对现场和周围环境进行踏勘和了解，以获取有关编制</w:t>
      </w:r>
      <w:r>
        <w:rPr>
          <w:rFonts w:hint="eastAsia" w:eastAsia="宋体"/>
          <w:color w:val="auto"/>
          <w:sz w:val="24"/>
          <w:szCs w:val="24"/>
          <w:highlight w:val="none"/>
          <w:lang w:eastAsia="zh-CN"/>
        </w:rPr>
        <w:t>响应</w:t>
      </w:r>
      <w:r>
        <w:rPr>
          <w:rFonts w:hint="eastAsia" w:eastAsia="宋体"/>
          <w:color w:val="auto"/>
          <w:sz w:val="24"/>
          <w:szCs w:val="24"/>
          <w:highlight w:val="none"/>
        </w:rPr>
        <w:t>文件和签署合同所需的各种资料，并应充分考虑影响本次报价的因素、预计实施过程中各种不利因素，由此可能发生的费用均由供应商考虑并包含在</w:t>
      </w:r>
      <w:r>
        <w:rPr>
          <w:rFonts w:hint="eastAsia" w:eastAsia="宋体"/>
          <w:color w:val="auto"/>
          <w:sz w:val="24"/>
          <w:szCs w:val="24"/>
          <w:highlight w:val="none"/>
          <w:lang w:eastAsia="zh-CN"/>
        </w:rPr>
        <w:t>响应</w:t>
      </w:r>
      <w:r>
        <w:rPr>
          <w:rFonts w:hint="eastAsia" w:eastAsia="宋体"/>
          <w:color w:val="auto"/>
          <w:sz w:val="24"/>
          <w:szCs w:val="24"/>
          <w:highlight w:val="none"/>
        </w:rPr>
        <w:t>报价中。</w:t>
      </w:r>
      <w:r>
        <w:rPr>
          <w:rFonts w:hint="eastAsia" w:eastAsia="宋体"/>
          <w:color w:val="auto"/>
          <w:sz w:val="24"/>
          <w:szCs w:val="24"/>
          <w:highlight w:val="none"/>
          <w:lang w:eastAsia="zh-CN"/>
        </w:rPr>
        <w:t>成交</w:t>
      </w:r>
      <w:r>
        <w:rPr>
          <w:rFonts w:hint="eastAsia" w:eastAsia="宋体"/>
          <w:color w:val="auto"/>
          <w:sz w:val="24"/>
          <w:szCs w:val="24"/>
          <w:highlight w:val="none"/>
        </w:rPr>
        <w:t>后，供应商不得再以不完全了解现场情况等为理由而提出额外付款或延长工期等的要求，若有此类要求，</w:t>
      </w:r>
      <w:r>
        <w:rPr>
          <w:rFonts w:hint="eastAsia" w:eastAsia="宋体"/>
          <w:color w:val="auto"/>
          <w:sz w:val="24"/>
          <w:szCs w:val="24"/>
          <w:highlight w:val="none"/>
          <w:lang w:eastAsia="zh-CN"/>
        </w:rPr>
        <w:t>采购</w:t>
      </w:r>
      <w:r>
        <w:rPr>
          <w:rFonts w:hint="eastAsia" w:eastAsia="宋体"/>
          <w:color w:val="auto"/>
          <w:sz w:val="24"/>
          <w:szCs w:val="24"/>
          <w:highlight w:val="none"/>
        </w:rPr>
        <w:t>人将不作任何答复与考虑，供应商应承担现场踏勘的责任和风险，踏勘现场的费用由供应商自行承担。</w:t>
      </w:r>
    </w:p>
    <w:p w14:paraId="170217FC">
      <w:pPr>
        <w:spacing w:line="360" w:lineRule="auto"/>
        <w:ind w:firstLine="480"/>
        <w:rPr>
          <w:rFonts w:hint="eastAsia" w:eastAsia="宋体"/>
          <w:b/>
          <w:bCs w:val="0"/>
          <w:color w:val="auto"/>
          <w:sz w:val="24"/>
          <w:szCs w:val="24"/>
          <w:highlight w:val="none"/>
        </w:rPr>
      </w:pPr>
      <w:r>
        <w:rPr>
          <w:rFonts w:hint="eastAsia" w:ascii="宋体" w:hAnsi="宋体" w:eastAsia="宋体" w:cs="宋体"/>
          <w:color w:val="auto"/>
          <w:sz w:val="24"/>
          <w:szCs w:val="24"/>
          <w:highlight w:val="none"/>
        </w:rPr>
        <w:t>▲</w:t>
      </w:r>
      <w:r>
        <w:rPr>
          <w:rFonts w:hint="eastAsia" w:eastAsia="宋体"/>
          <w:b/>
          <w:bCs w:val="0"/>
          <w:color w:val="auto"/>
          <w:sz w:val="24"/>
          <w:szCs w:val="24"/>
          <w:highlight w:val="none"/>
          <w:lang w:eastAsia="zh-CN"/>
        </w:rPr>
        <w:t>响应单位</w:t>
      </w:r>
      <w:r>
        <w:rPr>
          <w:rFonts w:hint="eastAsia" w:eastAsia="宋体"/>
          <w:b/>
          <w:bCs w:val="0"/>
          <w:color w:val="auto"/>
          <w:sz w:val="24"/>
          <w:szCs w:val="24"/>
          <w:highlight w:val="none"/>
        </w:rPr>
        <w:t>提供现场勘察</w:t>
      </w:r>
      <w:r>
        <w:rPr>
          <w:rFonts w:hint="eastAsia" w:eastAsia="宋体"/>
          <w:b/>
          <w:bCs w:val="0"/>
          <w:color w:val="auto"/>
          <w:sz w:val="24"/>
          <w:szCs w:val="24"/>
          <w:highlight w:val="none"/>
          <w:lang w:eastAsia="zh-CN"/>
        </w:rPr>
        <w:t>承诺函，</w:t>
      </w:r>
      <w:r>
        <w:rPr>
          <w:rFonts w:hint="eastAsia" w:ascii="Times New Roman" w:hAnsi="Times New Roman" w:eastAsia="宋体" w:cs="宋体"/>
          <w:b/>
          <w:bCs/>
          <w:color w:val="auto"/>
          <w:sz w:val="24"/>
          <w:szCs w:val="24"/>
          <w:highlight w:val="none"/>
        </w:rPr>
        <w:t>联系人：</w:t>
      </w:r>
      <w:r>
        <w:rPr>
          <w:rFonts w:hint="eastAsia" w:ascii="Times New Roman" w:hAnsi="Times New Roman" w:eastAsia="宋体" w:cs="宋体"/>
          <w:b/>
          <w:bCs/>
          <w:color w:val="auto"/>
          <w:sz w:val="24"/>
          <w:szCs w:val="24"/>
          <w:highlight w:val="none"/>
          <w:lang w:eastAsia="zh-CN"/>
        </w:rPr>
        <w:t>何树兵，</w:t>
      </w:r>
      <w:r>
        <w:rPr>
          <w:rFonts w:hint="eastAsia" w:ascii="Times New Roman" w:hAnsi="Times New Roman" w:eastAsia="宋体" w:cs="宋体"/>
          <w:b/>
          <w:bCs/>
          <w:color w:val="auto"/>
          <w:sz w:val="24"/>
          <w:szCs w:val="24"/>
          <w:highlight w:val="none"/>
        </w:rPr>
        <w:t>联系电话：0513-8511601</w:t>
      </w:r>
      <w:r>
        <w:rPr>
          <w:rFonts w:hint="eastAsia" w:ascii="Times New Roman" w:hAnsi="Times New Roman" w:eastAsia="宋体" w:cs="宋体"/>
          <w:b/>
          <w:bCs/>
          <w:color w:val="auto"/>
          <w:sz w:val="24"/>
          <w:szCs w:val="24"/>
          <w:highlight w:val="none"/>
          <w:lang w:val="en-US" w:eastAsia="zh-CN"/>
        </w:rPr>
        <w:t>5</w:t>
      </w:r>
      <w:r>
        <w:rPr>
          <w:rFonts w:hint="eastAsia" w:ascii="Times New Roman" w:hAnsi="Times New Roman" w:eastAsia="宋体" w:cs="宋体"/>
          <w:b/>
          <w:bCs/>
          <w:color w:val="auto"/>
          <w:sz w:val="24"/>
          <w:szCs w:val="24"/>
          <w:highlight w:val="none"/>
          <w:lang w:eastAsia="zh-CN"/>
        </w:rPr>
        <w:t>。</w:t>
      </w:r>
      <w:r>
        <w:rPr>
          <w:rFonts w:hint="eastAsia" w:eastAsia="宋体"/>
          <w:b/>
          <w:bCs w:val="0"/>
          <w:color w:val="auto"/>
          <w:sz w:val="24"/>
          <w:szCs w:val="24"/>
          <w:highlight w:val="none"/>
        </w:rPr>
        <w:t>经采购人签字或盖章，否则作无效响应处理</w:t>
      </w:r>
      <w:r>
        <w:rPr>
          <w:rFonts w:hint="eastAsia" w:eastAsia="宋体"/>
          <w:b/>
          <w:bCs w:val="0"/>
          <w:color w:val="auto"/>
          <w:sz w:val="24"/>
          <w:szCs w:val="24"/>
          <w:highlight w:val="none"/>
          <w:lang w:eastAsia="zh-CN"/>
        </w:rPr>
        <w:t>。</w:t>
      </w:r>
      <w:r>
        <w:rPr>
          <w:rFonts w:hint="eastAsia" w:eastAsia="宋体"/>
          <w:b/>
          <w:bCs w:val="0"/>
          <w:color w:val="auto"/>
          <w:sz w:val="24"/>
          <w:szCs w:val="24"/>
          <w:highlight w:val="none"/>
        </w:rPr>
        <w:t>（格式</w:t>
      </w:r>
      <w:r>
        <w:rPr>
          <w:rFonts w:hint="eastAsia" w:eastAsia="宋体"/>
          <w:b/>
          <w:bCs w:val="0"/>
          <w:color w:val="auto"/>
          <w:sz w:val="24"/>
          <w:szCs w:val="24"/>
          <w:highlight w:val="none"/>
          <w:lang w:eastAsia="zh-CN"/>
        </w:rPr>
        <w:t>见第七章</w:t>
      </w:r>
      <w:r>
        <w:rPr>
          <w:rFonts w:hint="eastAsia" w:eastAsia="宋体"/>
          <w:b/>
          <w:bCs w:val="0"/>
          <w:color w:val="auto"/>
          <w:sz w:val="24"/>
          <w:szCs w:val="24"/>
          <w:highlight w:val="none"/>
        </w:rPr>
        <w:t>）</w:t>
      </w:r>
    </w:p>
    <w:p w14:paraId="2B70E72B">
      <w:pPr>
        <w:keepNext/>
        <w:keepLines/>
        <w:spacing w:line="360" w:lineRule="auto"/>
        <w:ind w:firstLine="482"/>
        <w:outlineLvl w:val="1"/>
        <w:rPr>
          <w:rFonts w:eastAsia="宋体" w:cs="宋体"/>
          <w:b/>
          <w:bCs/>
          <w:color w:val="auto"/>
          <w:sz w:val="24"/>
          <w:szCs w:val="24"/>
          <w:highlight w:val="none"/>
        </w:rPr>
      </w:pPr>
      <w:r>
        <w:rPr>
          <w:rFonts w:hint="eastAsia" w:eastAsia="宋体" w:cs="宋体"/>
          <w:b/>
          <w:bCs/>
          <w:color w:val="auto"/>
          <w:sz w:val="24"/>
          <w:szCs w:val="24"/>
          <w:highlight w:val="none"/>
          <w:lang w:eastAsia="zh-CN"/>
        </w:rPr>
        <w:t>九</w:t>
      </w:r>
      <w:r>
        <w:rPr>
          <w:rFonts w:hint="eastAsia" w:eastAsia="宋体" w:cs="宋体"/>
          <w:b/>
          <w:bCs/>
          <w:color w:val="auto"/>
          <w:sz w:val="24"/>
          <w:szCs w:val="24"/>
          <w:highlight w:val="none"/>
        </w:rPr>
        <w:t>、付款方式：</w:t>
      </w:r>
    </w:p>
    <w:p w14:paraId="155B61A1">
      <w:pPr>
        <w:spacing w:line="360" w:lineRule="auto"/>
        <w:ind w:firstLine="480"/>
        <w:rPr>
          <w:rFonts w:eastAsia="宋体"/>
          <w:color w:val="auto"/>
          <w:sz w:val="32"/>
          <w:szCs w:val="32"/>
          <w:highlight w:val="none"/>
        </w:rPr>
      </w:pPr>
      <w:r>
        <w:rPr>
          <w:rFonts w:hint="eastAsia" w:eastAsia="宋体" w:cs="宋体"/>
          <w:color w:val="auto"/>
          <w:sz w:val="24"/>
          <w:szCs w:val="24"/>
          <w:highlight w:val="none"/>
        </w:rPr>
        <w:t>设备安装调试并经验收合格交付</w:t>
      </w:r>
      <w:r>
        <w:rPr>
          <w:rFonts w:hint="eastAsia" w:eastAsia="宋体" w:cs="宋体"/>
          <w:color w:val="auto"/>
          <w:sz w:val="24"/>
          <w:szCs w:val="24"/>
          <w:highlight w:val="none"/>
          <w:lang w:eastAsia="zh-CN"/>
        </w:rPr>
        <w:t>采购</w:t>
      </w:r>
      <w:r>
        <w:rPr>
          <w:rFonts w:hint="eastAsia" w:eastAsia="宋体" w:cs="宋体"/>
          <w:color w:val="auto"/>
          <w:sz w:val="24"/>
          <w:szCs w:val="24"/>
          <w:highlight w:val="none"/>
        </w:rPr>
        <w:t>人使用后付至合同价的80%；余款20%自验收合格之日起两年无质量问题一次性结清。</w:t>
      </w:r>
    </w:p>
    <w:p w14:paraId="23AE29CD">
      <w:pPr>
        <w:spacing w:line="360" w:lineRule="auto"/>
        <w:ind w:firstLine="480"/>
        <w:jc w:val="left"/>
        <w:rPr>
          <w:rFonts w:eastAsia="宋体" w:cs="宋体"/>
          <w:color w:val="auto"/>
          <w:sz w:val="24"/>
          <w:szCs w:val="24"/>
          <w:highlight w:val="none"/>
        </w:rPr>
      </w:pPr>
      <w:r>
        <w:rPr>
          <w:rFonts w:hint="eastAsia" w:eastAsia="宋体" w:cs="宋体"/>
          <w:color w:val="auto"/>
          <w:sz w:val="24"/>
          <w:szCs w:val="24"/>
          <w:highlight w:val="none"/>
        </w:rPr>
        <w:t>以上付款均不计利息，</w:t>
      </w:r>
      <w:r>
        <w:rPr>
          <w:rFonts w:hint="eastAsia" w:eastAsia="宋体" w:cs="宋体"/>
          <w:color w:val="auto"/>
          <w:sz w:val="24"/>
          <w:szCs w:val="24"/>
          <w:highlight w:val="none"/>
          <w:lang w:eastAsia="zh-CN"/>
        </w:rPr>
        <w:t>成交</w:t>
      </w:r>
      <w:r>
        <w:rPr>
          <w:rFonts w:hint="eastAsia" w:eastAsia="宋体" w:cs="宋体"/>
          <w:color w:val="auto"/>
          <w:sz w:val="24"/>
          <w:szCs w:val="24"/>
          <w:highlight w:val="none"/>
        </w:rPr>
        <w:t>供应商应出具由税务部门认可的正式发票。</w:t>
      </w:r>
    </w:p>
    <w:p w14:paraId="469E48FE">
      <w:pPr>
        <w:rPr>
          <w:rFonts w:hint="eastAsia"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br w:type="page"/>
      </w:r>
    </w:p>
    <w:p w14:paraId="63A026ED">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第四章</w:t>
      </w:r>
      <w:bookmarkStart w:id="11" w:name="_Toc43217893"/>
      <w:bookmarkStart w:id="12" w:name="_Toc38121794"/>
      <w:bookmarkStart w:id="13" w:name="_Toc37322565"/>
      <w:bookmarkStart w:id="14" w:name="_Toc85627670"/>
      <w:bookmarkStart w:id="15" w:name="_Toc182848996"/>
      <w:r>
        <w:rPr>
          <w:rFonts w:hint="eastAsia" w:ascii="Times New Roman" w:hAnsi="Times New Roman" w:eastAsia="宋体" w:cs="宋体"/>
          <w:color w:val="auto"/>
          <w:w w:val="80"/>
          <w:sz w:val="48"/>
          <w:szCs w:val="44"/>
          <w:highlight w:val="none"/>
        </w:rPr>
        <w:t xml:space="preserve"> 评审方法和程序</w:t>
      </w:r>
      <w:bookmarkEnd w:id="11"/>
      <w:bookmarkEnd w:id="12"/>
      <w:bookmarkEnd w:id="13"/>
      <w:bookmarkEnd w:id="14"/>
      <w:bookmarkEnd w:id="15"/>
    </w:p>
    <w:p w14:paraId="42F72455">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bookmarkStart w:id="16" w:name="_Toc363573857"/>
      <w:bookmarkEnd w:id="16"/>
      <w:r>
        <w:rPr>
          <w:rFonts w:hint="eastAsia" w:ascii="Times New Roman" w:hAnsi="Times New Roman" w:eastAsia="宋体" w:cs="宋体"/>
          <w:b/>
          <w:bCs/>
          <w:color w:val="auto"/>
          <w:szCs w:val="24"/>
          <w:highlight w:val="none"/>
          <w:shd w:val="clear" w:color="auto" w:fill="FFFFFF"/>
        </w:rPr>
        <w:t>一、代理机构组织磋商</w:t>
      </w:r>
    </w:p>
    <w:p w14:paraId="13DD63E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1、本次竞争性磋商依据《中华人民共和国政府采购法》、《政府采购竞争性磋商采购人式管理暂行办法》及有关法规成立磋商小组。磋商小组由3人以上单数组成。</w:t>
      </w:r>
    </w:p>
    <w:p w14:paraId="15F63C2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2、磋商小组的职责：</w:t>
      </w:r>
    </w:p>
    <w:p w14:paraId="4F1397F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（1）磋商小组成员应当按照客观、公正、审慎的原则，根据磋商文件规定的评审程序、评审方法和评审标准进行独立评审。</w:t>
      </w:r>
    </w:p>
    <w:p w14:paraId="73A6820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（2）磋商小组成员应当遵守评审工作纪律，不得泄露评审情况和评审中获悉的商业秘密，对个人的评审意见承担法律责任；</w:t>
      </w:r>
    </w:p>
    <w:p w14:paraId="6EAA2CE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（3）磋商小组成员在评审过程中发现供应商有行贿、提供虚假材料或者串通等违法行为的，应当及时向财政部门报告。</w:t>
      </w:r>
    </w:p>
    <w:p w14:paraId="66B679F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（4）磋商小组成员在评审过程中受到非法干涉的，应当及时向财政、监察等部门举报。</w:t>
      </w:r>
    </w:p>
    <w:p w14:paraId="0BB9E27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（5）配合采购单位答复供应商提出的质疑。</w:t>
      </w:r>
    </w:p>
    <w:p w14:paraId="587F1F1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3、评审有关记录由磋商小组成员签名，存档备查。</w:t>
      </w:r>
    </w:p>
    <w:p w14:paraId="015F395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4、供应商的法定代表人或被授权人须持身份证准时参加磋商开标会。</w:t>
      </w:r>
    </w:p>
    <w:p w14:paraId="27EFC6A3">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二、磋商的原则及方法</w:t>
      </w:r>
    </w:p>
    <w:p w14:paraId="51ED04B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1、磋商小组依据《中华人民共和国政府采购法》、《政府采购竞争性磋商采购人式管理暂行办法》以及有关政府采购的相关法规，遵循</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公开、公平、公正、择优、信用</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的原则进行磋商评审。</w:t>
      </w:r>
    </w:p>
    <w:p w14:paraId="0DB3DEC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2、磋商小组将按照竞争性磋商文件的规定，独立对每个进入打分程序的有效投标供应商的响应文件的技术部分以打分的形式进行评审和评价。技术分取算术平均值（计算结果均四舍五入保留两位小数）。</w:t>
      </w:r>
    </w:p>
    <w:p w14:paraId="2C17DB5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3、磋商小组根据磋商文件规定的程序、评定成交的标准等事项与实质性响应磋商文件要求的供应商进行磋商。未实质性响应磋商文件要求的响应文件按无效处理，磋商小组应当告知提交响应文件的供应商。</w:t>
      </w:r>
    </w:p>
    <w:p w14:paraId="67FEC03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4、除非在磋商中磋商小组对采购单位需求内容作了调整增加，或对采购内容作了实质性变更，否则</w:t>
      </w:r>
      <w:r>
        <w:rPr>
          <w:rFonts w:hint="eastAsia" w:ascii="Times New Roman" w:hAnsi="Times New Roman" w:eastAsia="宋体" w:cs="宋体"/>
          <w:b/>
          <w:color w:val="auto"/>
          <w:sz w:val="24"/>
          <w:szCs w:val="24"/>
          <w:highlight w:val="none"/>
        </w:rPr>
        <w:t>采购单位不接受供应商高于自己前一轮的磋商报价</w:t>
      </w:r>
      <w:r>
        <w:rPr>
          <w:rFonts w:hint="eastAsia" w:ascii="Times New Roman" w:hAnsi="Times New Roman" w:eastAsia="宋体" w:cs="宋体"/>
          <w:color w:val="auto"/>
          <w:sz w:val="24"/>
          <w:szCs w:val="24"/>
          <w:highlight w:val="none"/>
        </w:rPr>
        <w:t>。</w:t>
      </w:r>
    </w:p>
    <w:p w14:paraId="25F9B61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5、对于在磋商顺利开始后至最终报价前，根据磋商情况退出磋商的供应商，须以书面形式说明退出磋商的原因，经磋商小组同意可以退出磋商。</w:t>
      </w:r>
    </w:p>
    <w:p w14:paraId="5C671DC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s="宋体"/>
          <w:color w:val="auto"/>
          <w:sz w:val="24"/>
          <w:szCs w:val="24"/>
          <w:highlight w:val="none"/>
        </w:rPr>
        <w:t>6、</w:t>
      </w:r>
      <w:r>
        <w:rPr>
          <w:rFonts w:hint="eastAsia" w:ascii="Times New Roman" w:hAnsi="Times New Roman" w:eastAsia="宋体"/>
          <w:color w:val="auto"/>
          <w:sz w:val="24"/>
          <w:szCs w:val="24"/>
          <w:highlight w:val="none"/>
        </w:rPr>
        <w:t>单位负责人为同一人或者存在直接控股、管理关系的不同供应商，都不得在同一采购项目相同标段中同时参加磋商，一经发现，将视同围标处理。</w:t>
      </w:r>
    </w:p>
    <w:p w14:paraId="2207128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在磋商评审过程中，磋商小组发现供应商的报价明显低于其他供应商的报价，使得其报价可能低于其个别成本的，磋商小组有权要求该供应商作出书面说明并提供相关证明材料，供应商不能合理说明或者不能提供相关证明材料的，由磋商小组认定该供应商以低于成本报价磋商竞标。对被认定为低于成本报价磋商竞标的报价做无效报价，按无效标处理。</w:t>
      </w:r>
    </w:p>
    <w:p w14:paraId="5F671AD9">
      <w:pPr>
        <w:keepNext w:val="0"/>
        <w:keepLines w:val="0"/>
        <w:pageBreakBefore w:val="0"/>
        <w:widowControl w:val="0"/>
        <w:kinsoku/>
        <w:wordWrap/>
        <w:topLinePunct w:val="0"/>
        <w:autoSpaceDE/>
        <w:autoSpaceDN/>
        <w:bidi w:val="0"/>
        <w:spacing w:line="360" w:lineRule="auto"/>
        <w:ind w:firstLine="482" w:firstLineChars="200"/>
        <w:textAlignment w:val="baseline"/>
        <w:rPr>
          <w:rFonts w:hint="eastAsia"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8、若采购过程中符合要求的供应商只有两家，则由磋商小组集体讨论决定是否继续进行竞争性磋商采购活动；若采购过程中符合要求的供应商只有一家，则终止本次竞争性磋商采购活动，重新开展采购活动。</w:t>
      </w:r>
    </w:p>
    <w:p w14:paraId="642EBA46">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三、磋商评定结果的方法</w:t>
      </w:r>
    </w:p>
    <w:p w14:paraId="1FA7A4F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w:t>
      </w:r>
      <w:r>
        <w:rPr>
          <w:rFonts w:hint="eastAsia" w:ascii="Times New Roman" w:hAnsi="Times New Roman" w:eastAsia="宋体" w:cs="宋体"/>
          <w:b/>
          <w:color w:val="auto"/>
          <w:sz w:val="24"/>
          <w:szCs w:val="24"/>
          <w:highlight w:val="none"/>
          <w:u w:val="single"/>
        </w:rPr>
        <w:t>经磋商确定最终采购需求和提交最后报价的供应商后，</w:t>
      </w:r>
      <w:r>
        <w:rPr>
          <w:rFonts w:hint="eastAsia" w:ascii="Times New Roman" w:hAnsi="Times New Roman" w:eastAsia="宋体" w:cs="宋体"/>
          <w:color w:val="auto"/>
          <w:sz w:val="24"/>
          <w:szCs w:val="24"/>
          <w:highlight w:val="none"/>
        </w:rPr>
        <w:t>由磋商小组采用综合评分法</w:t>
      </w:r>
      <w:r>
        <w:rPr>
          <w:rFonts w:hint="eastAsia" w:ascii="Times New Roman" w:hAnsi="Times New Roman" w:eastAsia="宋体" w:cs="宋体"/>
          <w:b/>
          <w:color w:val="auto"/>
          <w:sz w:val="24"/>
          <w:szCs w:val="24"/>
          <w:highlight w:val="none"/>
          <w:u w:val="single"/>
        </w:rPr>
        <w:t>对提交最后报价的供应商的响应文件和最后报价</w:t>
      </w:r>
      <w:r>
        <w:rPr>
          <w:rFonts w:hint="eastAsia" w:ascii="Times New Roman" w:hAnsi="Times New Roman" w:eastAsia="宋体" w:cs="宋体"/>
          <w:color w:val="auto"/>
          <w:sz w:val="24"/>
          <w:szCs w:val="24"/>
          <w:highlight w:val="none"/>
        </w:rPr>
        <w:t>进行综合评分。</w:t>
      </w:r>
    </w:p>
    <w:p w14:paraId="68BA056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2、评审时，磋商小组各成员应当独立对每个有效响应的文件进行评价、打分，然后汇总每个供应商每项评分因素的得分（计算结果均四舍五入保留两位小数）。</w:t>
      </w:r>
    </w:p>
    <w:p w14:paraId="0452C9E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3、本次项目磋商的技术和报价评审总分值为100分。两部分评审因素比重如下：</w:t>
      </w:r>
    </w:p>
    <w:p w14:paraId="3031F85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技术分值占总分值的比重为</w:t>
      </w:r>
      <w:r>
        <w:rPr>
          <w:rFonts w:hint="eastAsia" w:ascii="Times New Roman" w:hAnsi="Times New Roman" w:eastAsia="宋体" w:cs="宋体"/>
          <w:b/>
          <w:color w:val="auto"/>
          <w:sz w:val="24"/>
          <w:szCs w:val="24"/>
          <w:highlight w:val="none"/>
          <w:u w:val="single"/>
          <w:lang w:val="en-US" w:eastAsia="zh-CN"/>
        </w:rPr>
        <w:t>60</w:t>
      </w:r>
      <w:r>
        <w:rPr>
          <w:rFonts w:hint="eastAsia" w:ascii="Times New Roman" w:hAnsi="Times New Roman" w:eastAsia="宋体" w:cs="宋体"/>
          <w:b/>
          <w:color w:val="auto"/>
          <w:sz w:val="24"/>
          <w:szCs w:val="24"/>
          <w:highlight w:val="none"/>
          <w:u w:val="single"/>
        </w:rPr>
        <w:t>%（权重）</w:t>
      </w:r>
      <w:r>
        <w:rPr>
          <w:rFonts w:hint="eastAsia" w:ascii="Times New Roman" w:hAnsi="Times New Roman" w:eastAsia="宋体" w:cs="宋体"/>
          <w:color w:val="auto"/>
          <w:sz w:val="24"/>
          <w:szCs w:val="24"/>
          <w:highlight w:val="none"/>
        </w:rPr>
        <w:t>（四舍五入保留两位小数）；</w:t>
      </w:r>
    </w:p>
    <w:p w14:paraId="1D2B3150">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报价分值占总分值的比重为</w:t>
      </w:r>
      <w:r>
        <w:rPr>
          <w:rFonts w:hint="eastAsia" w:ascii="Times New Roman" w:hAnsi="Times New Roman" w:eastAsia="宋体" w:cs="宋体"/>
          <w:b/>
          <w:color w:val="auto"/>
          <w:sz w:val="24"/>
          <w:szCs w:val="24"/>
          <w:highlight w:val="none"/>
          <w:u w:val="single"/>
          <w:lang w:val="en-US" w:eastAsia="zh-CN"/>
        </w:rPr>
        <w:t>40</w:t>
      </w:r>
      <w:r>
        <w:rPr>
          <w:rFonts w:hint="eastAsia" w:ascii="Times New Roman" w:hAnsi="Times New Roman" w:eastAsia="宋体" w:cs="宋体"/>
          <w:b/>
          <w:color w:val="auto"/>
          <w:sz w:val="24"/>
          <w:szCs w:val="24"/>
          <w:highlight w:val="none"/>
          <w:u w:val="single"/>
        </w:rPr>
        <w:t>%（权重）</w:t>
      </w:r>
      <w:r>
        <w:rPr>
          <w:rFonts w:hint="eastAsia" w:ascii="Times New Roman" w:hAnsi="Times New Roman" w:eastAsia="宋体" w:cs="宋体"/>
          <w:color w:val="auto"/>
          <w:sz w:val="24"/>
          <w:szCs w:val="24"/>
          <w:highlight w:val="none"/>
        </w:rPr>
        <w:t>（四舍五入保留两位小数）。</w:t>
      </w:r>
    </w:p>
    <w:p w14:paraId="2785C00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4、技术分按算术平均值计算，分值四舍五入保留两位小数。</w:t>
      </w:r>
    </w:p>
    <w:p w14:paraId="1CC32C6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5、报价分统一采用低价优先法计算直接取得，与技术分相加为供应商的综合得分（四舍五入保留两位小数）。</w:t>
      </w:r>
    </w:p>
    <w:p w14:paraId="756F3D11">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6、综合得分最高的供应商推荐为项目预成交人并出具评审磋商报告。</w:t>
      </w:r>
    </w:p>
    <w:p w14:paraId="2D67C28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7、确定成交候选人的特殊情况处理：</w:t>
      </w:r>
    </w:p>
    <w:p w14:paraId="47C4BA7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（1）若总分相同，则按最终报价响应得分高者优先中标。</w:t>
      </w:r>
    </w:p>
    <w:p w14:paraId="0DEF2D3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（2）若总分且最终报价响应得分相同，则采取现场抽签的方式确定（投标供应商的抽签顺序分别为各投标供应商递交响应文件签到顺序号）。</w:t>
      </w:r>
    </w:p>
    <w:p w14:paraId="3C3A17F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8、磋商评审时，评委对评审的细则若有争议，由磋商小组集体讨论确定，并对未尽情况有最终解释权。</w:t>
      </w:r>
    </w:p>
    <w:p w14:paraId="1E0FFA9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9、对落标的供应商不做落标原因的解释。</w:t>
      </w:r>
    </w:p>
    <w:p w14:paraId="75D37F34">
      <w:pPr>
        <w:pStyle w:val="2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四、综合评分评审标准</w:t>
      </w:r>
    </w:p>
    <w:p w14:paraId="392D728A">
      <w:pPr>
        <w:pStyle w:val="2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（一）商务技术分：</w:t>
      </w:r>
      <w:r>
        <w:rPr>
          <w:rFonts w:hint="eastAsia" w:ascii="Times New Roman" w:hAnsi="Times New Roman" w:cs="宋体"/>
          <w:b/>
          <w:bCs/>
          <w:color w:val="auto"/>
          <w:szCs w:val="24"/>
          <w:highlight w:val="none"/>
          <w:shd w:val="clear" w:color="auto" w:fill="FFFFFF"/>
          <w:lang w:val="en-US" w:eastAsia="zh-CN"/>
        </w:rPr>
        <w:t>60</w:t>
      </w:r>
      <w:r>
        <w:rPr>
          <w:rFonts w:hint="eastAsia" w:ascii="Times New Roman" w:hAnsi="Times New Roman" w:eastAsia="宋体" w:cs="宋体"/>
          <w:b/>
          <w:bCs/>
          <w:color w:val="auto"/>
          <w:szCs w:val="24"/>
          <w:highlight w:val="none"/>
          <w:shd w:val="clear" w:color="auto" w:fill="FFFFFF"/>
        </w:rPr>
        <w:t>分</w:t>
      </w:r>
    </w:p>
    <w:tbl>
      <w:tblPr>
        <w:tblStyle w:val="25"/>
        <w:tblW w:w="536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1"/>
        <w:gridCol w:w="1781"/>
        <w:gridCol w:w="6091"/>
        <w:gridCol w:w="782"/>
      </w:tblGrid>
      <w:tr w14:paraId="3826C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384" w:type="pct"/>
            <w:noWrap w:val="0"/>
            <w:vAlign w:val="center"/>
          </w:tcPr>
          <w:p w14:paraId="4022F42C">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949" w:type="pct"/>
            <w:noWrap w:val="0"/>
            <w:vAlign w:val="center"/>
          </w:tcPr>
          <w:p w14:paraId="37172F65">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评审内容</w:t>
            </w:r>
          </w:p>
        </w:tc>
        <w:tc>
          <w:tcPr>
            <w:tcW w:w="3248" w:type="pct"/>
            <w:noWrap w:val="0"/>
            <w:vAlign w:val="center"/>
          </w:tcPr>
          <w:p w14:paraId="66EF89A4">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评审细则</w:t>
            </w:r>
          </w:p>
        </w:tc>
        <w:tc>
          <w:tcPr>
            <w:tcW w:w="417" w:type="pct"/>
            <w:noWrap w:val="0"/>
            <w:vAlign w:val="center"/>
          </w:tcPr>
          <w:p w14:paraId="7A99F2D9">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r>
      <w:tr w14:paraId="50291B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384" w:type="pct"/>
            <w:noWrap w:val="0"/>
            <w:vAlign w:val="center"/>
          </w:tcPr>
          <w:p w14:paraId="7185702E">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49" w:type="pct"/>
            <w:shd w:val="clear" w:color="auto" w:fill="auto"/>
            <w:noWrap w:val="0"/>
            <w:vAlign w:val="center"/>
          </w:tcPr>
          <w:p w14:paraId="626D5BC4">
            <w:pPr>
              <w:spacing w:line="360" w:lineRule="auto"/>
              <w:ind w:left="73" w:leftChars="0" w:right="91"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体系认证证书</w:t>
            </w:r>
          </w:p>
        </w:tc>
        <w:tc>
          <w:tcPr>
            <w:tcW w:w="3248" w:type="pct"/>
            <w:shd w:val="clear" w:color="auto" w:fill="auto"/>
            <w:noWrap w:val="0"/>
            <w:vAlign w:val="center"/>
          </w:tcPr>
          <w:p w14:paraId="64D62F9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板式换热机组生产厂家具有有效期内的ISO9001质量管理体系认证证书、ISO45001管理体系证书、ISO14001环境管理体系认证证书，ISO5001能源管理体系认证，每提供一项认证得2分，最高得8分。</w:t>
            </w:r>
          </w:p>
          <w:p w14:paraId="1D43B0CF">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（响应文件中提供相关证书复印件）</w:t>
            </w:r>
          </w:p>
        </w:tc>
        <w:tc>
          <w:tcPr>
            <w:tcW w:w="417" w:type="pct"/>
            <w:noWrap w:val="0"/>
            <w:vAlign w:val="center"/>
          </w:tcPr>
          <w:p w14:paraId="7D80344D">
            <w:pP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8</w:t>
            </w:r>
          </w:p>
        </w:tc>
      </w:tr>
      <w:tr w14:paraId="350D6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384" w:type="pct"/>
            <w:shd w:val="clear" w:color="auto" w:fill="auto"/>
            <w:noWrap w:val="0"/>
            <w:vAlign w:val="center"/>
          </w:tcPr>
          <w:p w14:paraId="116A590E">
            <w:pPr>
              <w:spacing w:line="360" w:lineRule="auto"/>
              <w:ind w:left="73" w:leftChars="0" w:right="101"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2</w:t>
            </w:r>
          </w:p>
        </w:tc>
        <w:tc>
          <w:tcPr>
            <w:tcW w:w="949" w:type="pct"/>
            <w:shd w:val="clear" w:color="auto" w:fill="auto"/>
            <w:noWrap w:val="0"/>
            <w:vAlign w:val="center"/>
          </w:tcPr>
          <w:p w14:paraId="146206D4">
            <w:pPr>
              <w:spacing w:line="360" w:lineRule="auto"/>
              <w:ind w:left="73" w:leftChars="0" w:right="91" w:rightChars="0"/>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业绩证明</w:t>
            </w:r>
          </w:p>
        </w:tc>
        <w:tc>
          <w:tcPr>
            <w:tcW w:w="3248" w:type="pct"/>
            <w:shd w:val="clear" w:color="auto" w:fill="auto"/>
            <w:noWrap w:val="0"/>
            <w:vAlign w:val="center"/>
          </w:tcPr>
          <w:p w14:paraId="365EA636">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bCs/>
                <w:color w:val="auto"/>
                <w:sz w:val="24"/>
                <w:szCs w:val="24"/>
                <w:highlight w:val="none"/>
              </w:rPr>
              <w:t>供应商提供自2021年1月1日</w:t>
            </w:r>
            <w:r>
              <w:rPr>
                <w:rFonts w:hint="eastAsia" w:ascii="宋体" w:hAnsi="宋体" w:eastAsia="宋体" w:cs="宋体"/>
                <w:color w:val="auto"/>
                <w:sz w:val="24"/>
                <w:szCs w:val="24"/>
                <w:highlight w:val="none"/>
              </w:rPr>
              <w:t>（以</w:t>
            </w:r>
            <w:r>
              <w:rPr>
                <w:rFonts w:hint="eastAsia" w:ascii="宋体" w:hAnsi="宋体" w:eastAsia="宋体" w:cs="宋体"/>
                <w:bCs/>
                <w:color w:val="auto"/>
                <w:sz w:val="24"/>
                <w:szCs w:val="24"/>
                <w:highlight w:val="none"/>
              </w:rPr>
              <w:t>合同</w:t>
            </w:r>
            <w:r>
              <w:rPr>
                <w:rFonts w:hint="eastAsia" w:ascii="宋体" w:hAnsi="宋体" w:eastAsia="宋体" w:cs="宋体"/>
                <w:color w:val="auto"/>
                <w:sz w:val="24"/>
                <w:szCs w:val="24"/>
                <w:highlight w:val="none"/>
              </w:rPr>
              <w:t>签订日期</w:t>
            </w:r>
            <w:r>
              <w:rPr>
                <w:rFonts w:hint="eastAsia" w:ascii="宋体" w:hAnsi="宋体" w:eastAsia="宋体" w:cs="宋体"/>
                <w:bCs/>
                <w:color w:val="auto"/>
                <w:sz w:val="24"/>
                <w:szCs w:val="24"/>
                <w:highlight w:val="none"/>
              </w:rPr>
              <w:t>为准）至今承接的类似</w:t>
            </w:r>
            <w:r>
              <w:rPr>
                <w:rFonts w:hint="eastAsia" w:ascii="Times New Roman" w:hAnsi="Times New Roman" w:eastAsia="宋体" w:cs="宋体"/>
                <w:color w:val="auto"/>
                <w:sz w:val="24"/>
                <w:szCs w:val="24"/>
                <w:highlight w:val="none"/>
                <w:lang w:eastAsia="zh-CN"/>
              </w:rPr>
              <w:t>板式换热机组</w:t>
            </w:r>
            <w:r>
              <w:rPr>
                <w:rFonts w:hint="eastAsia" w:ascii="宋体" w:hAnsi="宋体" w:eastAsia="宋体" w:cs="宋体"/>
                <w:bCs/>
                <w:color w:val="auto"/>
                <w:sz w:val="24"/>
                <w:szCs w:val="24"/>
                <w:highlight w:val="none"/>
              </w:rPr>
              <w:t>供货业绩，每有1份符合要求的合同得2分，本项最高得</w:t>
            </w:r>
            <w:r>
              <w:rPr>
                <w:rFonts w:hint="eastAsia" w:ascii="宋体" w:hAnsi="宋体" w:eastAsia="宋体" w:cs="宋体"/>
                <w:bCs/>
                <w:color w:val="auto"/>
                <w:sz w:val="24"/>
                <w:szCs w:val="24"/>
                <w:highlight w:val="none"/>
                <w:lang w:val="en-US" w:eastAsia="zh-CN"/>
              </w:rPr>
              <w:t>10</w:t>
            </w:r>
            <w:r>
              <w:rPr>
                <w:rFonts w:hint="eastAsia" w:ascii="宋体" w:hAnsi="宋体" w:eastAsia="宋体" w:cs="宋体"/>
                <w:bCs/>
                <w:color w:val="auto"/>
                <w:sz w:val="24"/>
                <w:szCs w:val="24"/>
                <w:highlight w:val="none"/>
              </w:rPr>
              <w:t>分。【</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文件中须提供①中标通知书②合同文本的主要内容③完工验收资料④不低于合同金额50%的发票作为佐证材料。</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供应商的相关证明材料均应为原件的扫描件且清晰可见，否则，</w:t>
            </w:r>
            <w:r>
              <w:rPr>
                <w:rFonts w:hint="eastAsia" w:ascii="宋体" w:hAnsi="宋体" w:eastAsia="宋体" w:cs="宋体"/>
                <w:bCs/>
                <w:color w:val="auto"/>
                <w:sz w:val="24"/>
                <w:szCs w:val="24"/>
                <w:highlight w:val="none"/>
                <w:lang w:eastAsia="zh-CN"/>
              </w:rPr>
              <w:t>响应</w:t>
            </w:r>
            <w:r>
              <w:rPr>
                <w:rFonts w:hint="eastAsia" w:ascii="宋体" w:hAnsi="宋体" w:eastAsia="宋体" w:cs="宋体"/>
                <w:bCs/>
                <w:color w:val="auto"/>
                <w:sz w:val="24"/>
                <w:szCs w:val="24"/>
                <w:highlight w:val="none"/>
              </w:rPr>
              <w:t>供应商自行承担因扫描件模糊等问题导致评委无法辨识的一切后果。】</w:t>
            </w:r>
          </w:p>
        </w:tc>
        <w:tc>
          <w:tcPr>
            <w:tcW w:w="417" w:type="pct"/>
            <w:noWrap w:val="0"/>
            <w:vAlign w:val="center"/>
          </w:tcPr>
          <w:p w14:paraId="673A00DC">
            <w:pPr>
              <w:spacing w:line="360" w:lineRule="auto"/>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w:t>
            </w:r>
          </w:p>
        </w:tc>
      </w:tr>
      <w:tr w14:paraId="6210F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jc w:val="center"/>
        </w:trPr>
        <w:tc>
          <w:tcPr>
            <w:tcW w:w="384" w:type="pct"/>
            <w:shd w:val="clear" w:color="auto" w:fill="auto"/>
            <w:noWrap w:val="0"/>
            <w:vAlign w:val="center"/>
          </w:tcPr>
          <w:p w14:paraId="2A705069">
            <w:pPr>
              <w:spacing w:line="360" w:lineRule="auto"/>
              <w:ind w:left="73" w:leftChars="0" w:right="101" w:rightChars="0"/>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949" w:type="pct"/>
            <w:shd w:val="clear" w:color="auto" w:fill="auto"/>
            <w:noWrap w:val="0"/>
            <w:vAlign w:val="center"/>
          </w:tcPr>
          <w:p w14:paraId="71E6258A">
            <w:pPr>
              <w:spacing w:line="360" w:lineRule="auto"/>
              <w:ind w:left="73" w:leftChars="0" w:right="91" w:right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主要设备的技术质量、性能指标等</w:t>
            </w:r>
          </w:p>
        </w:tc>
        <w:tc>
          <w:tcPr>
            <w:tcW w:w="3248" w:type="pct"/>
            <w:shd w:val="clear" w:color="auto" w:fill="auto"/>
            <w:noWrap w:val="0"/>
            <w:vAlign w:val="center"/>
          </w:tcPr>
          <w:p w14:paraId="1584A88D">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1、换热器（5分）</w:t>
            </w:r>
          </w:p>
          <w:p w14:paraId="19C0BE0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供应商对所投换热器的品牌档次、产地、技术参数、性能指标的描述详细全面具体，优于或完全符合本项目换热器需求的得5分； </w:t>
            </w:r>
          </w:p>
          <w:p w14:paraId="5D29143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供应商对所投换热器的品牌档次、产地、技术参数、性能指标的描述基本全面详细，基本符合本项目换热器需求的得3分； </w:t>
            </w:r>
          </w:p>
          <w:p w14:paraId="5223072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供应商对所投换热器的品牌档次、产地、技术参数、性能指标等描述简单、笼统的，部分符合本项目换热器需求的得1分； 无描述的不得分。</w:t>
            </w:r>
          </w:p>
          <w:p w14:paraId="69C8D64C">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2、水泵 （5分）</w:t>
            </w:r>
          </w:p>
          <w:p w14:paraId="353302F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供应商对所投水泵的品牌档次、产地、技术参数、性能指标的描述详细全面具体，优于或完全符合本项目水泵需求的得5分； </w:t>
            </w:r>
          </w:p>
          <w:p w14:paraId="770C7FF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供应商对所投水泵的品牌档次、产地、技术参数、性能指标的描述基本全面详细，基本符合本项目水泵需求的得3分； </w:t>
            </w:r>
          </w:p>
          <w:p w14:paraId="3F8CE13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供应商对所投水泵的品牌档次、产地、技术参数、性能指标等描述简单、笼统的，部分符合本项目水泵需求的得1分； 无描述的不得分。</w:t>
            </w:r>
          </w:p>
          <w:p w14:paraId="2B1F5E24">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3、控制柜 （5分）</w:t>
            </w:r>
          </w:p>
          <w:p w14:paraId="766FF34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供应商对所投控制柜的品牌档次、产地、技术参数、性能指标的描述详细全面具体，优于或完全符合本项目控制柜需求的得5分； </w:t>
            </w:r>
          </w:p>
          <w:p w14:paraId="0274F7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供应商对所投控制柜的品牌档次、产地、技术参数、性能指标的描述基本全面详细，基本符合本项目控制柜需求的得3分； </w:t>
            </w:r>
          </w:p>
          <w:p w14:paraId="6E96A53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供应商对所投控制柜的品牌档次、产地、技术参数、性能指标等描述简单、笼统的，部分符合本项目控制柜需求的得1分； 无描述的不得分。</w:t>
            </w:r>
          </w:p>
          <w:p w14:paraId="702A47A9">
            <w:pPr>
              <w:spacing w:line="360" w:lineRule="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4、软水系统及相关阀门（5分）</w:t>
            </w:r>
          </w:p>
          <w:p w14:paraId="0DDCC8C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供应商对所投软水系统及相关阀门的品牌档次、产地、技术参数、性能指标的描述详细全面具体，优于或完全符合本项目</w:t>
            </w:r>
            <w:r>
              <w:rPr>
                <w:rFonts w:hint="eastAsia" w:ascii="宋体" w:hAnsi="宋体" w:eastAsia="宋体" w:cs="宋体"/>
                <w:color w:val="auto"/>
                <w:sz w:val="24"/>
                <w:szCs w:val="24"/>
                <w:highlight w:val="none"/>
                <w:lang w:eastAsia="zh-CN"/>
              </w:rPr>
              <w:t>软水</w:t>
            </w:r>
            <w:r>
              <w:rPr>
                <w:rFonts w:hint="eastAsia" w:ascii="宋体" w:hAnsi="宋体" w:eastAsia="宋体" w:cs="宋体"/>
                <w:color w:val="auto"/>
                <w:sz w:val="24"/>
                <w:szCs w:val="24"/>
                <w:highlight w:val="none"/>
              </w:rPr>
              <w:t xml:space="preserve">系统及相关阀门需求的得5分； </w:t>
            </w:r>
          </w:p>
          <w:p w14:paraId="05E7D0F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供应商对所投软水系统及相关阀门的品牌档次、产地、技术参数、性能指标的描述基本全面详细，基本符合本项目</w:t>
            </w:r>
            <w:r>
              <w:rPr>
                <w:rFonts w:hint="eastAsia" w:ascii="宋体" w:hAnsi="宋体" w:eastAsia="宋体" w:cs="宋体"/>
                <w:color w:val="auto"/>
                <w:sz w:val="24"/>
                <w:szCs w:val="24"/>
                <w:highlight w:val="none"/>
                <w:lang w:eastAsia="zh-CN"/>
              </w:rPr>
              <w:t>软水</w:t>
            </w:r>
            <w:r>
              <w:rPr>
                <w:rFonts w:hint="eastAsia" w:ascii="宋体" w:hAnsi="宋体" w:eastAsia="宋体" w:cs="宋体"/>
                <w:color w:val="auto"/>
                <w:sz w:val="24"/>
                <w:szCs w:val="24"/>
                <w:highlight w:val="none"/>
              </w:rPr>
              <w:t xml:space="preserve">系统及相关阀门需求的得3分； </w:t>
            </w:r>
          </w:p>
          <w:p w14:paraId="2779C712">
            <w:pPr>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供应商对所投软水系统及相关阀门的品牌档次、产地、技术参数、性能指标等描述简单、笼统的，部分符合本项目</w:t>
            </w:r>
            <w:r>
              <w:rPr>
                <w:rFonts w:hint="eastAsia" w:ascii="宋体" w:hAnsi="宋体" w:eastAsia="宋体" w:cs="宋体"/>
                <w:color w:val="auto"/>
                <w:sz w:val="24"/>
                <w:szCs w:val="24"/>
                <w:highlight w:val="none"/>
                <w:lang w:eastAsia="zh-CN"/>
              </w:rPr>
              <w:t>软水</w:t>
            </w:r>
            <w:r>
              <w:rPr>
                <w:rFonts w:hint="eastAsia" w:ascii="宋体" w:hAnsi="宋体" w:eastAsia="宋体" w:cs="宋体"/>
                <w:color w:val="auto"/>
                <w:sz w:val="24"/>
                <w:szCs w:val="24"/>
                <w:highlight w:val="none"/>
              </w:rPr>
              <w:t>系统及相关阀门需求的得1分；无描述的不得分。</w:t>
            </w:r>
          </w:p>
        </w:tc>
        <w:tc>
          <w:tcPr>
            <w:tcW w:w="417" w:type="pct"/>
            <w:noWrap w:val="0"/>
            <w:vAlign w:val="center"/>
          </w:tcPr>
          <w:p w14:paraId="7303CAC8">
            <w:pPr>
              <w:spacing w:line="360" w:lineRule="auto"/>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20</w:t>
            </w:r>
          </w:p>
        </w:tc>
      </w:tr>
      <w:tr w14:paraId="75E45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84" w:type="pct"/>
            <w:vMerge w:val="restart"/>
            <w:noWrap w:val="0"/>
            <w:vAlign w:val="center"/>
          </w:tcPr>
          <w:p w14:paraId="104EA086">
            <w:pPr>
              <w:spacing w:line="360" w:lineRule="auto"/>
              <w:ind w:left="73" w:right="101"/>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949" w:type="pct"/>
            <w:vMerge w:val="restart"/>
            <w:tcBorders>
              <w:top w:val="single" w:color="auto" w:sz="4" w:space="0"/>
              <w:right w:val="single" w:color="auto" w:sz="4" w:space="0"/>
            </w:tcBorders>
            <w:noWrap w:val="0"/>
            <w:vAlign w:val="center"/>
          </w:tcPr>
          <w:p w14:paraId="621B6B9D">
            <w:pPr>
              <w:spacing w:line="360" w:lineRule="auto"/>
              <w:ind w:left="73" w:right="91"/>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项目供货及实施方案</w:t>
            </w:r>
          </w:p>
        </w:tc>
        <w:tc>
          <w:tcPr>
            <w:tcW w:w="3248" w:type="pct"/>
            <w:tcBorders>
              <w:right w:val="single" w:color="auto" w:sz="4" w:space="0"/>
            </w:tcBorders>
            <w:noWrap w:val="0"/>
            <w:vAlign w:val="center"/>
          </w:tcPr>
          <w:p w14:paraId="7441DFD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1、供货、安装调试及验收方案措施（</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39ECFE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供货、安装调试及验收方案及实施进度安排</w:t>
            </w:r>
            <w:r>
              <w:rPr>
                <w:rFonts w:hint="eastAsia" w:ascii="宋体" w:hAnsi="宋体" w:eastAsia="宋体" w:cs="宋体"/>
                <w:bCs/>
                <w:color w:val="auto"/>
                <w:sz w:val="24"/>
                <w:szCs w:val="24"/>
                <w:highlight w:val="none"/>
              </w:rPr>
              <w:t>全面</w:t>
            </w:r>
            <w:r>
              <w:rPr>
                <w:rFonts w:hint="eastAsia" w:ascii="宋体" w:hAnsi="宋体" w:eastAsia="宋体" w:cs="宋体"/>
                <w:color w:val="auto"/>
                <w:sz w:val="24"/>
                <w:szCs w:val="24"/>
                <w:highlight w:val="none"/>
              </w:rPr>
              <w:t>详细合理、完全符合或优于本项目需求内容及实施进度要求的得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150306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供货、安装调试及验收方案及实施进度安排</w:t>
            </w:r>
            <w:r>
              <w:rPr>
                <w:rFonts w:hint="eastAsia" w:ascii="宋体" w:hAnsi="宋体" w:eastAsia="宋体" w:cs="宋体"/>
                <w:bCs/>
                <w:color w:val="auto"/>
                <w:sz w:val="24"/>
                <w:szCs w:val="24"/>
                <w:highlight w:val="none"/>
              </w:rPr>
              <w:t>简单</w:t>
            </w:r>
            <w:r>
              <w:rPr>
                <w:rFonts w:hint="eastAsia" w:ascii="宋体" w:hAnsi="宋体" w:eastAsia="宋体" w:cs="宋体"/>
                <w:color w:val="auto"/>
                <w:sz w:val="24"/>
                <w:szCs w:val="24"/>
                <w:highlight w:val="none"/>
              </w:rPr>
              <w:t>、不够合理、没有完全响应本项目实施进度要求的得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7E7673FB">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未提供供货、安装调试及验收方案及实施进度安排的，或提供不全的得0分；</w:t>
            </w:r>
          </w:p>
        </w:tc>
        <w:tc>
          <w:tcPr>
            <w:tcW w:w="417" w:type="pct"/>
            <w:vMerge w:val="restart"/>
            <w:tcBorders>
              <w:left w:val="single" w:color="auto" w:sz="4" w:space="0"/>
            </w:tcBorders>
            <w:noWrap w:val="0"/>
            <w:vAlign w:val="center"/>
          </w:tcPr>
          <w:p w14:paraId="42EF971A">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r>
      <w:tr w14:paraId="7B6FA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84" w:type="pct"/>
            <w:vMerge w:val="continue"/>
            <w:noWrap w:val="0"/>
            <w:vAlign w:val="center"/>
          </w:tcPr>
          <w:p w14:paraId="51126839">
            <w:pPr>
              <w:spacing w:line="360" w:lineRule="auto"/>
              <w:ind w:left="73" w:right="101"/>
              <w:jc w:val="center"/>
              <w:rPr>
                <w:rFonts w:hint="eastAsia" w:ascii="宋体" w:hAnsi="宋体" w:eastAsia="宋体" w:cs="宋体"/>
                <w:color w:val="auto"/>
                <w:sz w:val="24"/>
                <w:szCs w:val="24"/>
                <w:highlight w:val="none"/>
              </w:rPr>
            </w:pPr>
          </w:p>
        </w:tc>
        <w:tc>
          <w:tcPr>
            <w:tcW w:w="949" w:type="pct"/>
            <w:vMerge w:val="continue"/>
            <w:tcBorders>
              <w:right w:val="single" w:color="auto" w:sz="4" w:space="0"/>
            </w:tcBorders>
            <w:noWrap w:val="0"/>
            <w:vAlign w:val="center"/>
          </w:tcPr>
          <w:p w14:paraId="614FA120">
            <w:pPr>
              <w:spacing w:line="360" w:lineRule="auto"/>
              <w:ind w:left="73" w:right="91"/>
              <w:jc w:val="center"/>
              <w:rPr>
                <w:rFonts w:hint="eastAsia" w:ascii="宋体" w:hAnsi="宋体" w:eastAsia="宋体" w:cs="宋体"/>
                <w:color w:val="auto"/>
                <w:sz w:val="24"/>
                <w:szCs w:val="24"/>
                <w:highlight w:val="none"/>
              </w:rPr>
            </w:pPr>
          </w:p>
        </w:tc>
        <w:tc>
          <w:tcPr>
            <w:tcW w:w="3248" w:type="pct"/>
            <w:tcBorders>
              <w:right w:val="single" w:color="auto" w:sz="4" w:space="0"/>
            </w:tcBorders>
            <w:noWrap w:val="0"/>
            <w:vAlign w:val="center"/>
          </w:tcPr>
          <w:p w14:paraId="4F5242B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2、人员配置及安装</w:t>
            </w:r>
            <w:r>
              <w:rPr>
                <w:rFonts w:hint="eastAsia" w:ascii="宋体" w:hAnsi="宋体" w:eastAsia="宋体" w:cs="宋体"/>
                <w:bCs/>
                <w:color w:val="auto"/>
                <w:sz w:val="24"/>
                <w:szCs w:val="24"/>
                <w:highlight w:val="none"/>
              </w:rPr>
              <w:t>设备</w:t>
            </w:r>
            <w:r>
              <w:rPr>
                <w:rFonts w:hint="eastAsia" w:ascii="宋体" w:hAnsi="宋体" w:eastAsia="宋体" w:cs="宋体"/>
                <w:color w:val="auto"/>
                <w:sz w:val="24"/>
                <w:szCs w:val="24"/>
                <w:highlight w:val="none"/>
              </w:rPr>
              <w:t>配置方案（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10B5CB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人员配置方案详细具体，</w:t>
            </w:r>
            <w:r>
              <w:rPr>
                <w:rFonts w:hint="eastAsia" w:ascii="宋体" w:hAnsi="宋体" w:eastAsia="宋体" w:cs="宋体"/>
                <w:bCs/>
                <w:color w:val="auto"/>
                <w:sz w:val="24"/>
                <w:szCs w:val="24"/>
                <w:highlight w:val="none"/>
              </w:rPr>
              <w:t>专业化</w:t>
            </w:r>
            <w:r>
              <w:rPr>
                <w:rFonts w:hint="eastAsia" w:ascii="宋体" w:hAnsi="宋体" w:eastAsia="宋体" w:cs="宋体"/>
                <w:color w:val="auto"/>
                <w:sz w:val="24"/>
                <w:szCs w:val="24"/>
                <w:highlight w:val="none"/>
              </w:rPr>
              <w:t>程度高，安装设备配置齐全的得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57973A5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人员配置方案简单，</w:t>
            </w:r>
            <w:r>
              <w:rPr>
                <w:rFonts w:hint="eastAsia" w:ascii="宋体" w:hAnsi="宋体" w:eastAsia="宋体" w:cs="宋体"/>
                <w:bCs/>
                <w:color w:val="auto"/>
                <w:sz w:val="24"/>
                <w:szCs w:val="24"/>
                <w:highlight w:val="none"/>
              </w:rPr>
              <w:t>专业化</w:t>
            </w:r>
            <w:r>
              <w:rPr>
                <w:rFonts w:hint="eastAsia" w:ascii="宋体" w:hAnsi="宋体" w:eastAsia="宋体" w:cs="宋体"/>
                <w:color w:val="auto"/>
                <w:sz w:val="24"/>
                <w:szCs w:val="24"/>
                <w:highlight w:val="none"/>
              </w:rPr>
              <w:t>程度一般，安装设备配置不够齐全的得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14:paraId="0D83CD4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未提供人员配置方案及</w:t>
            </w:r>
            <w:r>
              <w:rPr>
                <w:rFonts w:hint="eastAsia" w:ascii="宋体" w:hAnsi="宋体" w:eastAsia="宋体" w:cs="宋体"/>
                <w:bCs/>
                <w:color w:val="auto"/>
                <w:sz w:val="24"/>
                <w:szCs w:val="24"/>
                <w:highlight w:val="none"/>
              </w:rPr>
              <w:t>安装</w:t>
            </w:r>
            <w:r>
              <w:rPr>
                <w:rFonts w:hint="eastAsia" w:ascii="宋体" w:hAnsi="宋体" w:eastAsia="宋体" w:cs="宋体"/>
                <w:color w:val="auto"/>
                <w:sz w:val="24"/>
                <w:szCs w:val="24"/>
                <w:highlight w:val="none"/>
              </w:rPr>
              <w:t>设备配置方案的或提供不全的不得分；</w:t>
            </w:r>
          </w:p>
        </w:tc>
        <w:tc>
          <w:tcPr>
            <w:tcW w:w="417" w:type="pct"/>
            <w:vMerge w:val="continue"/>
            <w:tcBorders>
              <w:left w:val="single" w:color="auto" w:sz="4" w:space="0"/>
            </w:tcBorders>
            <w:noWrap w:val="0"/>
            <w:vAlign w:val="center"/>
          </w:tcPr>
          <w:p w14:paraId="54480912">
            <w:pPr>
              <w:spacing w:line="360" w:lineRule="auto"/>
              <w:jc w:val="center"/>
              <w:rPr>
                <w:rFonts w:hint="default" w:ascii="宋体" w:hAnsi="宋体" w:eastAsia="宋体" w:cs="宋体"/>
                <w:color w:val="auto"/>
                <w:sz w:val="24"/>
                <w:szCs w:val="24"/>
                <w:highlight w:val="none"/>
                <w:lang w:val="en-US" w:eastAsia="zh-CN"/>
              </w:rPr>
            </w:pPr>
          </w:p>
        </w:tc>
      </w:tr>
      <w:tr w14:paraId="3F7369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384" w:type="pct"/>
            <w:vMerge w:val="continue"/>
            <w:noWrap w:val="0"/>
            <w:vAlign w:val="center"/>
          </w:tcPr>
          <w:p w14:paraId="044AE3EC">
            <w:pPr>
              <w:spacing w:line="360" w:lineRule="auto"/>
              <w:ind w:left="73" w:right="101"/>
              <w:jc w:val="center"/>
              <w:rPr>
                <w:rFonts w:hint="eastAsia" w:ascii="宋体" w:hAnsi="宋体" w:eastAsia="宋体" w:cs="宋体"/>
                <w:color w:val="auto"/>
                <w:sz w:val="24"/>
                <w:szCs w:val="24"/>
                <w:highlight w:val="none"/>
              </w:rPr>
            </w:pPr>
          </w:p>
        </w:tc>
        <w:tc>
          <w:tcPr>
            <w:tcW w:w="949" w:type="pct"/>
            <w:vMerge w:val="continue"/>
            <w:tcBorders>
              <w:right w:val="single" w:color="auto" w:sz="4" w:space="0"/>
            </w:tcBorders>
            <w:noWrap w:val="0"/>
            <w:vAlign w:val="center"/>
          </w:tcPr>
          <w:p w14:paraId="0134B899">
            <w:pPr>
              <w:spacing w:line="360" w:lineRule="auto"/>
              <w:ind w:left="73" w:right="91"/>
              <w:jc w:val="center"/>
              <w:rPr>
                <w:rFonts w:hint="eastAsia" w:ascii="宋体" w:hAnsi="宋体" w:eastAsia="宋体" w:cs="宋体"/>
                <w:color w:val="auto"/>
                <w:sz w:val="24"/>
                <w:szCs w:val="24"/>
                <w:highlight w:val="none"/>
              </w:rPr>
            </w:pPr>
          </w:p>
        </w:tc>
        <w:tc>
          <w:tcPr>
            <w:tcW w:w="3248" w:type="pct"/>
            <w:tcBorders>
              <w:right w:val="single" w:color="auto" w:sz="4" w:space="0"/>
            </w:tcBorders>
            <w:noWrap w:val="0"/>
            <w:vAlign w:val="center"/>
          </w:tcPr>
          <w:p w14:paraId="1FF03A90">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、安全管理体系与措施、文明施工技术措施及应急处理预案（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18CCCDA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供应商的安全管理</w:t>
            </w:r>
            <w:r>
              <w:rPr>
                <w:rFonts w:hint="eastAsia" w:ascii="宋体" w:hAnsi="宋体" w:eastAsia="宋体" w:cs="宋体"/>
                <w:bCs/>
                <w:color w:val="auto"/>
                <w:sz w:val="24"/>
                <w:szCs w:val="24"/>
                <w:highlight w:val="none"/>
              </w:rPr>
              <w:t>体系</w:t>
            </w:r>
            <w:r>
              <w:rPr>
                <w:rFonts w:hint="eastAsia" w:ascii="宋体" w:hAnsi="宋体" w:eastAsia="宋体" w:cs="宋体"/>
                <w:color w:val="auto"/>
                <w:sz w:val="24"/>
                <w:szCs w:val="24"/>
                <w:highlight w:val="none"/>
              </w:rPr>
              <w:t>与措施、文明施工技术措施及应急处理预案的合理、全面、有效性及科学性高的得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6B069A60">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供应商的安全管理</w:t>
            </w:r>
            <w:r>
              <w:rPr>
                <w:rFonts w:hint="eastAsia" w:ascii="宋体" w:hAnsi="宋体" w:eastAsia="宋体" w:cs="宋体"/>
                <w:bCs/>
                <w:color w:val="auto"/>
                <w:sz w:val="24"/>
                <w:szCs w:val="24"/>
                <w:highlight w:val="none"/>
              </w:rPr>
              <w:t>体系</w:t>
            </w:r>
            <w:r>
              <w:rPr>
                <w:rFonts w:hint="eastAsia" w:ascii="宋体" w:hAnsi="宋体" w:eastAsia="宋体" w:cs="宋体"/>
                <w:color w:val="auto"/>
                <w:sz w:val="24"/>
                <w:szCs w:val="24"/>
                <w:highlight w:val="none"/>
              </w:rPr>
              <w:t>与措施、文明施工技术措施及应急处理预案的</w:t>
            </w:r>
            <w:r>
              <w:rPr>
                <w:rFonts w:hint="eastAsia" w:ascii="宋体" w:hAnsi="宋体" w:eastAsia="宋体" w:cs="宋体"/>
                <w:color w:val="auto"/>
                <w:sz w:val="24"/>
                <w:szCs w:val="24"/>
                <w:highlight w:val="none"/>
                <w:lang w:eastAsia="zh-CN"/>
              </w:rPr>
              <w:t>较</w:t>
            </w:r>
            <w:r>
              <w:rPr>
                <w:rFonts w:hint="eastAsia" w:ascii="宋体" w:hAnsi="宋体" w:eastAsia="宋体" w:cs="宋体"/>
                <w:color w:val="auto"/>
                <w:sz w:val="24"/>
                <w:szCs w:val="24"/>
                <w:highlight w:val="none"/>
              </w:rPr>
              <w:t>合理、</w:t>
            </w:r>
            <w:r>
              <w:rPr>
                <w:rFonts w:hint="eastAsia" w:ascii="宋体" w:hAnsi="宋体" w:eastAsia="宋体" w:cs="宋体"/>
                <w:color w:val="auto"/>
                <w:sz w:val="24"/>
                <w:szCs w:val="24"/>
                <w:highlight w:val="none"/>
                <w:lang w:eastAsia="zh-CN"/>
              </w:rPr>
              <w:t>较</w:t>
            </w:r>
            <w:r>
              <w:rPr>
                <w:rFonts w:hint="eastAsia" w:ascii="宋体" w:hAnsi="宋体" w:eastAsia="宋体" w:cs="宋体"/>
                <w:color w:val="auto"/>
                <w:sz w:val="24"/>
                <w:szCs w:val="24"/>
                <w:highlight w:val="none"/>
              </w:rPr>
              <w:t>全面、有效性及科学性</w:t>
            </w:r>
            <w:r>
              <w:rPr>
                <w:rFonts w:hint="eastAsia" w:ascii="宋体" w:hAnsi="宋体" w:eastAsia="宋体" w:cs="宋体"/>
                <w:color w:val="auto"/>
                <w:sz w:val="24"/>
                <w:szCs w:val="24"/>
                <w:highlight w:val="none"/>
                <w:lang w:eastAsia="zh-CN"/>
              </w:rPr>
              <w:t>较</w:t>
            </w:r>
            <w:r>
              <w:rPr>
                <w:rFonts w:hint="eastAsia" w:ascii="宋体" w:hAnsi="宋体" w:eastAsia="宋体" w:cs="宋体"/>
                <w:color w:val="auto"/>
                <w:sz w:val="24"/>
                <w:szCs w:val="24"/>
                <w:highlight w:val="none"/>
              </w:rPr>
              <w:t>高的得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p w14:paraId="69ABD0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未提供各项措施及应急处理预案或提供不全的不得分； </w:t>
            </w:r>
          </w:p>
        </w:tc>
        <w:tc>
          <w:tcPr>
            <w:tcW w:w="417" w:type="pct"/>
            <w:vMerge w:val="continue"/>
            <w:tcBorders>
              <w:left w:val="single" w:color="auto" w:sz="4" w:space="0"/>
            </w:tcBorders>
            <w:noWrap w:val="0"/>
            <w:vAlign w:val="center"/>
          </w:tcPr>
          <w:p w14:paraId="3AC70CA7">
            <w:pPr>
              <w:spacing w:line="360" w:lineRule="auto"/>
              <w:jc w:val="center"/>
              <w:rPr>
                <w:rFonts w:hint="default" w:ascii="宋体" w:hAnsi="宋体" w:eastAsia="宋体" w:cs="宋体"/>
                <w:color w:val="auto"/>
                <w:sz w:val="24"/>
                <w:szCs w:val="24"/>
                <w:highlight w:val="none"/>
                <w:lang w:val="en-US" w:eastAsia="zh-CN"/>
              </w:rPr>
            </w:pPr>
          </w:p>
        </w:tc>
      </w:tr>
      <w:tr w14:paraId="4BAE6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jc w:val="center"/>
        </w:trPr>
        <w:tc>
          <w:tcPr>
            <w:tcW w:w="384" w:type="pct"/>
            <w:noWrap w:val="0"/>
            <w:vAlign w:val="center"/>
          </w:tcPr>
          <w:p w14:paraId="37130DF4">
            <w:pPr>
              <w:spacing w:line="360" w:lineRule="auto"/>
              <w:ind w:left="73" w:right="101"/>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949" w:type="pct"/>
            <w:tcBorders>
              <w:right w:val="single" w:color="auto" w:sz="4" w:space="0"/>
            </w:tcBorders>
            <w:noWrap w:val="0"/>
            <w:vAlign w:val="center"/>
          </w:tcPr>
          <w:p w14:paraId="55F68D82">
            <w:pPr>
              <w:spacing w:line="360" w:lineRule="auto"/>
              <w:ind w:left="73" w:right="91"/>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质保期满后的维保成本</w:t>
            </w:r>
          </w:p>
        </w:tc>
        <w:tc>
          <w:tcPr>
            <w:tcW w:w="3248" w:type="pct"/>
            <w:tcBorders>
              <w:right w:val="single" w:color="auto" w:sz="4" w:space="0"/>
            </w:tcBorders>
            <w:noWrap w:val="0"/>
            <w:vAlign w:val="center"/>
          </w:tcPr>
          <w:p w14:paraId="7A5D496B">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评委根据供应商编制的产品质保期后维护保养成本进行评审：</w:t>
            </w:r>
          </w:p>
          <w:p w14:paraId="23414D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维保成本分析全面、性价比高、解决方案可行得</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分；</w:t>
            </w:r>
          </w:p>
          <w:p w14:paraId="47D715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维修成本分析较全面、性价比较高、解决方案较可行得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p w14:paraId="4E8D3CA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维修成本分析基本全面、性价比一般、解决方案基本可行得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p w14:paraId="73B204BF">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成本分析全面性差、性价比差、解决方案可行性差得1分；</w:t>
            </w:r>
          </w:p>
          <w:p w14:paraId="55C61437">
            <w:p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未编制维保成本分析和解决方案的得0分。</w:t>
            </w:r>
          </w:p>
        </w:tc>
        <w:tc>
          <w:tcPr>
            <w:tcW w:w="417" w:type="pct"/>
            <w:tcBorders>
              <w:left w:val="single" w:color="auto" w:sz="4" w:space="0"/>
            </w:tcBorders>
            <w:noWrap w:val="0"/>
            <w:vAlign w:val="center"/>
          </w:tcPr>
          <w:p w14:paraId="0D307F0A">
            <w:pP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r>
    </w:tbl>
    <w:p w14:paraId="3320B4D1">
      <w:pPr>
        <w:keepNext w:val="0"/>
        <w:keepLines w:val="0"/>
        <w:pageBreakBefore w:val="0"/>
        <w:widowControl w:val="0"/>
        <w:kinsoku/>
        <w:wordWrap/>
        <w:overflowPunct/>
        <w:topLinePunct w:val="0"/>
        <w:autoSpaceDE/>
        <w:autoSpaceDN/>
        <w:bidi w:val="0"/>
        <w:adjustRightInd/>
        <w:snapToGrid/>
        <w:spacing w:line="360" w:lineRule="auto"/>
        <w:ind w:right="105" w:rightChars="50"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1、</w:t>
      </w:r>
      <w:r>
        <w:rPr>
          <w:rFonts w:hint="eastAsia" w:ascii="Times New Roman" w:hAnsi="Times New Roman" w:eastAsia="宋体" w:cs="宋体"/>
          <w:color w:val="auto"/>
          <w:sz w:val="24"/>
          <w:szCs w:val="24"/>
          <w:highlight w:val="none"/>
        </w:rPr>
        <w:t>评委依据磋商文件载明的方法评分，评分四舍五入精确到小数点后两位。</w:t>
      </w:r>
    </w:p>
    <w:p w14:paraId="37C42353">
      <w:pPr>
        <w:keepNext w:val="0"/>
        <w:keepLines w:val="0"/>
        <w:pageBreakBefore w:val="0"/>
        <w:widowControl w:val="0"/>
        <w:kinsoku/>
        <w:wordWrap/>
        <w:overflowPunct/>
        <w:topLinePunct w:val="0"/>
        <w:autoSpaceDE/>
        <w:autoSpaceDN/>
        <w:bidi w:val="0"/>
        <w:adjustRightInd/>
        <w:snapToGrid/>
        <w:spacing w:line="360" w:lineRule="auto"/>
        <w:ind w:right="105" w:rightChars="50"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2、</w:t>
      </w:r>
      <w:r>
        <w:rPr>
          <w:rFonts w:hint="eastAsia" w:ascii="Times New Roman" w:hAnsi="Times New Roman" w:eastAsia="宋体" w:cs="宋体"/>
          <w:color w:val="auto"/>
          <w:sz w:val="24"/>
          <w:szCs w:val="24"/>
          <w:highlight w:val="none"/>
        </w:rPr>
        <w:t>响应供应商按照</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评分标准表</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rPr>
        <w:t>中的打分要求及顺序提供相关材料，</w:t>
      </w:r>
      <w:r>
        <w:rPr>
          <w:rFonts w:hint="eastAsia" w:ascii="Times New Roman" w:hAnsi="Times New Roman" w:eastAsia="宋体" w:cs="宋体"/>
          <w:bCs/>
          <w:color w:val="auto"/>
          <w:kern w:val="0"/>
          <w:sz w:val="24"/>
          <w:szCs w:val="24"/>
          <w:highlight w:val="none"/>
        </w:rPr>
        <w:t>并请编制目录及页码，以最大限度的避免造成评委误判或漏判。</w:t>
      </w:r>
    </w:p>
    <w:p w14:paraId="1D0B70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bCs/>
          <w:color w:val="auto"/>
          <w:kern w:val="0"/>
          <w:sz w:val="24"/>
          <w:szCs w:val="24"/>
          <w:highlight w:val="none"/>
          <w:lang w:val="en-US" w:eastAsia="zh-CN"/>
        </w:rPr>
        <w:t>3</w:t>
      </w:r>
      <w:r>
        <w:rPr>
          <w:rFonts w:hint="eastAsia" w:ascii="Times New Roman" w:hAnsi="Times New Roman" w:eastAsia="宋体" w:cs="宋体"/>
          <w:bCs/>
          <w:color w:val="auto"/>
          <w:kern w:val="0"/>
          <w:sz w:val="24"/>
          <w:szCs w:val="24"/>
          <w:highlight w:val="none"/>
          <w:lang w:eastAsia="zh-CN"/>
        </w:rPr>
        <w:t>、</w:t>
      </w:r>
      <w:r>
        <w:rPr>
          <w:rFonts w:hint="eastAsia" w:ascii="Times New Roman" w:hAnsi="Times New Roman" w:eastAsia="宋体" w:cs="宋体"/>
          <w:b/>
          <w:color w:val="auto"/>
          <w:sz w:val="24"/>
          <w:szCs w:val="24"/>
          <w:highlight w:val="none"/>
        </w:rPr>
        <w:t>以上证明材料提供原件复印件，复印件不清晰或关键内容无法辨识所引起的后果由响应供应商自行承担。</w:t>
      </w:r>
    </w:p>
    <w:p w14:paraId="5A1E0713">
      <w:pPr>
        <w:pStyle w:val="20"/>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360" w:lineRule="auto"/>
        <w:ind w:firstLine="482" w:firstLineChars="200"/>
        <w:jc w:val="both"/>
        <w:textAlignment w:val="baseline"/>
        <w:rPr>
          <w:rFonts w:hint="eastAsia"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（二）</w:t>
      </w:r>
      <w:r>
        <w:rPr>
          <w:rFonts w:hint="eastAsia" w:ascii="Times New Roman" w:hAnsi="Times New Roman" w:eastAsia="宋体" w:cs="宋体"/>
          <w:b/>
          <w:bCs/>
          <w:color w:val="auto"/>
          <w:szCs w:val="24"/>
          <w:highlight w:val="none"/>
          <w:shd w:val="clear" w:color="auto" w:fill="FFFFFF"/>
          <w:lang w:val="zh-CN"/>
        </w:rPr>
        <w:t>价格分</w:t>
      </w:r>
      <w:r>
        <w:rPr>
          <w:rFonts w:hint="eastAsia" w:ascii="Times New Roman" w:hAnsi="Times New Roman" w:eastAsia="宋体" w:cs="宋体"/>
          <w:b/>
          <w:bCs/>
          <w:color w:val="auto"/>
          <w:szCs w:val="24"/>
          <w:highlight w:val="none"/>
          <w:shd w:val="clear" w:color="auto" w:fill="FFFFFF"/>
        </w:rPr>
        <w:t>：</w:t>
      </w:r>
      <w:r>
        <w:rPr>
          <w:rFonts w:hint="eastAsia" w:ascii="Times New Roman" w:hAnsi="Times New Roman" w:cs="宋体"/>
          <w:b/>
          <w:bCs/>
          <w:color w:val="auto"/>
          <w:szCs w:val="24"/>
          <w:highlight w:val="none"/>
          <w:shd w:val="clear" w:color="auto" w:fill="FFFFFF"/>
          <w:lang w:val="en-US" w:eastAsia="zh-CN"/>
        </w:rPr>
        <w:t>40</w:t>
      </w:r>
      <w:r>
        <w:rPr>
          <w:rFonts w:hint="eastAsia" w:ascii="Times New Roman" w:hAnsi="Times New Roman" w:eastAsia="宋体" w:cs="宋体"/>
          <w:b/>
          <w:bCs/>
          <w:color w:val="auto"/>
          <w:szCs w:val="24"/>
          <w:highlight w:val="none"/>
          <w:shd w:val="clear" w:color="auto" w:fill="FFFFFF"/>
        </w:rPr>
        <w:t>分</w:t>
      </w:r>
    </w:p>
    <w:p w14:paraId="245A5DF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价格分统一采用低价优先法计算，即满足磋商文件要求且最后报价最低的供应商的价格为磋商基准价，其价格分为满分。其他供应商的价格分统一按照下列公式计算：</w:t>
      </w:r>
    </w:p>
    <w:p w14:paraId="76BF077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磋商报价得分=（磋商基准价/最后磋商报价）×</w:t>
      </w:r>
      <w:r>
        <w:rPr>
          <w:rFonts w:hint="eastAsia" w:ascii="Times New Roman" w:hAnsi="Times New Roman" w:eastAsia="宋体" w:cs="宋体"/>
          <w:color w:val="auto"/>
          <w:sz w:val="24"/>
          <w:szCs w:val="24"/>
          <w:highlight w:val="none"/>
          <w:lang w:val="en-US" w:eastAsia="zh-CN"/>
        </w:rPr>
        <w:t>40</w:t>
      </w:r>
      <w:r>
        <w:rPr>
          <w:rFonts w:hint="eastAsia" w:ascii="Times New Roman" w:hAnsi="Times New Roman" w:eastAsia="宋体" w:cs="宋体"/>
          <w:color w:val="auto"/>
          <w:sz w:val="24"/>
          <w:szCs w:val="24"/>
          <w:highlight w:val="none"/>
        </w:rPr>
        <w:t>%×100。</w:t>
      </w:r>
    </w:p>
    <w:p w14:paraId="24683563">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如评标委员会认为</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人</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价格严重偏离市场价，将取消</w:t>
      </w: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人价格分得分。</w:t>
      </w:r>
    </w:p>
    <w:p w14:paraId="73B8BDCD">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五、出现下列情形之一的，作无效标处理</w:t>
      </w:r>
    </w:p>
    <w:p w14:paraId="7D9A84F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1、响应文件未按规定要求密封、签署、盖章及主要资料不齐全的；</w:t>
      </w:r>
    </w:p>
    <w:p w14:paraId="16FF7D5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2、响应文件的资料有虚报或者谎报的；</w:t>
      </w:r>
    </w:p>
    <w:p w14:paraId="491C1A2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3、响应文件中资格审查文件及技术响应文件出现磋商报价的内容；</w:t>
      </w:r>
    </w:p>
    <w:p w14:paraId="6BBBF42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4、不具备磋商文件规定的资格要求的；</w:t>
      </w:r>
    </w:p>
    <w:p w14:paraId="4A3157F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5、响应文件有重大漏项或重大不合理的；</w:t>
      </w:r>
    </w:p>
    <w:p w14:paraId="7F36F42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6、项目技术、方案不满足项目需求中的要求，有重大偏离或保留的；</w:t>
      </w:r>
    </w:p>
    <w:p w14:paraId="1C44816E">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7、磋商响应报价超出项目预算的；</w:t>
      </w:r>
    </w:p>
    <w:p w14:paraId="7A045F8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8、被认定为低于成本报价磋商竞标的；</w:t>
      </w:r>
    </w:p>
    <w:p w14:paraId="0AF129CA">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9</w:t>
      </w:r>
      <w:r>
        <w:rPr>
          <w:rFonts w:hint="eastAsia" w:ascii="Times New Roman" w:hAnsi="Times New Roman" w:eastAsia="宋体" w:cs="宋体"/>
          <w:color w:val="auto"/>
          <w:sz w:val="24"/>
          <w:szCs w:val="24"/>
          <w:highlight w:val="none"/>
        </w:rPr>
        <w:t>、不符合法律、法规和磋商文件中规定的其他实质性响应要求的；</w:t>
      </w:r>
    </w:p>
    <w:p w14:paraId="6E7BCF8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10</w:t>
      </w:r>
      <w:r>
        <w:rPr>
          <w:rFonts w:hint="eastAsia" w:ascii="Times New Roman" w:hAnsi="Times New Roman" w:eastAsia="宋体" w:cs="宋体"/>
          <w:color w:val="auto"/>
          <w:sz w:val="24"/>
          <w:szCs w:val="24"/>
          <w:highlight w:val="none"/>
        </w:rPr>
        <w:t>、磋商小组依据法律法规可以认定为无效投标的其他情况；</w:t>
      </w:r>
    </w:p>
    <w:p w14:paraId="3A4ADD1B">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11</w:t>
      </w:r>
      <w:r>
        <w:rPr>
          <w:rFonts w:hint="eastAsia" w:ascii="Times New Roman" w:hAnsi="Times New Roman" w:eastAsia="宋体" w:cs="宋体"/>
          <w:color w:val="auto"/>
          <w:sz w:val="24"/>
          <w:szCs w:val="24"/>
          <w:highlight w:val="none"/>
        </w:rPr>
        <w:t>、未按要求提供样品的（如有）。</w:t>
      </w:r>
    </w:p>
    <w:p w14:paraId="36318B7E">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六、出现下列情形之一的，作废标处理</w:t>
      </w:r>
    </w:p>
    <w:p w14:paraId="3ECB86C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1、供应商的报价均超出了采购预算，采购单位不能支付的；</w:t>
      </w:r>
    </w:p>
    <w:p w14:paraId="53B9483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2、因情况变化，不再符合规定的竞争性磋商采购人式所适用情形的；</w:t>
      </w:r>
    </w:p>
    <w:p w14:paraId="13142188">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3、出现影响采购公正的违法、违规行为的；</w:t>
      </w:r>
    </w:p>
    <w:p w14:paraId="55BAF17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4、因重大变故，采购任务取消的；</w:t>
      </w:r>
    </w:p>
    <w:p w14:paraId="120E179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5、供应商未按采购文件要求提供样品或样品提供不全的或未提供样品的（如有）；</w:t>
      </w:r>
    </w:p>
    <w:p w14:paraId="6EF56F79">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6、磋商小组依据法律法规可以认定为废标的其他情况。</w:t>
      </w:r>
    </w:p>
    <w:p w14:paraId="40BC6075">
      <w:pPr>
        <w:pStyle w:val="20"/>
        <w:keepNext w:val="0"/>
        <w:keepLines w:val="0"/>
        <w:pageBreakBefore w:val="0"/>
        <w:widowControl w:val="0"/>
        <w:shd w:val="clear" w:color="auto" w:fill="FFFFFF"/>
        <w:kinsoku/>
        <w:wordWrap/>
        <w:topLinePunct w:val="0"/>
        <w:autoSpaceDE/>
        <w:autoSpaceDN/>
        <w:bidi w:val="0"/>
        <w:spacing w:before="0" w:beforeAutospacing="0" w:after="0" w:afterAutospacing="0" w:line="360" w:lineRule="auto"/>
        <w:ind w:firstLine="482" w:firstLineChars="200"/>
        <w:jc w:val="both"/>
        <w:textAlignment w:val="baseline"/>
        <w:rPr>
          <w:rFonts w:ascii="Times New Roman" w:hAnsi="Times New Roman" w:eastAsia="宋体" w:cs="宋体"/>
          <w:b/>
          <w:bCs/>
          <w:color w:val="auto"/>
          <w:szCs w:val="24"/>
          <w:highlight w:val="none"/>
          <w:shd w:val="clear" w:color="auto" w:fill="FFFFFF"/>
        </w:rPr>
      </w:pPr>
      <w:r>
        <w:rPr>
          <w:rFonts w:hint="eastAsia" w:ascii="Times New Roman" w:hAnsi="Times New Roman" w:eastAsia="宋体" w:cs="宋体"/>
          <w:b/>
          <w:bCs/>
          <w:color w:val="auto"/>
          <w:szCs w:val="24"/>
          <w:highlight w:val="none"/>
          <w:shd w:val="clear" w:color="auto" w:fill="FFFFFF"/>
        </w:rPr>
        <w:t>七、成交通知</w:t>
      </w:r>
    </w:p>
    <w:p w14:paraId="2E7DC26F">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color w:val="auto"/>
          <w:w w:val="80"/>
          <w:sz w:val="48"/>
          <w:szCs w:val="44"/>
          <w:highlight w:val="none"/>
        </w:rPr>
      </w:pPr>
      <w:r>
        <w:rPr>
          <w:rFonts w:hint="eastAsia" w:ascii="Times New Roman" w:hAnsi="Times New Roman" w:eastAsia="宋体" w:cs="宋体"/>
          <w:color w:val="auto"/>
          <w:kern w:val="0"/>
          <w:sz w:val="24"/>
          <w:szCs w:val="24"/>
          <w:highlight w:val="none"/>
        </w:rPr>
        <w:t>成交结果在南通市第三人民医院官网公示</w:t>
      </w:r>
      <w:r>
        <w:rPr>
          <w:rFonts w:hint="eastAsia" w:ascii="Times New Roman" w:hAnsi="Times New Roman" w:eastAsia="宋体" w:cs="宋体"/>
          <w:b/>
          <w:color w:val="auto"/>
          <w:kern w:val="0"/>
          <w:sz w:val="24"/>
          <w:szCs w:val="24"/>
          <w:highlight w:val="none"/>
          <w:u w:val="single"/>
        </w:rPr>
        <w:t>1</w:t>
      </w:r>
      <w:r>
        <w:rPr>
          <w:rFonts w:hint="eastAsia" w:ascii="Times New Roman" w:hAnsi="Times New Roman" w:eastAsia="宋体" w:cs="宋体"/>
          <w:color w:val="auto"/>
          <w:kern w:val="0"/>
          <w:sz w:val="24"/>
          <w:szCs w:val="24"/>
          <w:highlight w:val="none"/>
        </w:rPr>
        <w:t>个工作日。《成交通知书》一经发出，采购单位改变成交结果，或者成交人放弃成交的，各自承担相应的法律责任。《成交通知书》是采购合同的组成部分。</w:t>
      </w:r>
    </w:p>
    <w:p w14:paraId="6DAB3614">
      <w:pPr>
        <w:rPr>
          <w:rFonts w:hint="eastAsia"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br w:type="page"/>
      </w:r>
    </w:p>
    <w:p w14:paraId="2F8BD58D">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第五章 合同授予</w:t>
      </w:r>
    </w:p>
    <w:p w14:paraId="1BDD6E4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kern w:val="0"/>
          <w:sz w:val="28"/>
          <w:szCs w:val="28"/>
          <w:highlight w:val="none"/>
        </w:rPr>
      </w:pPr>
      <w:r>
        <w:rPr>
          <w:rFonts w:hint="eastAsia" w:ascii="Times New Roman" w:hAnsi="Times New Roman" w:eastAsia="宋体" w:cs="宋体"/>
          <w:color w:val="auto"/>
          <w:sz w:val="24"/>
          <w:highlight w:val="none"/>
        </w:rPr>
        <w:t>一、</w:t>
      </w:r>
      <w:r>
        <w:rPr>
          <w:rFonts w:hint="eastAsia" w:ascii="Times New Roman" w:hAnsi="Times New Roman" w:eastAsia="宋体" w:cs="宋体"/>
          <w:color w:val="auto"/>
          <w:kern w:val="0"/>
          <w:sz w:val="24"/>
          <w:highlight w:val="none"/>
        </w:rPr>
        <w:t>成交供应商在《成交通知书》发出</w:t>
      </w:r>
      <w:r>
        <w:rPr>
          <w:rFonts w:hint="eastAsia" w:ascii="Times New Roman" w:hAnsi="Times New Roman" w:eastAsia="宋体" w:cs="宋体"/>
          <w:color w:val="auto"/>
          <w:kern w:val="0"/>
          <w:sz w:val="24"/>
          <w:highlight w:val="none"/>
          <w:lang w:eastAsia="zh-CN"/>
        </w:rPr>
        <w:t>后</w:t>
      </w:r>
      <w:r>
        <w:rPr>
          <w:rFonts w:hint="eastAsia" w:ascii="Times New Roman" w:hAnsi="Times New Roman" w:eastAsia="宋体" w:cs="宋体"/>
          <w:b w:val="0"/>
          <w:bCs w:val="0"/>
          <w:color w:val="auto"/>
          <w:kern w:val="0"/>
          <w:sz w:val="24"/>
          <w:highlight w:val="none"/>
          <w:lang w:val="en-US" w:eastAsia="zh-CN"/>
        </w:rPr>
        <w:t>15日</w:t>
      </w:r>
      <w:r>
        <w:rPr>
          <w:rFonts w:hint="eastAsia" w:ascii="Times New Roman" w:hAnsi="Times New Roman" w:eastAsia="宋体" w:cs="宋体"/>
          <w:b w:val="0"/>
          <w:bCs w:val="0"/>
          <w:color w:val="auto"/>
          <w:kern w:val="0"/>
          <w:sz w:val="24"/>
          <w:highlight w:val="none"/>
        </w:rPr>
        <w:t>内须按</w:t>
      </w:r>
      <w:r>
        <w:rPr>
          <w:rFonts w:hint="eastAsia" w:ascii="Times New Roman" w:hAnsi="Times New Roman" w:eastAsia="宋体" w:cs="宋体"/>
          <w:color w:val="auto"/>
          <w:kern w:val="0"/>
          <w:sz w:val="24"/>
          <w:highlight w:val="none"/>
        </w:rPr>
        <w:t>照磋商文件确定的事项签订采购合同。合同一式四份，采购</w:t>
      </w:r>
      <w:r>
        <w:rPr>
          <w:rFonts w:hint="eastAsia" w:ascii="Times New Roman" w:hAnsi="Times New Roman" w:eastAsia="宋体" w:cs="宋体"/>
          <w:color w:val="auto"/>
          <w:kern w:val="0"/>
          <w:sz w:val="24"/>
          <w:szCs w:val="24"/>
          <w:highlight w:val="none"/>
        </w:rPr>
        <w:t>单位</w:t>
      </w:r>
      <w:r>
        <w:rPr>
          <w:rFonts w:hint="eastAsia" w:ascii="Times New Roman" w:hAnsi="Times New Roman" w:eastAsia="宋体" w:cs="宋体"/>
          <w:color w:val="auto"/>
          <w:kern w:val="0"/>
          <w:sz w:val="24"/>
          <w:highlight w:val="none"/>
        </w:rPr>
        <w:t xml:space="preserve">三份、供应商一份。所签合同不得对磋商文件作实质性修改。采购单位不得向成交供应商提出不合理的要求作为签订合同的条件，不得与成交供应商私下订立背离磋商文件实质性内容的协议。 </w:t>
      </w:r>
    </w:p>
    <w:p w14:paraId="5199913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kern w:val="0"/>
          <w:sz w:val="24"/>
          <w:highlight w:val="none"/>
        </w:rPr>
      </w:pPr>
      <w:r>
        <w:rPr>
          <w:rFonts w:hint="eastAsia" w:ascii="Times New Roman" w:hAnsi="Times New Roman" w:eastAsia="宋体" w:cs="宋体"/>
          <w:color w:val="auto"/>
          <w:kern w:val="0"/>
          <w:sz w:val="24"/>
          <w:highlight w:val="none"/>
        </w:rPr>
        <w:t>二、</w:t>
      </w:r>
      <w:r>
        <w:rPr>
          <w:rFonts w:hint="eastAsia" w:ascii="Times New Roman" w:hAnsi="Times New Roman" w:eastAsia="宋体" w:cs="宋体"/>
          <w:color w:val="auto"/>
          <w:sz w:val="24"/>
          <w:highlight w:val="none"/>
        </w:rPr>
        <w:t>采购单位按合同约定积极配合成交供应商履约，成交供应商履约到位后，请以书面形式向采购单位提出验收申请。</w:t>
      </w:r>
    </w:p>
    <w:p w14:paraId="0E6273A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三、采购单位故意推迟</w:t>
      </w:r>
      <w:r>
        <w:rPr>
          <w:rFonts w:hint="eastAsia" w:ascii="Times New Roman" w:hAnsi="Times New Roman" w:eastAsia="宋体" w:cs="宋体"/>
          <w:color w:val="auto"/>
          <w:kern w:val="0"/>
          <w:sz w:val="24"/>
          <w:szCs w:val="24"/>
          <w:highlight w:val="none"/>
        </w:rPr>
        <w:t>项目</w:t>
      </w:r>
      <w:r>
        <w:rPr>
          <w:rFonts w:hint="eastAsia" w:ascii="Times New Roman" w:hAnsi="Times New Roman" w:eastAsia="宋体" w:cs="宋体"/>
          <w:color w:val="auto"/>
          <w:sz w:val="24"/>
          <w:highlight w:val="none"/>
        </w:rPr>
        <w:t>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3E11C221">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四、供应商出现违约情形，应当及时纠正或补偿；造成损失的，按合同约定追究违约责任；发现有假冒、伪劣、走私产品、商业贿赂等违法情形的，应由采购单位移交工商、质监、公安等行政执法部门依法查处。</w:t>
      </w:r>
    </w:p>
    <w:p w14:paraId="3BE08384">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五、不响应付款方式的，视同响应文件无效，按无效响应文件处理。</w:t>
      </w:r>
    </w:p>
    <w:p w14:paraId="49FAB9DA">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highlight w:val="none"/>
        </w:rPr>
      </w:pPr>
      <w:r>
        <w:rPr>
          <w:rFonts w:hint="eastAsia" w:ascii="Times New Roman" w:hAnsi="Times New Roman" w:eastAsia="宋体" w:cs="宋体"/>
          <w:color w:val="auto"/>
          <w:sz w:val="24"/>
          <w:highlight w:val="none"/>
        </w:rPr>
        <w:t>六、付款方式详见</w:t>
      </w:r>
      <w:r>
        <w:rPr>
          <w:rFonts w:hint="eastAsia" w:ascii="Times New Roman" w:hAnsi="Times New Roman" w:eastAsia="宋体" w:cs="宋体"/>
          <w:color w:val="auto"/>
          <w:kern w:val="0"/>
          <w:sz w:val="24"/>
          <w:highlight w:val="none"/>
        </w:rPr>
        <w:t>磋商</w:t>
      </w:r>
      <w:r>
        <w:rPr>
          <w:rFonts w:hint="eastAsia" w:ascii="Times New Roman" w:hAnsi="Times New Roman" w:eastAsia="宋体" w:cs="宋体"/>
          <w:color w:val="auto"/>
          <w:sz w:val="24"/>
          <w:highlight w:val="none"/>
        </w:rPr>
        <w:t>文件第三章。</w:t>
      </w:r>
    </w:p>
    <w:p w14:paraId="0A34851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b/>
          <w:iCs/>
          <w:color w:val="auto"/>
          <w:w w:val="80"/>
          <w:sz w:val="44"/>
          <w:szCs w:val="44"/>
          <w:highlight w:val="none"/>
        </w:rPr>
      </w:pPr>
      <w:r>
        <w:rPr>
          <w:rFonts w:hint="eastAsia" w:ascii="Times New Roman" w:hAnsi="Times New Roman" w:eastAsia="宋体" w:cs="宋体"/>
          <w:color w:val="auto"/>
          <w:sz w:val="24"/>
          <w:highlight w:val="none"/>
        </w:rPr>
        <w:t>七、以上项目款的支付不计息。</w:t>
      </w:r>
    </w:p>
    <w:p w14:paraId="041D2EF8">
      <w:pPr>
        <w:keepNext w:val="0"/>
        <w:keepLines w:val="0"/>
        <w:pageBreakBefore w:val="0"/>
        <w:widowControl w:val="0"/>
        <w:kinsoku/>
        <w:wordWrap/>
        <w:topLinePunct w:val="0"/>
        <w:autoSpaceDE/>
        <w:autoSpaceDN/>
        <w:bidi w:val="0"/>
        <w:spacing w:line="360" w:lineRule="auto"/>
        <w:rPr>
          <w:rFonts w:ascii="Times New Roman" w:hAnsi="Times New Roman" w:eastAsia="宋体"/>
          <w:color w:val="auto"/>
          <w:w w:val="80"/>
          <w:kern w:val="44"/>
          <w:highlight w:val="none"/>
        </w:rPr>
      </w:pPr>
    </w:p>
    <w:p w14:paraId="02B06A59">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color w:val="auto"/>
          <w:w w:val="80"/>
          <w:kern w:val="44"/>
          <w:sz w:val="48"/>
          <w:szCs w:val="44"/>
          <w:highlight w:val="none"/>
        </w:rPr>
      </w:pPr>
      <w:r>
        <w:rPr>
          <w:rFonts w:ascii="Times New Roman" w:hAnsi="Times New Roman" w:eastAsia="宋体" w:cs="宋体"/>
          <w:color w:val="auto"/>
          <w:w w:val="80"/>
          <w:sz w:val="48"/>
          <w:szCs w:val="44"/>
          <w:highlight w:val="none"/>
        </w:rPr>
        <w:br w:type="page"/>
      </w:r>
    </w:p>
    <w:p w14:paraId="1F2F9180">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第六章 质疑提出和处理</w:t>
      </w:r>
    </w:p>
    <w:p w14:paraId="3A85BE21">
      <w:pPr>
        <w:keepNext w:val="0"/>
        <w:keepLines w:val="0"/>
        <w:pageBreakBefore w:val="0"/>
        <w:wordWrap/>
        <w:bidi w:val="0"/>
        <w:adjustRightInd w:val="0"/>
        <w:snapToGrid w:val="0"/>
        <w:spacing w:line="360" w:lineRule="auto"/>
        <w:ind w:firstLine="487" w:firstLineChars="202"/>
        <w:rPr>
          <w:rFonts w:ascii="Times New Roman" w:hAnsi="Times New Roman"/>
          <w:b/>
          <w:color w:val="auto"/>
          <w:sz w:val="24"/>
          <w:szCs w:val="24"/>
          <w:highlight w:val="none"/>
        </w:rPr>
      </w:pPr>
      <w:r>
        <w:rPr>
          <w:rFonts w:ascii="Times New Roman" w:hAnsi="Times New Roman"/>
          <w:b/>
          <w:color w:val="auto"/>
          <w:sz w:val="24"/>
          <w:szCs w:val="24"/>
          <w:highlight w:val="none"/>
        </w:rPr>
        <w:t>一、质疑的提出</w:t>
      </w:r>
    </w:p>
    <w:p w14:paraId="37D7A45C">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1、提出质疑的供应商应当是参与所质疑项目采购活动的供应商。潜在供应商依法获取其可质疑的采购文件的，可以对采购文件提出质疑。</w:t>
      </w:r>
    </w:p>
    <w:p w14:paraId="6EDCFC04">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2、供应商认为采购文件、采购过程和采购结果使自己的权益受到损害的，可以在知道或应知其权益受到损害之日起七个工作日内，以书面形式向采购人提出质疑。上述应知其权益受到损害之日，是指：</w:t>
      </w:r>
    </w:p>
    <w:p w14:paraId="37ED6BF3">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2.1对可以质疑的采购文件提出质疑的，为收到采购文件之日或者采购文件公告期限届满之日；</w:t>
      </w:r>
    </w:p>
    <w:p w14:paraId="72C3CBAF">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2.2对采购过程提出质疑的，为各采购程序环节结束之日；</w:t>
      </w:r>
    </w:p>
    <w:p w14:paraId="36F94F60">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2.3对成交结果提出质疑的，为成交结果公告期限届满之日。</w:t>
      </w:r>
    </w:p>
    <w:p w14:paraId="3365F3AA">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供应商应当在法定质疑期内一次性提出针对同一采购程序环节的质疑。</w:t>
      </w:r>
    </w:p>
    <w:p w14:paraId="3FD439BD">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3、质疑函必须按照本</w:t>
      </w:r>
      <w:r>
        <w:rPr>
          <w:rFonts w:hint="eastAsia" w:ascii="Times New Roman" w:hAnsi="Times New Roman" w:cs="黑体"/>
          <w:bCs/>
          <w:color w:val="auto"/>
          <w:sz w:val="24"/>
          <w:szCs w:val="24"/>
          <w:highlight w:val="none"/>
          <w:shd w:val="clear" w:color="auto" w:fill="FFFFFF"/>
        </w:rPr>
        <w:t>采购</w:t>
      </w:r>
      <w:r>
        <w:rPr>
          <w:rFonts w:hint="eastAsia" w:ascii="Times New Roman" w:hAnsi="Times New Roman"/>
          <w:color w:val="auto"/>
          <w:sz w:val="24"/>
          <w:szCs w:val="24"/>
          <w:highlight w:val="none"/>
        </w:rPr>
        <w:t>文件中《质疑函范本》要求的格式和内容进行填写。供应商如组成联合体参加采购活动，则《质疑函范本》中要求签字、盖章、加盖公章之处，联合体各方均须按要求签字、盖章、加盖公章。</w:t>
      </w:r>
    </w:p>
    <w:p w14:paraId="453DCEB2">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4、对采购方式、</w:t>
      </w:r>
      <w:r>
        <w:rPr>
          <w:rFonts w:hint="eastAsia" w:ascii="Times New Roman" w:hAnsi="Times New Roman" w:cs="黑体"/>
          <w:bCs/>
          <w:color w:val="auto"/>
          <w:sz w:val="24"/>
          <w:szCs w:val="24"/>
          <w:highlight w:val="none"/>
          <w:shd w:val="clear" w:color="auto" w:fill="FFFFFF"/>
        </w:rPr>
        <w:t>采购</w:t>
      </w:r>
      <w:r>
        <w:rPr>
          <w:rFonts w:hint="eastAsia" w:ascii="Times New Roman" w:hAnsi="Times New Roman"/>
          <w:color w:val="auto"/>
          <w:sz w:val="24"/>
          <w:szCs w:val="24"/>
          <w:highlight w:val="none"/>
        </w:rPr>
        <w:t>文件中项目需求、供应商资格条件、评审方法和评审标准、资格审查结果等应当由采购人答复的质疑，请向采购人提出，由采购人负责答复。</w:t>
      </w:r>
    </w:p>
    <w:p w14:paraId="7422B9E7">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采购人质疑接收人及联系方式，见</w:t>
      </w:r>
      <w:r>
        <w:rPr>
          <w:rFonts w:hint="eastAsia" w:ascii="Times New Roman" w:hAnsi="Times New Roman" w:cs="黑体"/>
          <w:bCs/>
          <w:color w:val="auto"/>
          <w:sz w:val="24"/>
          <w:szCs w:val="24"/>
          <w:highlight w:val="none"/>
          <w:shd w:val="clear" w:color="auto" w:fill="FFFFFF"/>
        </w:rPr>
        <w:t>采购</w:t>
      </w:r>
      <w:r>
        <w:rPr>
          <w:rFonts w:hint="eastAsia" w:ascii="Times New Roman" w:hAnsi="Times New Roman"/>
          <w:color w:val="auto"/>
          <w:sz w:val="24"/>
          <w:szCs w:val="24"/>
          <w:highlight w:val="none"/>
        </w:rPr>
        <w:t>文件第一章。</w:t>
      </w:r>
    </w:p>
    <w:p w14:paraId="0FDB4E5E">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 以下情形的质疑不予受理</w:t>
      </w:r>
    </w:p>
    <w:p w14:paraId="47503017">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5.1 内容不符合《政府采购质疑和投诉办法》财政部第94号令第十二条规定的质疑。</w:t>
      </w:r>
    </w:p>
    <w:p w14:paraId="5AB7AEB6">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5.2 超出政府采购法定期限的质疑。</w:t>
      </w:r>
    </w:p>
    <w:p w14:paraId="777BCE32">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5.3 未参加采购活动的供应商。</w:t>
      </w:r>
    </w:p>
    <w:p w14:paraId="4858754F">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5.4供应商组成联合体参加采购活动，联合体中任何一方或多方未按要求签字、盖章、加盖公章的质疑。</w:t>
      </w:r>
    </w:p>
    <w:p w14:paraId="027A3C29">
      <w:pPr>
        <w:keepNext w:val="0"/>
        <w:keepLines w:val="0"/>
        <w:pageBreakBefore w:val="0"/>
        <w:wordWrap/>
        <w:bidi w:val="0"/>
        <w:adjustRightInd w:val="0"/>
        <w:snapToGrid w:val="0"/>
        <w:spacing w:line="360" w:lineRule="auto"/>
        <w:ind w:firstLine="484" w:firstLineChars="202"/>
        <w:rPr>
          <w:rFonts w:ascii="Times New Roman" w:hAnsi="Times New Roman"/>
          <w:color w:val="auto"/>
          <w:sz w:val="24"/>
          <w:szCs w:val="24"/>
          <w:highlight w:val="none"/>
        </w:rPr>
      </w:pPr>
      <w:r>
        <w:rPr>
          <w:rFonts w:hint="eastAsia" w:ascii="Times New Roman" w:hAnsi="Times New Roman"/>
          <w:color w:val="auto"/>
          <w:sz w:val="24"/>
          <w:szCs w:val="24"/>
          <w:highlight w:val="none"/>
        </w:rPr>
        <w:t>6、供应商提出书面质疑必须有理、有据，不得捏造事实、提供虚假材料进行恶意质疑。否则，一经查实，采购人有权依据政府采购的有关规定，报请政府采购监管部门对该供应商进行相应的行政处罚和记录该供应商的失信信息。</w:t>
      </w:r>
    </w:p>
    <w:p w14:paraId="45E8716E">
      <w:pPr>
        <w:keepNext w:val="0"/>
        <w:keepLines w:val="0"/>
        <w:pageBreakBefore w:val="0"/>
        <w:wordWrap/>
        <w:bidi w:val="0"/>
        <w:spacing w:after="120" w:line="360" w:lineRule="auto"/>
        <w:rPr>
          <w:rFonts w:ascii="Times New Roman" w:hAnsi="Times New Roman"/>
          <w:color w:val="auto"/>
          <w:szCs w:val="21"/>
          <w:highlight w:val="none"/>
        </w:rPr>
      </w:pPr>
      <w:r>
        <w:rPr>
          <w:rFonts w:ascii="Times New Roman" w:hAnsi="Times New Roman"/>
          <w:color w:val="auto"/>
          <w:highlight w:val="none"/>
        </w:rPr>
        <w:br w:type="page"/>
      </w:r>
      <w:r>
        <w:rPr>
          <w:rFonts w:hint="eastAsia" w:ascii="Times New Roman" w:hAnsi="Times New Roman"/>
          <w:color w:val="auto"/>
          <w:szCs w:val="21"/>
          <w:highlight w:val="none"/>
        </w:rPr>
        <w:t>附件：</w:t>
      </w:r>
    </w:p>
    <w:p w14:paraId="18ED59F4">
      <w:pPr>
        <w:keepNext w:val="0"/>
        <w:keepLines w:val="0"/>
        <w:pageBreakBefore w:val="0"/>
        <w:wordWrap/>
        <w:bidi w:val="0"/>
        <w:spacing w:line="360" w:lineRule="auto"/>
        <w:jc w:val="center"/>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质疑函范本</w:t>
      </w:r>
    </w:p>
    <w:p w14:paraId="31FAEC42">
      <w:pPr>
        <w:keepNext w:val="0"/>
        <w:keepLines w:val="0"/>
        <w:pageBreakBefore w:val="0"/>
        <w:wordWrap/>
        <w:bidi w:val="0"/>
        <w:adjustRightInd w:val="0"/>
        <w:snapToGrid w:val="0"/>
        <w:spacing w:before="312" w:beforeLines="100"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一、质疑供应商基本信息</w:t>
      </w:r>
    </w:p>
    <w:p w14:paraId="3A2DA37C">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质疑供应商：</w:t>
      </w:r>
    </w:p>
    <w:p w14:paraId="059369A2">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地址：邮编：</w:t>
      </w:r>
    </w:p>
    <w:p w14:paraId="11573581">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联系人：联系电话：</w:t>
      </w:r>
    </w:p>
    <w:p w14:paraId="371C4B9A">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授权代表：</w:t>
      </w:r>
    </w:p>
    <w:p w14:paraId="5EFA906F">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联系电话：</w:t>
      </w:r>
    </w:p>
    <w:p w14:paraId="478705D9">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地址：邮编：</w:t>
      </w:r>
    </w:p>
    <w:p w14:paraId="2C73849D">
      <w:pPr>
        <w:keepNext w:val="0"/>
        <w:keepLines w:val="0"/>
        <w:pageBreakBefore w:val="0"/>
        <w:wordWrap/>
        <w:bidi w:val="0"/>
        <w:adjustRightInd w:val="0"/>
        <w:snapToGrid w:val="0"/>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二、质疑项目基本情况</w:t>
      </w:r>
    </w:p>
    <w:p w14:paraId="6A4D34E7">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质疑项目的名称：</w:t>
      </w:r>
    </w:p>
    <w:p w14:paraId="12CC5AAD">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质疑项目的编号：包号：</w:t>
      </w:r>
    </w:p>
    <w:p w14:paraId="59742146">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采购人名称：</w:t>
      </w:r>
    </w:p>
    <w:p w14:paraId="57AD400D">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采购文件获取日期：</w:t>
      </w:r>
    </w:p>
    <w:p w14:paraId="2BA08E83">
      <w:pPr>
        <w:keepNext w:val="0"/>
        <w:keepLines w:val="0"/>
        <w:pageBreakBefore w:val="0"/>
        <w:wordWrap/>
        <w:bidi w:val="0"/>
        <w:adjustRightInd w:val="0"/>
        <w:snapToGrid w:val="0"/>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三、质疑事项具体内容</w:t>
      </w:r>
    </w:p>
    <w:p w14:paraId="30F2DB2A">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质疑事项1：</w:t>
      </w:r>
    </w:p>
    <w:p w14:paraId="58F90407">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事实依据：</w:t>
      </w:r>
    </w:p>
    <w:p w14:paraId="7B6F2CBA">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p>
    <w:p w14:paraId="263F3E71">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法律依据：</w:t>
      </w:r>
    </w:p>
    <w:p w14:paraId="71A5AD78">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u w:val="dotted"/>
        </w:rPr>
      </w:pPr>
    </w:p>
    <w:p w14:paraId="4B168C3F">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质疑事项2</w:t>
      </w:r>
    </w:p>
    <w:p w14:paraId="1047AD0A">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r>
        <w:rPr>
          <w:rFonts w:hint="eastAsia" w:ascii="Times New Roman" w:hAnsi="Times New Roman" w:cs="仿宋"/>
          <w:color w:val="auto"/>
          <w:sz w:val="24"/>
          <w:szCs w:val="24"/>
          <w:highlight w:val="none"/>
        </w:rPr>
        <w:t>……</w:t>
      </w:r>
    </w:p>
    <w:p w14:paraId="36028A73">
      <w:pPr>
        <w:keepNext w:val="0"/>
        <w:keepLines w:val="0"/>
        <w:pageBreakBefore w:val="0"/>
        <w:wordWrap/>
        <w:bidi w:val="0"/>
        <w:adjustRightInd w:val="0"/>
        <w:snapToGrid w:val="0"/>
        <w:spacing w:line="360" w:lineRule="auto"/>
        <w:rPr>
          <w:rFonts w:ascii="Times New Roman" w:hAnsi="Times New Roman" w:cs="仿宋"/>
          <w:bCs/>
          <w:color w:val="auto"/>
          <w:sz w:val="24"/>
          <w:szCs w:val="24"/>
          <w:highlight w:val="none"/>
        </w:rPr>
      </w:pPr>
      <w:r>
        <w:rPr>
          <w:rFonts w:hint="eastAsia" w:ascii="Times New Roman" w:hAnsi="Times New Roman" w:cs="仿宋"/>
          <w:bCs/>
          <w:color w:val="auto"/>
          <w:sz w:val="24"/>
          <w:szCs w:val="24"/>
          <w:highlight w:val="none"/>
        </w:rPr>
        <w:t>四、与质疑事项相关的质疑请求</w:t>
      </w:r>
    </w:p>
    <w:p w14:paraId="20C43FF3">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u w:val="dotted"/>
        </w:rPr>
      </w:pPr>
      <w:r>
        <w:rPr>
          <w:rFonts w:hint="eastAsia" w:ascii="Times New Roman" w:hAnsi="Times New Roman" w:cs="仿宋"/>
          <w:color w:val="auto"/>
          <w:sz w:val="24"/>
          <w:szCs w:val="24"/>
          <w:highlight w:val="none"/>
        </w:rPr>
        <w:t>请求：</w:t>
      </w:r>
    </w:p>
    <w:p w14:paraId="27D8B1B5">
      <w:pPr>
        <w:keepNext w:val="0"/>
        <w:keepLines w:val="0"/>
        <w:pageBreakBefore w:val="0"/>
        <w:wordWrap/>
        <w:bidi w:val="0"/>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签字(签章)：                   公章：                      </w:t>
      </w:r>
    </w:p>
    <w:p w14:paraId="07BB7C65">
      <w:pPr>
        <w:keepNext w:val="0"/>
        <w:keepLines w:val="0"/>
        <w:pageBreakBefore w:val="0"/>
        <w:wordWrap/>
        <w:bidi w:val="0"/>
        <w:spacing w:line="360" w:lineRule="auto"/>
        <w:rPr>
          <w:rFonts w:ascii="Times New Roman" w:hAnsi="Times New Roman"/>
          <w:color w:val="auto"/>
          <w:sz w:val="24"/>
          <w:szCs w:val="24"/>
          <w:highlight w:val="none"/>
        </w:rPr>
      </w:pPr>
      <w:r>
        <w:rPr>
          <w:rFonts w:hint="eastAsia" w:ascii="Times New Roman" w:hAnsi="Times New Roman"/>
          <w:color w:val="auto"/>
          <w:sz w:val="24"/>
          <w:szCs w:val="24"/>
          <w:highlight w:val="none"/>
        </w:rPr>
        <w:t xml:space="preserve">日期：    </w:t>
      </w:r>
    </w:p>
    <w:p w14:paraId="5A03D8E1">
      <w:pPr>
        <w:keepNext w:val="0"/>
        <w:keepLines w:val="0"/>
        <w:pageBreakBefore w:val="0"/>
        <w:wordWrap/>
        <w:bidi w:val="0"/>
        <w:adjustRightInd w:val="0"/>
        <w:snapToGrid w:val="0"/>
        <w:spacing w:line="360" w:lineRule="auto"/>
        <w:rPr>
          <w:rFonts w:ascii="Times New Roman" w:hAnsi="Times New Roman" w:cs="仿宋"/>
          <w:color w:val="auto"/>
          <w:sz w:val="24"/>
          <w:szCs w:val="24"/>
          <w:highlight w:val="none"/>
        </w:rPr>
      </w:pPr>
    </w:p>
    <w:p w14:paraId="5BE312B0">
      <w:pPr>
        <w:keepNext w:val="0"/>
        <w:keepLines w:val="0"/>
        <w:pageBreakBefore w:val="0"/>
        <w:wordWrap/>
        <w:bidi w:val="0"/>
        <w:spacing w:line="360" w:lineRule="auto"/>
        <w:rPr>
          <w:rFonts w:ascii="Times New Roman" w:hAnsi="Times New Roman"/>
          <w:b/>
          <w:color w:val="auto"/>
          <w:sz w:val="24"/>
          <w:szCs w:val="24"/>
          <w:highlight w:val="none"/>
        </w:rPr>
      </w:pPr>
    </w:p>
    <w:p w14:paraId="7AB4BB50">
      <w:pPr>
        <w:keepNext w:val="0"/>
        <w:keepLines w:val="0"/>
        <w:pageBreakBefore w:val="0"/>
        <w:wordWrap/>
        <w:bidi w:val="0"/>
        <w:spacing w:line="360" w:lineRule="auto"/>
        <w:jc w:val="left"/>
        <w:rPr>
          <w:rFonts w:ascii="Times New Roman" w:hAnsi="Times New Roman"/>
          <w:b/>
          <w:color w:val="auto"/>
          <w:sz w:val="24"/>
          <w:szCs w:val="24"/>
          <w:highlight w:val="none"/>
        </w:rPr>
      </w:pPr>
      <w:r>
        <w:rPr>
          <w:rFonts w:ascii="Times New Roman" w:hAnsi="Times New Roman"/>
          <w:b/>
          <w:color w:val="auto"/>
          <w:sz w:val="24"/>
          <w:szCs w:val="24"/>
          <w:highlight w:val="none"/>
        </w:rPr>
        <w:br w:type="page"/>
      </w:r>
    </w:p>
    <w:p w14:paraId="50FCFBD3">
      <w:pPr>
        <w:keepNext w:val="0"/>
        <w:keepLines w:val="0"/>
        <w:pageBreakBefore w:val="0"/>
        <w:wordWrap/>
        <w:bidi w:val="0"/>
        <w:spacing w:line="360" w:lineRule="auto"/>
        <w:jc w:val="left"/>
        <w:rPr>
          <w:rFonts w:ascii="Times New Roman" w:hAnsi="Times New Roman"/>
          <w:b/>
          <w:color w:val="auto"/>
          <w:sz w:val="24"/>
          <w:szCs w:val="24"/>
          <w:highlight w:val="none"/>
        </w:rPr>
      </w:pPr>
      <w:r>
        <w:rPr>
          <w:rFonts w:hint="eastAsia" w:ascii="Times New Roman" w:hAnsi="Times New Roman"/>
          <w:b/>
          <w:color w:val="auto"/>
          <w:sz w:val="24"/>
          <w:szCs w:val="24"/>
          <w:highlight w:val="none"/>
        </w:rPr>
        <w:t>质疑函制作说明：</w:t>
      </w:r>
    </w:p>
    <w:p w14:paraId="501C55F3">
      <w:pPr>
        <w:keepNext w:val="0"/>
        <w:keepLines w:val="0"/>
        <w:pageBreakBefore w:val="0"/>
        <w:wordWrap/>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1、供应商提出质疑时，应提交质疑函和必要的证明材料。</w:t>
      </w:r>
    </w:p>
    <w:p w14:paraId="034555C5">
      <w:pPr>
        <w:keepNext w:val="0"/>
        <w:keepLines w:val="0"/>
        <w:pageBreakBefore w:val="0"/>
        <w:wordWrap/>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2、质疑供应商若委托代理人进行质疑的，质疑函应按要求列明“授权代表”的有关内容，并在附件中提交由质疑</w:t>
      </w:r>
      <w:r>
        <w:rPr>
          <w:rFonts w:hint="eastAsia" w:ascii="Times New Roman" w:hAnsi="Times New Roman" w:cs="宋体"/>
          <w:color w:val="auto"/>
          <w:kern w:val="0"/>
          <w:sz w:val="24"/>
          <w:szCs w:val="24"/>
          <w:highlight w:val="none"/>
        </w:rPr>
        <w:t>供应商签署的授权委托书。授权委托书应载明代理人的姓名或者名称、代理事项、具体权限、期限和相关事项。</w:t>
      </w:r>
    </w:p>
    <w:p w14:paraId="5417C015">
      <w:pPr>
        <w:keepNext w:val="0"/>
        <w:keepLines w:val="0"/>
        <w:pageBreakBefore w:val="0"/>
        <w:wordWrap/>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3、质疑供应商若对项目的某一分包进行质疑，质疑函中应列明具体分包号。</w:t>
      </w:r>
    </w:p>
    <w:p w14:paraId="7619B8C7">
      <w:pPr>
        <w:keepNext w:val="0"/>
        <w:keepLines w:val="0"/>
        <w:pageBreakBefore w:val="0"/>
        <w:wordWrap/>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4、质疑函的质疑事项应具体、明确，并有必要的事实依据和法律依据。</w:t>
      </w:r>
    </w:p>
    <w:p w14:paraId="07EB8184">
      <w:pPr>
        <w:keepNext w:val="0"/>
        <w:keepLines w:val="0"/>
        <w:pageBreakBefore w:val="0"/>
        <w:wordWrap/>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5、质疑函的质疑请求应与质疑事项相关。</w:t>
      </w:r>
    </w:p>
    <w:p w14:paraId="614145E0">
      <w:pPr>
        <w:keepNext w:val="0"/>
        <w:keepLines w:val="0"/>
        <w:pageBreakBefore w:val="0"/>
        <w:wordWrap/>
        <w:bidi w:val="0"/>
        <w:spacing w:line="360" w:lineRule="auto"/>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r>
        <w:rPr>
          <w:rFonts w:hint="eastAsia" w:ascii="Times New Roman" w:hAnsi="Times New Roman" w:cs="宋体"/>
          <w:color w:val="auto"/>
          <w:sz w:val="24"/>
          <w:szCs w:val="24"/>
          <w:highlight w:val="none"/>
        </w:rPr>
        <w:t>。</w:t>
      </w:r>
    </w:p>
    <w:p w14:paraId="10C18DFA">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br w:type="page"/>
      </w:r>
    </w:p>
    <w:p w14:paraId="5C7EB916">
      <w:pPr>
        <w:pStyle w:val="2"/>
        <w:keepNext w:val="0"/>
        <w:keepLines w:val="0"/>
        <w:pageBreakBefore w:val="0"/>
        <w:widowControl w:val="0"/>
        <w:kinsoku/>
        <w:wordWrap/>
        <w:topLinePunct w:val="0"/>
        <w:autoSpaceDE/>
        <w:autoSpaceDN/>
        <w:bidi w:val="0"/>
        <w:spacing w:before="0" w:after="0" w:line="360" w:lineRule="auto"/>
        <w:jc w:val="center"/>
        <w:textAlignment w:val="baseline"/>
        <w:rPr>
          <w:rFonts w:ascii="Times New Roman" w:hAnsi="Times New Roman" w:eastAsia="宋体" w:cs="宋体"/>
          <w:color w:val="auto"/>
          <w:w w:val="80"/>
          <w:sz w:val="48"/>
          <w:szCs w:val="44"/>
          <w:highlight w:val="none"/>
        </w:rPr>
      </w:pPr>
      <w:r>
        <w:rPr>
          <w:rFonts w:hint="eastAsia" w:ascii="Times New Roman" w:hAnsi="Times New Roman" w:eastAsia="宋体" w:cs="宋体"/>
          <w:color w:val="auto"/>
          <w:w w:val="80"/>
          <w:sz w:val="48"/>
          <w:szCs w:val="44"/>
          <w:highlight w:val="none"/>
        </w:rPr>
        <w:t>第七章 响应文件组成及格式</w:t>
      </w:r>
    </w:p>
    <w:p w14:paraId="12373B11">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响应文件由资格审查文件、技术响应文件、商务报价响应文件三部分组成。本次竞争性磋商采用资格后审方式，供应商须将资格审查文件作为响应文件组成部分，按磋商文件要求装订密封后一起递交。</w:t>
      </w:r>
    </w:p>
    <w:p w14:paraId="45F8B462">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color w:val="auto"/>
          <w:kern w:val="0"/>
          <w:sz w:val="24"/>
          <w:highlight w:val="none"/>
          <w:lang w:val="zh-CN"/>
        </w:rPr>
      </w:pPr>
      <w:r>
        <w:rPr>
          <w:rFonts w:hint="eastAsia" w:ascii="Times New Roman" w:hAnsi="Times New Roman" w:eastAsia="宋体" w:cs="宋体"/>
          <w:b/>
          <w:bCs/>
          <w:color w:val="auto"/>
          <w:kern w:val="0"/>
          <w:sz w:val="24"/>
          <w:highlight w:val="none"/>
          <w:lang w:val="zh-CN"/>
        </w:rPr>
        <w:t>一、资格审查文件（单独密封）：</w:t>
      </w:r>
    </w:p>
    <w:p w14:paraId="4B081E8D">
      <w:pPr>
        <w:spacing w:line="360" w:lineRule="auto"/>
        <w:ind w:firstLine="480" w:firstLineChars="200"/>
        <w:textAlignment w:val="baseline"/>
        <w:rPr>
          <w:rFonts w:hint="eastAsia"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rPr>
        <w:t>1、</w:t>
      </w:r>
      <w:r>
        <w:rPr>
          <w:rFonts w:hint="eastAsia" w:ascii="Times New Roman" w:hAnsi="Times New Roman" w:eastAsia="宋体"/>
          <w:bCs/>
          <w:color w:val="auto"/>
          <w:sz w:val="24"/>
          <w:szCs w:val="24"/>
          <w:highlight w:val="none"/>
        </w:rPr>
        <w:t>供应商须具有独立法人资格，具有有效的三证合一的营业执照（或事业单位法人证书）</w:t>
      </w:r>
      <w:r>
        <w:rPr>
          <w:rFonts w:hint="eastAsia" w:ascii="Times New Roman" w:hAnsi="Times New Roman" w:eastAsia="宋体"/>
          <w:bCs/>
          <w:color w:val="auto"/>
          <w:sz w:val="24"/>
          <w:szCs w:val="24"/>
          <w:highlight w:val="none"/>
          <w:lang w:eastAsia="zh-CN"/>
        </w:rPr>
        <w:t>复印件并加盖公章</w:t>
      </w:r>
      <w:r>
        <w:rPr>
          <w:rFonts w:hint="eastAsia" w:ascii="Times New Roman" w:hAnsi="Times New Roman" w:eastAsia="宋体"/>
          <w:color w:val="auto"/>
          <w:sz w:val="24"/>
          <w:szCs w:val="24"/>
          <w:highlight w:val="none"/>
          <w:lang w:eastAsia="zh-CN"/>
        </w:rPr>
        <w:t>；</w:t>
      </w:r>
    </w:p>
    <w:p w14:paraId="63547708">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olor w:val="auto"/>
          <w:sz w:val="24"/>
          <w:szCs w:val="24"/>
          <w:highlight w:val="none"/>
          <w:lang w:eastAsia="zh-CN"/>
        </w:rPr>
      </w:pPr>
      <w:r>
        <w:rPr>
          <w:rFonts w:hint="eastAsia" w:ascii="Times New Roman" w:hAnsi="Times New Roman" w:eastAsia="宋体"/>
          <w:color w:val="auto"/>
          <w:sz w:val="24"/>
          <w:szCs w:val="24"/>
          <w:highlight w:val="none"/>
        </w:rPr>
        <w:t>2、法定代表人参加</w:t>
      </w:r>
      <w:r>
        <w:rPr>
          <w:rFonts w:hint="eastAsia" w:ascii="Times New Roman" w:hAnsi="Times New Roman" w:eastAsia="宋体"/>
          <w:color w:val="auto"/>
          <w:sz w:val="24"/>
          <w:szCs w:val="24"/>
          <w:highlight w:val="none"/>
          <w:lang w:eastAsia="zh-CN"/>
        </w:rPr>
        <w:t>磋商</w:t>
      </w:r>
      <w:r>
        <w:rPr>
          <w:rFonts w:hint="eastAsia" w:ascii="Times New Roman" w:hAnsi="Times New Roman" w:eastAsia="宋体"/>
          <w:color w:val="auto"/>
          <w:sz w:val="24"/>
          <w:szCs w:val="24"/>
          <w:highlight w:val="none"/>
        </w:rPr>
        <w:t>的，必须提供法定代表人身份证明及法定代表人本人身份证两项复印件（须加盖单位公章）；非法定代表人参加</w:t>
      </w:r>
      <w:r>
        <w:rPr>
          <w:rFonts w:hint="eastAsia" w:ascii="Times New Roman" w:hAnsi="Times New Roman" w:eastAsia="宋体"/>
          <w:color w:val="auto"/>
          <w:sz w:val="24"/>
          <w:szCs w:val="24"/>
          <w:highlight w:val="none"/>
          <w:lang w:eastAsia="zh-CN"/>
        </w:rPr>
        <w:t>磋商</w:t>
      </w:r>
      <w:r>
        <w:rPr>
          <w:rFonts w:hint="eastAsia" w:ascii="Times New Roman" w:hAnsi="Times New Roman" w:eastAsia="宋体"/>
          <w:color w:val="auto"/>
          <w:sz w:val="24"/>
          <w:szCs w:val="24"/>
          <w:highlight w:val="none"/>
        </w:rPr>
        <w:t>的，必须提供法定代表人签字或印章的授权委托书及被授权人本人身份证两项复印件；（须加盖单位公章）</w:t>
      </w:r>
      <w:r>
        <w:rPr>
          <w:rFonts w:hint="eastAsia" w:ascii="Times New Roman" w:hAnsi="Times New Roman" w:eastAsia="宋体"/>
          <w:color w:val="auto"/>
          <w:sz w:val="24"/>
          <w:szCs w:val="24"/>
          <w:highlight w:val="none"/>
          <w:lang w:eastAsia="zh-CN"/>
        </w:rPr>
        <w:t>；</w:t>
      </w:r>
    </w:p>
    <w:p w14:paraId="31CC6D80">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3、提供供应商符合《中华人民共和国政府采购法》第二十二条规定条件的声明函。</w:t>
      </w:r>
    </w:p>
    <w:p w14:paraId="3D2AF66D">
      <w:pPr>
        <w:spacing w:line="360" w:lineRule="auto"/>
        <w:ind w:firstLine="480" w:firstLineChars="200"/>
        <w:textAlignment w:val="baseline"/>
        <w:rPr>
          <w:rFonts w:ascii="Times New Roman" w:hAnsi="Times New Roman"/>
          <w:color w:val="auto"/>
          <w:sz w:val="24"/>
          <w:szCs w:val="24"/>
          <w:highlight w:val="none"/>
        </w:rPr>
      </w:pPr>
      <w:r>
        <w:rPr>
          <w:rFonts w:hint="eastAsia" w:ascii="Times New Roman" w:hAnsi="Times New Roman"/>
          <w:color w:val="auto"/>
          <w:sz w:val="24"/>
          <w:szCs w:val="24"/>
          <w:highlight w:val="none"/>
        </w:rPr>
        <w:t>4、供应商须提供诚信承诺书（</w:t>
      </w:r>
      <w:r>
        <w:rPr>
          <w:rFonts w:hint="eastAsia" w:ascii="Times New Roman" w:hAnsi="Times New Roman" w:cs="宋体"/>
          <w:color w:val="auto"/>
          <w:sz w:val="24"/>
          <w:szCs w:val="24"/>
          <w:highlight w:val="none"/>
        </w:rPr>
        <w:t>格式参见附件）；</w:t>
      </w:r>
    </w:p>
    <w:p w14:paraId="6C8F0927">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olor w:val="auto"/>
          <w:sz w:val="24"/>
          <w:szCs w:val="24"/>
          <w:highlight w:val="none"/>
          <w:lang w:val="en-US" w:eastAsia="zh-CN"/>
        </w:rPr>
      </w:pPr>
      <w:r>
        <w:rPr>
          <w:rFonts w:hint="eastAsia" w:ascii="Times New Roman" w:hAnsi="Times New Roman" w:eastAsia="宋体"/>
          <w:color w:val="auto"/>
          <w:sz w:val="24"/>
          <w:szCs w:val="24"/>
          <w:highlight w:val="none"/>
          <w:lang w:val="en-US" w:eastAsia="zh-CN"/>
        </w:rPr>
        <w:t>5、</w:t>
      </w:r>
      <w:r>
        <w:rPr>
          <w:rFonts w:hint="eastAsia" w:ascii="Times New Roman" w:hAnsi="Times New Roman" w:eastAsia="宋体" w:cs="Times New Roman"/>
          <w:b/>
          <w:bCs/>
          <w:color w:val="auto"/>
          <w:sz w:val="24"/>
          <w:szCs w:val="24"/>
          <w:highlight w:val="none"/>
        </w:rPr>
        <w:t>现场踏勘确认函（必须经采购方签字或盖章，否则作无效响应处理）</w:t>
      </w:r>
    </w:p>
    <w:p w14:paraId="5D10AC2E">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lang w:val="en-US" w:eastAsia="zh-CN"/>
        </w:rPr>
        <w:t>6、</w:t>
      </w:r>
      <w:r>
        <w:rPr>
          <w:rFonts w:hint="eastAsia" w:ascii="Times New Roman" w:hAnsi="Times New Roman" w:eastAsia="宋体"/>
          <w:color w:val="auto"/>
          <w:sz w:val="24"/>
          <w:szCs w:val="24"/>
          <w:highlight w:val="none"/>
        </w:rPr>
        <w:t>其它需要提交的资格审查证明材料。</w:t>
      </w:r>
    </w:p>
    <w:p w14:paraId="3EC6E51E">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以上材料如为复印件均需加盖投标单位公章。</w:t>
      </w:r>
    </w:p>
    <w:p w14:paraId="1B659E3C">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bCs/>
          <w:color w:val="auto"/>
          <w:sz w:val="24"/>
          <w:szCs w:val="24"/>
          <w:highlight w:val="none"/>
        </w:rPr>
      </w:pPr>
      <w:r>
        <w:rPr>
          <w:rFonts w:hint="eastAsia" w:ascii="Times New Roman" w:hAnsi="Times New Roman" w:eastAsia="宋体"/>
          <w:b/>
          <w:bCs/>
          <w:color w:val="auto"/>
          <w:sz w:val="24"/>
          <w:szCs w:val="24"/>
          <w:highlight w:val="none"/>
        </w:rPr>
        <w:t>二、技术响应文件（单独密封）：</w:t>
      </w:r>
    </w:p>
    <w:p w14:paraId="040FBD7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Cs/>
          <w:color w:val="auto"/>
          <w:sz w:val="24"/>
          <w:szCs w:val="24"/>
          <w:highlight w:val="none"/>
        </w:rPr>
        <w:t>1、</w:t>
      </w:r>
      <w:r>
        <w:rPr>
          <w:rFonts w:hint="eastAsia" w:ascii="Times New Roman" w:hAnsi="Times New Roman" w:eastAsia="宋体" w:cs="宋体"/>
          <w:color w:val="auto"/>
          <w:sz w:val="24"/>
          <w:szCs w:val="24"/>
          <w:highlight w:val="none"/>
        </w:rPr>
        <w:t>磋商</w:t>
      </w:r>
      <w:r>
        <w:rPr>
          <w:rFonts w:ascii="Times New Roman" w:hAnsi="Times New Roman" w:eastAsia="宋体" w:cs="宋体"/>
          <w:color w:val="auto"/>
          <w:sz w:val="24"/>
          <w:szCs w:val="24"/>
          <w:highlight w:val="none"/>
        </w:rPr>
        <w:t>响应函（格式参见第</w:t>
      </w:r>
      <w:r>
        <w:rPr>
          <w:rFonts w:hint="eastAsia" w:ascii="Times New Roman" w:hAnsi="Times New Roman" w:eastAsia="宋体" w:cs="宋体"/>
          <w:color w:val="auto"/>
          <w:sz w:val="24"/>
          <w:szCs w:val="24"/>
          <w:highlight w:val="none"/>
          <w:lang w:eastAsia="zh-CN"/>
        </w:rPr>
        <w:t>七</w:t>
      </w:r>
      <w:r>
        <w:rPr>
          <w:rFonts w:ascii="Times New Roman" w:hAnsi="Times New Roman" w:eastAsia="宋体" w:cs="宋体"/>
          <w:color w:val="auto"/>
          <w:sz w:val="24"/>
          <w:szCs w:val="24"/>
          <w:highlight w:val="none"/>
        </w:rPr>
        <w:t>章）</w:t>
      </w:r>
    </w:p>
    <w:p w14:paraId="56119F8D">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bCs/>
          <w:color w:val="auto"/>
          <w:sz w:val="24"/>
          <w:szCs w:val="24"/>
          <w:highlight w:val="none"/>
          <w:lang w:val="en-US" w:eastAsia="zh-CN"/>
        </w:rPr>
        <w:t>2、供应商一般情况表</w:t>
      </w:r>
      <w:r>
        <w:rPr>
          <w:rFonts w:ascii="Times New Roman" w:hAnsi="Times New Roman" w:eastAsia="宋体" w:cs="宋体"/>
          <w:color w:val="auto"/>
          <w:sz w:val="24"/>
          <w:szCs w:val="24"/>
          <w:highlight w:val="none"/>
        </w:rPr>
        <w:t>（格式参见第</w:t>
      </w:r>
      <w:r>
        <w:rPr>
          <w:rFonts w:hint="eastAsia" w:ascii="Times New Roman" w:hAnsi="Times New Roman" w:eastAsia="宋体" w:cs="宋体"/>
          <w:color w:val="auto"/>
          <w:sz w:val="24"/>
          <w:szCs w:val="24"/>
          <w:highlight w:val="none"/>
          <w:lang w:eastAsia="zh-CN"/>
        </w:rPr>
        <w:t>七</w:t>
      </w:r>
      <w:r>
        <w:rPr>
          <w:rFonts w:ascii="Times New Roman" w:hAnsi="Times New Roman" w:eastAsia="宋体" w:cs="宋体"/>
          <w:color w:val="auto"/>
          <w:sz w:val="24"/>
          <w:szCs w:val="24"/>
          <w:highlight w:val="none"/>
        </w:rPr>
        <w:t>章）</w:t>
      </w:r>
    </w:p>
    <w:p w14:paraId="4FBAAF27">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3、</w:t>
      </w:r>
      <w:r>
        <w:rPr>
          <w:rFonts w:hint="eastAsia" w:ascii="Times New Roman" w:hAnsi="Times New Roman" w:eastAsia="宋体" w:cs="宋体"/>
          <w:bCs/>
          <w:color w:val="auto"/>
          <w:sz w:val="24"/>
          <w:szCs w:val="24"/>
          <w:highlight w:val="none"/>
          <w:lang w:eastAsia="zh-CN"/>
        </w:rPr>
        <w:t>技术</w:t>
      </w:r>
      <w:r>
        <w:rPr>
          <w:rFonts w:hint="eastAsia" w:ascii="Times New Roman" w:hAnsi="Times New Roman" w:eastAsia="宋体" w:cs="宋体"/>
          <w:bCs/>
          <w:color w:val="auto"/>
          <w:sz w:val="24"/>
          <w:szCs w:val="24"/>
          <w:highlight w:val="none"/>
        </w:rPr>
        <w:t>部分正负偏离表（格式参见第</w:t>
      </w:r>
      <w:r>
        <w:rPr>
          <w:rFonts w:hint="eastAsia" w:ascii="Times New Roman" w:hAnsi="Times New Roman" w:eastAsia="宋体" w:cs="宋体"/>
          <w:bCs/>
          <w:color w:val="auto"/>
          <w:sz w:val="24"/>
          <w:szCs w:val="24"/>
          <w:highlight w:val="none"/>
          <w:lang w:eastAsia="zh-CN"/>
        </w:rPr>
        <w:t>七</w:t>
      </w:r>
      <w:r>
        <w:rPr>
          <w:rFonts w:hint="eastAsia" w:ascii="Times New Roman" w:hAnsi="Times New Roman" w:eastAsia="宋体" w:cs="宋体"/>
          <w:bCs/>
          <w:color w:val="auto"/>
          <w:sz w:val="24"/>
          <w:szCs w:val="24"/>
          <w:highlight w:val="none"/>
        </w:rPr>
        <w:t>章）</w:t>
      </w:r>
    </w:p>
    <w:p w14:paraId="5490AE2E">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4、</w:t>
      </w:r>
      <w:r>
        <w:rPr>
          <w:rFonts w:hint="eastAsia" w:ascii="Times New Roman" w:hAnsi="Times New Roman" w:eastAsia="宋体" w:cs="宋体"/>
          <w:bCs/>
          <w:color w:val="auto"/>
          <w:sz w:val="24"/>
          <w:szCs w:val="24"/>
          <w:highlight w:val="none"/>
        </w:rPr>
        <w:t>商务部分正负偏离表（格式参见第</w:t>
      </w:r>
      <w:r>
        <w:rPr>
          <w:rFonts w:hint="eastAsia" w:ascii="Times New Roman" w:hAnsi="Times New Roman" w:eastAsia="宋体" w:cs="宋体"/>
          <w:bCs/>
          <w:color w:val="auto"/>
          <w:sz w:val="24"/>
          <w:szCs w:val="24"/>
          <w:highlight w:val="none"/>
          <w:lang w:eastAsia="zh-CN"/>
        </w:rPr>
        <w:t>七</w:t>
      </w:r>
      <w:r>
        <w:rPr>
          <w:rFonts w:hint="eastAsia" w:ascii="Times New Roman" w:hAnsi="Times New Roman" w:eastAsia="宋体" w:cs="宋体"/>
          <w:bCs/>
          <w:color w:val="auto"/>
          <w:sz w:val="24"/>
          <w:szCs w:val="24"/>
          <w:highlight w:val="none"/>
        </w:rPr>
        <w:t>章）</w:t>
      </w:r>
    </w:p>
    <w:p w14:paraId="0B176A52">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5、</w:t>
      </w:r>
      <w:r>
        <w:rPr>
          <w:rFonts w:hint="eastAsia" w:ascii="Times New Roman" w:hAnsi="Times New Roman" w:eastAsia="宋体" w:cs="宋体"/>
          <w:bCs/>
          <w:color w:val="auto"/>
          <w:sz w:val="24"/>
          <w:szCs w:val="24"/>
          <w:highlight w:val="none"/>
        </w:rPr>
        <w:t>磋商文件中评分标准所涉及的事项需提供的所有资料；</w:t>
      </w:r>
    </w:p>
    <w:p w14:paraId="0C5272E4">
      <w:pPr>
        <w:keepNext w:val="0"/>
        <w:keepLines w:val="0"/>
        <w:pageBreakBefore w:val="0"/>
        <w:widowControl w:val="0"/>
        <w:kinsoku/>
        <w:wordWrap/>
        <w:topLinePunct w:val="0"/>
        <w:autoSpaceDE/>
        <w:autoSpaceDN/>
        <w:bidi w:val="0"/>
        <w:spacing w:line="360" w:lineRule="auto"/>
        <w:ind w:firstLine="480" w:firstLineChars="200"/>
        <w:textAlignment w:val="baseline"/>
        <w:rPr>
          <w:rFonts w:hint="eastAsia" w:ascii="Times New Roman" w:hAnsi="Times New Roman" w:eastAsia="宋体" w:cs="宋体"/>
          <w:bCs/>
          <w:color w:val="auto"/>
          <w:sz w:val="24"/>
          <w:szCs w:val="24"/>
          <w:highlight w:val="none"/>
        </w:rPr>
      </w:pPr>
      <w:r>
        <w:rPr>
          <w:rFonts w:hint="eastAsia" w:ascii="Times New Roman" w:hAnsi="Times New Roman" w:eastAsia="宋体" w:cs="宋体"/>
          <w:bCs/>
          <w:color w:val="auto"/>
          <w:sz w:val="24"/>
          <w:szCs w:val="24"/>
          <w:highlight w:val="none"/>
          <w:lang w:val="en-US" w:eastAsia="zh-CN"/>
        </w:rPr>
        <w:t>6</w:t>
      </w:r>
      <w:r>
        <w:rPr>
          <w:rFonts w:hint="eastAsia" w:ascii="Times New Roman" w:hAnsi="Times New Roman" w:eastAsia="宋体" w:cs="宋体"/>
          <w:bCs/>
          <w:color w:val="auto"/>
          <w:sz w:val="24"/>
          <w:szCs w:val="24"/>
          <w:highlight w:val="none"/>
        </w:rPr>
        <w:t>、磋商文件中未涉及的事项，</w:t>
      </w:r>
      <w:r>
        <w:rPr>
          <w:rFonts w:hint="eastAsia" w:ascii="Times New Roman" w:hAnsi="Times New Roman" w:eastAsia="宋体" w:cs="宋体"/>
          <w:bCs/>
          <w:color w:val="auto"/>
          <w:sz w:val="24"/>
          <w:szCs w:val="24"/>
          <w:highlight w:val="none"/>
          <w:lang w:eastAsia="zh-CN"/>
        </w:rPr>
        <w:t>响应</w:t>
      </w:r>
      <w:r>
        <w:rPr>
          <w:rFonts w:hint="eastAsia" w:ascii="Times New Roman" w:hAnsi="Times New Roman" w:eastAsia="宋体" w:cs="宋体"/>
          <w:bCs/>
          <w:color w:val="auto"/>
          <w:sz w:val="24"/>
          <w:szCs w:val="24"/>
          <w:highlight w:val="none"/>
        </w:rPr>
        <w:t>供应商认为需要提交的其他资料。</w:t>
      </w:r>
    </w:p>
    <w:p w14:paraId="56F9402B">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特别提醒：</w:t>
      </w:r>
      <w:r>
        <w:rPr>
          <w:rFonts w:hint="eastAsia" w:ascii="Times New Roman" w:hAnsi="Times New Roman" w:eastAsia="宋体" w:cs="宋体"/>
          <w:b/>
          <w:bCs/>
          <w:color w:val="auto"/>
          <w:sz w:val="24"/>
          <w:szCs w:val="24"/>
          <w:highlight w:val="none"/>
          <w:lang w:eastAsia="zh-CN"/>
        </w:rPr>
        <w:t>“</w:t>
      </w:r>
      <w:r>
        <w:rPr>
          <w:rFonts w:hint="eastAsia" w:ascii="Times New Roman" w:hAnsi="Times New Roman" w:eastAsia="宋体" w:cs="宋体"/>
          <w:b/>
          <w:bCs/>
          <w:color w:val="auto"/>
          <w:sz w:val="24"/>
          <w:szCs w:val="24"/>
          <w:highlight w:val="none"/>
        </w:rPr>
        <w:t>资格审查文件</w:t>
      </w:r>
      <w:r>
        <w:rPr>
          <w:rFonts w:hint="eastAsia" w:ascii="Times New Roman" w:hAnsi="Times New Roman" w:eastAsia="宋体" w:cs="宋体"/>
          <w:b/>
          <w:bCs/>
          <w:color w:val="auto"/>
          <w:sz w:val="24"/>
          <w:szCs w:val="24"/>
          <w:highlight w:val="none"/>
          <w:lang w:eastAsia="zh-CN"/>
        </w:rPr>
        <w:t>”</w:t>
      </w:r>
      <w:r>
        <w:rPr>
          <w:rFonts w:hint="eastAsia" w:ascii="Times New Roman" w:hAnsi="Times New Roman" w:eastAsia="宋体" w:cs="宋体"/>
          <w:b/>
          <w:bCs/>
          <w:color w:val="auto"/>
          <w:sz w:val="24"/>
          <w:szCs w:val="24"/>
          <w:highlight w:val="none"/>
        </w:rPr>
        <w:t>、</w:t>
      </w:r>
      <w:r>
        <w:rPr>
          <w:rFonts w:hint="eastAsia" w:ascii="Times New Roman" w:hAnsi="Times New Roman" w:eastAsia="宋体" w:cs="宋体"/>
          <w:b/>
          <w:bCs/>
          <w:color w:val="auto"/>
          <w:sz w:val="24"/>
          <w:szCs w:val="24"/>
          <w:highlight w:val="none"/>
          <w:lang w:eastAsia="zh-CN"/>
        </w:rPr>
        <w:t>“</w:t>
      </w:r>
      <w:r>
        <w:rPr>
          <w:rFonts w:hint="eastAsia" w:ascii="Times New Roman" w:hAnsi="Times New Roman" w:eastAsia="宋体" w:cs="宋体"/>
          <w:b/>
          <w:bCs/>
          <w:color w:val="auto"/>
          <w:sz w:val="24"/>
          <w:szCs w:val="24"/>
          <w:highlight w:val="none"/>
        </w:rPr>
        <w:t>技术响应文件</w:t>
      </w:r>
      <w:r>
        <w:rPr>
          <w:rFonts w:hint="eastAsia" w:ascii="Times New Roman" w:hAnsi="Times New Roman" w:eastAsia="宋体" w:cs="宋体"/>
          <w:b/>
          <w:bCs/>
          <w:color w:val="auto"/>
          <w:sz w:val="24"/>
          <w:szCs w:val="24"/>
          <w:highlight w:val="none"/>
          <w:lang w:eastAsia="zh-CN"/>
        </w:rPr>
        <w:t>”</w:t>
      </w:r>
      <w:r>
        <w:rPr>
          <w:rFonts w:hint="eastAsia" w:ascii="Times New Roman" w:hAnsi="Times New Roman" w:eastAsia="宋体" w:cs="宋体"/>
          <w:b/>
          <w:bCs/>
          <w:color w:val="auto"/>
          <w:sz w:val="24"/>
          <w:szCs w:val="24"/>
          <w:highlight w:val="none"/>
        </w:rPr>
        <w:t>所须提供的材料按磋商文件要求装订，密封，递交。</w:t>
      </w:r>
    </w:p>
    <w:p w14:paraId="4EEF1052">
      <w:pPr>
        <w:keepNext w:val="0"/>
        <w:keepLines w:val="0"/>
        <w:pageBreakBefore w:val="0"/>
        <w:widowControl w:val="0"/>
        <w:kinsoku/>
        <w:wordWrap/>
        <w:topLinePunct w:val="0"/>
        <w:autoSpaceDE/>
        <w:autoSpaceDN/>
        <w:bidi w:val="0"/>
        <w:spacing w:line="360" w:lineRule="auto"/>
        <w:ind w:firstLine="482" w:firstLineChars="200"/>
        <w:jc w:val="left"/>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三、报价响应文件（单独密封）</w:t>
      </w:r>
    </w:p>
    <w:p w14:paraId="30248703">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1、磋商响应报价表（格式参见附件）；</w:t>
      </w:r>
    </w:p>
    <w:p w14:paraId="1E90A19A">
      <w:pPr>
        <w:keepNext w:val="0"/>
        <w:keepLines w:val="0"/>
        <w:pageBreakBefore w:val="0"/>
        <w:widowControl w:val="0"/>
        <w:kinsoku/>
        <w:wordWrap/>
        <w:topLinePunct w:val="0"/>
        <w:autoSpaceDE/>
        <w:autoSpaceDN/>
        <w:bidi w:val="0"/>
        <w:spacing w:line="360" w:lineRule="auto"/>
        <w:ind w:firstLine="480" w:firstLineChars="200"/>
        <w:jc w:val="left"/>
        <w:textAlignment w:val="baseline"/>
        <w:rPr>
          <w:rFonts w:hint="eastAsia" w:ascii="Times New Roman" w:hAnsi="Times New Roman" w:eastAsia="宋体" w:cs="宋体"/>
          <w:bCs/>
          <w:color w:val="auto"/>
          <w:sz w:val="24"/>
          <w:szCs w:val="24"/>
          <w:highlight w:val="none"/>
          <w:lang w:val="en-US" w:eastAsia="zh-CN"/>
        </w:rPr>
      </w:pPr>
      <w:r>
        <w:rPr>
          <w:rFonts w:hint="eastAsia" w:ascii="Times New Roman" w:hAnsi="Times New Roman" w:eastAsia="宋体" w:cs="宋体"/>
          <w:bCs/>
          <w:color w:val="auto"/>
          <w:sz w:val="24"/>
          <w:szCs w:val="24"/>
          <w:highlight w:val="none"/>
          <w:lang w:val="en-US" w:eastAsia="zh-CN"/>
        </w:rPr>
        <w:t>2、磋商响应报价明细表</w:t>
      </w:r>
      <w:r>
        <w:rPr>
          <w:rFonts w:hint="eastAsia" w:ascii="Times New Roman" w:hAnsi="Times New Roman" w:eastAsia="宋体" w:cs="宋体"/>
          <w:color w:val="auto"/>
          <w:sz w:val="24"/>
          <w:szCs w:val="24"/>
          <w:highlight w:val="none"/>
        </w:rPr>
        <w:t>（格式参见附件）</w:t>
      </w:r>
      <w:r>
        <w:rPr>
          <w:rFonts w:hint="eastAsia" w:ascii="Times New Roman" w:hAnsi="Times New Roman" w:eastAsia="宋体" w:cs="宋体"/>
          <w:bCs/>
          <w:color w:val="auto"/>
          <w:sz w:val="24"/>
          <w:szCs w:val="24"/>
          <w:highlight w:val="none"/>
          <w:lang w:val="en-US" w:eastAsia="zh-CN"/>
        </w:rPr>
        <w:t>；</w:t>
      </w:r>
    </w:p>
    <w:p w14:paraId="0F163ADB">
      <w:pPr>
        <w:keepNext w:val="0"/>
        <w:keepLines w:val="0"/>
        <w:pageBreakBefore w:val="0"/>
        <w:widowControl w:val="0"/>
        <w:kinsoku/>
        <w:wordWrap/>
        <w:topLinePunct w:val="0"/>
        <w:autoSpaceDE/>
        <w:autoSpaceDN/>
        <w:bidi w:val="0"/>
        <w:spacing w:line="360" w:lineRule="auto"/>
        <w:ind w:firstLine="480" w:firstLineChars="200"/>
        <w:jc w:val="left"/>
        <w:textAlignment w:val="baseline"/>
        <w:rPr>
          <w:rFonts w:ascii="Times New Roman" w:hAnsi="Times New Roman" w:eastAsia="宋体"/>
          <w:b/>
          <w:color w:val="auto"/>
          <w:sz w:val="24"/>
          <w:szCs w:val="24"/>
          <w:highlight w:val="none"/>
        </w:rPr>
      </w:pPr>
      <w:r>
        <w:rPr>
          <w:rFonts w:hint="eastAsia" w:ascii="Times New Roman" w:hAnsi="Times New Roman" w:eastAsia="宋体" w:cs="宋体"/>
          <w:color w:val="auto"/>
          <w:sz w:val="24"/>
          <w:szCs w:val="24"/>
          <w:highlight w:val="none"/>
        </w:rPr>
        <w:br w:type="page"/>
      </w:r>
    </w:p>
    <w:p w14:paraId="4C3EB441">
      <w:pPr>
        <w:keepNext w:val="0"/>
        <w:keepLines w:val="0"/>
        <w:pageBreakBefore w:val="0"/>
        <w:widowControl w:val="0"/>
        <w:kinsoku/>
        <w:wordWrap/>
        <w:topLinePunct w:val="0"/>
        <w:autoSpaceDE/>
        <w:autoSpaceDN/>
        <w:bidi w:val="0"/>
        <w:spacing w:line="360" w:lineRule="auto"/>
        <w:jc w:val="left"/>
        <w:textAlignment w:val="baseline"/>
        <w:rPr>
          <w:rFonts w:ascii="Times New Roman" w:hAnsi="Times New Roman" w:eastAsia="宋体"/>
          <w:b/>
          <w:color w:val="auto"/>
          <w:sz w:val="24"/>
          <w:highlight w:val="none"/>
        </w:rPr>
      </w:pPr>
      <w:r>
        <w:rPr>
          <w:rFonts w:hint="eastAsia" w:ascii="Times New Roman" w:hAnsi="Times New Roman" w:eastAsia="宋体"/>
          <w:b/>
          <w:color w:val="auto"/>
          <w:sz w:val="24"/>
          <w:szCs w:val="24"/>
          <w:highlight w:val="none"/>
        </w:rPr>
        <w:t>附件:</w:t>
      </w:r>
    </w:p>
    <w:p w14:paraId="732A059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1、法定代表人身份证明</w:t>
      </w:r>
    </w:p>
    <w:p w14:paraId="6AE0EE61">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（法定代表人参加投标，须出示此证明）</w:t>
      </w:r>
    </w:p>
    <w:p w14:paraId="724B7DC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color w:val="auto"/>
          <w:sz w:val="24"/>
          <w:szCs w:val="24"/>
          <w:highlight w:val="none"/>
        </w:rPr>
      </w:pPr>
    </w:p>
    <w:p w14:paraId="1E671B2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u w:val="single"/>
        </w:rPr>
        <w:t>南通市第三人民医院</w:t>
      </w:r>
      <w:r>
        <w:rPr>
          <w:rFonts w:hint="eastAsia" w:ascii="Times New Roman" w:hAnsi="Times New Roman" w:eastAsia="宋体" w:cs="宋体"/>
          <w:color w:val="auto"/>
          <w:sz w:val="24"/>
          <w:szCs w:val="24"/>
          <w:highlight w:val="none"/>
        </w:rPr>
        <w:t>：</w:t>
      </w:r>
    </w:p>
    <w:p w14:paraId="7A312EA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我公司法定代表人</w:t>
      </w:r>
      <w:r>
        <w:rPr>
          <w:rFonts w:hint="eastAsia" w:ascii="Times New Roman" w:hAnsi="Times New Roman" w:eastAsia="宋体" w:cs="宋体"/>
          <w:color w:val="auto"/>
          <w:sz w:val="24"/>
          <w:szCs w:val="24"/>
          <w:highlight w:val="none"/>
          <w:u w:val="single"/>
        </w:rPr>
        <w:t>　　　</w:t>
      </w:r>
      <w:r>
        <w:rPr>
          <w:rFonts w:hint="eastAsia" w:ascii="Times New Roman" w:hAnsi="Times New Roman" w:eastAsia="宋体" w:cs="宋体"/>
          <w:color w:val="auto"/>
          <w:sz w:val="24"/>
          <w:szCs w:val="24"/>
          <w:highlight w:val="none"/>
        </w:rPr>
        <w:t>参加贵单位组织的</w:t>
      </w:r>
      <w:r>
        <w:rPr>
          <w:rFonts w:hint="eastAsia" w:ascii="Times New Roman" w:hAnsi="Times New Roman" w:eastAsia="宋体"/>
          <w:color w:val="auto"/>
          <w:sz w:val="24"/>
          <w:szCs w:val="24"/>
          <w:highlight w:val="none"/>
          <w:u w:val="single"/>
          <w:lang w:eastAsia="zh-CN"/>
        </w:rPr>
        <w:t>南通市第三人民医院新老中央空调系统管路（二期大楼与4#6#楼）之间增设板式换热机组（第二次）</w:t>
      </w:r>
      <w:r>
        <w:rPr>
          <w:rFonts w:hint="eastAsia" w:ascii="Times New Roman" w:hAnsi="Times New Roman" w:eastAsia="宋体" w:cs="宋体"/>
          <w:color w:val="auto"/>
          <w:sz w:val="24"/>
          <w:szCs w:val="24"/>
          <w:highlight w:val="none"/>
        </w:rPr>
        <w:t>（竞争性磋商项目名称）项目的磋商活动，全权代表我公司处理该磋商活动的有关事宜。</w:t>
      </w:r>
    </w:p>
    <w:p w14:paraId="09B35FF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6C411FF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附：法定代表人情况：</w:t>
      </w:r>
    </w:p>
    <w:p w14:paraId="5A9425F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姓名：性别：年龄：职务：</w:t>
      </w:r>
    </w:p>
    <w:p w14:paraId="476C152C">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身份证号码：</w:t>
      </w:r>
    </w:p>
    <w:p w14:paraId="68B46FC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手机：传真：</w:t>
      </w:r>
    </w:p>
    <w:p w14:paraId="069BEC9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w:t>
      </w:r>
    </w:p>
    <w:p w14:paraId="50F6DA97">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1F5CC405">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单位名称（公章）法定代表人（签字或盖章）</w:t>
      </w:r>
    </w:p>
    <w:p w14:paraId="52938C0C">
      <w:pPr>
        <w:keepNext w:val="0"/>
        <w:keepLines w:val="0"/>
        <w:pageBreakBefore w:val="0"/>
        <w:widowControl w:val="0"/>
        <w:kinsoku/>
        <w:wordWrap/>
        <w:topLinePunct w:val="0"/>
        <w:autoSpaceDE/>
        <w:autoSpaceDN/>
        <w:bidi w:val="0"/>
        <w:spacing w:line="360" w:lineRule="auto"/>
        <w:ind w:firstLine="1200" w:firstLineChars="5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年月日年月日</w:t>
      </w:r>
    </w:p>
    <w:p w14:paraId="0D63A70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3526DD7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法定代表人身份证复印件</w:t>
      </w:r>
    </w:p>
    <w:p w14:paraId="35F64DD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5DA3EF31">
      <w:pPr>
        <w:keepNext w:val="0"/>
        <w:keepLines w:val="0"/>
        <w:pageBreakBefore w:val="0"/>
        <w:widowControl w:val="0"/>
        <w:kinsoku/>
        <w:wordWrap/>
        <w:topLinePunct w:val="0"/>
        <w:autoSpaceDE/>
        <w:autoSpaceDN/>
        <w:bidi w:val="0"/>
        <w:spacing w:line="360" w:lineRule="auto"/>
        <w:ind w:firstLine="2280" w:firstLineChars="95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（粘贴此处）</w:t>
      </w:r>
    </w:p>
    <w:p w14:paraId="28774212">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注:参加磋商活动时法定代表人将身份证原件带至开标现场备查。</w:t>
      </w:r>
    </w:p>
    <w:p w14:paraId="19A2CB54">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b/>
          <w:bCs/>
          <w:color w:val="auto"/>
          <w:sz w:val="24"/>
          <w:szCs w:val="24"/>
          <w:highlight w:val="none"/>
        </w:rPr>
      </w:pPr>
      <w:r>
        <w:rPr>
          <w:rFonts w:ascii="Times New Roman" w:hAnsi="Times New Roman" w:eastAsia="宋体" w:cs="宋体"/>
          <w:b/>
          <w:bCs/>
          <w:color w:val="auto"/>
          <w:sz w:val="24"/>
          <w:szCs w:val="24"/>
          <w:highlight w:val="none"/>
        </w:rPr>
        <w:br w:type="page"/>
      </w:r>
    </w:p>
    <w:p w14:paraId="20390BC2">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olor w:val="auto"/>
          <w:sz w:val="20"/>
          <w:highlight w:val="none"/>
        </w:rPr>
      </w:pPr>
      <w:r>
        <w:rPr>
          <w:rFonts w:hint="eastAsia" w:ascii="Times New Roman" w:hAnsi="Times New Roman" w:eastAsia="宋体"/>
          <w:b/>
          <w:color w:val="auto"/>
          <w:sz w:val="24"/>
          <w:szCs w:val="24"/>
          <w:highlight w:val="none"/>
        </w:rPr>
        <w:t>2、授权委托书</w:t>
      </w:r>
    </w:p>
    <w:p w14:paraId="4400393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（委托代理人参加投标，须出示此证明）</w:t>
      </w:r>
    </w:p>
    <w:p w14:paraId="7E2D9269">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Cs/>
          <w:color w:val="auto"/>
          <w:sz w:val="24"/>
          <w:szCs w:val="24"/>
          <w:highlight w:val="none"/>
        </w:rPr>
      </w:pPr>
      <w:r>
        <w:rPr>
          <w:rFonts w:hint="eastAsia" w:ascii="Times New Roman" w:hAnsi="Times New Roman" w:eastAsia="宋体"/>
          <w:color w:val="auto"/>
          <w:sz w:val="24"/>
          <w:szCs w:val="24"/>
          <w:highlight w:val="none"/>
          <w:u w:val="single"/>
        </w:rPr>
        <w:t>南通市第三人民医院</w:t>
      </w:r>
      <w:r>
        <w:rPr>
          <w:rFonts w:hint="eastAsia" w:ascii="Times New Roman" w:hAnsi="Times New Roman" w:eastAsia="宋体" w:cs="宋体"/>
          <w:color w:val="auto"/>
          <w:sz w:val="24"/>
          <w:szCs w:val="24"/>
          <w:highlight w:val="none"/>
        </w:rPr>
        <w:t>：</w:t>
      </w:r>
    </w:p>
    <w:p w14:paraId="23E00D13">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兹授权</w:t>
      </w:r>
      <w:r>
        <w:rPr>
          <w:rFonts w:hint="eastAsia" w:ascii="Times New Roman" w:hAnsi="Times New Roman" w:eastAsia="宋体" w:cs="宋体"/>
          <w:color w:val="auto"/>
          <w:sz w:val="24"/>
          <w:szCs w:val="24"/>
          <w:highlight w:val="none"/>
          <w:u w:val="single"/>
        </w:rPr>
        <w:t>（</w:t>
      </w:r>
      <w:r>
        <w:rPr>
          <w:rFonts w:hint="eastAsia" w:ascii="Times New Roman" w:hAnsi="Times New Roman" w:eastAsia="宋体" w:cs="宋体"/>
          <w:color w:val="auto"/>
          <w:sz w:val="24"/>
          <w:szCs w:val="24"/>
          <w:highlight w:val="none"/>
        </w:rPr>
        <w:t>被授权人的姓名）代表我公司参加</w:t>
      </w:r>
      <w:r>
        <w:rPr>
          <w:rFonts w:hint="eastAsia" w:ascii="Times New Roman" w:hAnsi="Times New Roman" w:eastAsia="宋体"/>
          <w:color w:val="auto"/>
          <w:sz w:val="24"/>
          <w:szCs w:val="24"/>
          <w:highlight w:val="none"/>
          <w:u w:val="single"/>
          <w:lang w:eastAsia="zh-CN"/>
        </w:rPr>
        <w:t>南通市第三人民医院新老中央空调系统管路（二期大楼与4#6#楼）之间增设板式换热机组（第二次）</w:t>
      </w:r>
      <w:r>
        <w:rPr>
          <w:rFonts w:hint="eastAsia" w:ascii="Times New Roman" w:hAnsi="Times New Roman" w:eastAsia="宋体" w:cs="宋体"/>
          <w:color w:val="auto"/>
          <w:sz w:val="24"/>
          <w:szCs w:val="24"/>
          <w:highlight w:val="none"/>
        </w:rPr>
        <w:t>（竞争性磋商项目名称）项目的磋商活动，全权处理一切与该项目磋商有关的事务。其在办理上述事宜过程中所签署的所有文件我公司均予以承认。</w:t>
      </w:r>
    </w:p>
    <w:p w14:paraId="6EC5AE49">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s="宋体"/>
          <w:color w:val="auto"/>
          <w:sz w:val="24"/>
          <w:szCs w:val="24"/>
          <w:highlight w:val="none"/>
        </w:rPr>
        <w:t>被授权人无转委托权。特此委托。</w:t>
      </w:r>
    </w:p>
    <w:p w14:paraId="4C4264BF">
      <w:pPr>
        <w:keepNext w:val="0"/>
        <w:keepLines w:val="0"/>
        <w:pageBreakBefore w:val="0"/>
        <w:widowControl w:val="0"/>
        <w:kinsoku/>
        <w:wordWrap/>
        <w:topLinePunct w:val="0"/>
        <w:autoSpaceDE/>
        <w:autoSpaceDN/>
        <w:bidi w:val="0"/>
        <w:spacing w:line="360" w:lineRule="auto"/>
        <w:ind w:left="1" w:firstLine="480" w:firstLineChars="200"/>
        <w:textAlignment w:val="baseline"/>
        <w:rPr>
          <w:rFonts w:ascii="Times New Roman" w:hAnsi="Times New Roman" w:eastAsia="宋体" w:cs="宋体"/>
          <w:color w:val="auto"/>
          <w:sz w:val="24"/>
          <w:szCs w:val="24"/>
          <w:highlight w:val="none"/>
        </w:rPr>
      </w:pPr>
    </w:p>
    <w:p w14:paraId="56541755">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7188B0A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附：被授权人情况：</w:t>
      </w:r>
    </w:p>
    <w:p w14:paraId="1ADC34A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u w:val="single"/>
        </w:rPr>
      </w:pPr>
      <w:r>
        <w:rPr>
          <w:rFonts w:hint="eastAsia" w:ascii="Times New Roman" w:hAnsi="Times New Roman" w:eastAsia="宋体" w:cs="宋体"/>
          <w:color w:val="auto"/>
          <w:sz w:val="24"/>
          <w:szCs w:val="24"/>
          <w:highlight w:val="none"/>
        </w:rPr>
        <w:t>姓名：性别：年龄：职务：</w:t>
      </w:r>
    </w:p>
    <w:p w14:paraId="1369133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身份证号码：</w:t>
      </w:r>
    </w:p>
    <w:p w14:paraId="58FA5C6A">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手机：传真：</w:t>
      </w:r>
    </w:p>
    <w:p w14:paraId="6368833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 </w:t>
      </w:r>
    </w:p>
    <w:p w14:paraId="1BF1A06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单位名称（公章）法定代表人（签字或盖章）</w:t>
      </w:r>
    </w:p>
    <w:p w14:paraId="1BAFC67B">
      <w:pPr>
        <w:keepNext w:val="0"/>
        <w:keepLines w:val="0"/>
        <w:pageBreakBefore w:val="0"/>
        <w:widowControl w:val="0"/>
        <w:kinsoku/>
        <w:wordWrap/>
        <w:topLinePunct w:val="0"/>
        <w:autoSpaceDE/>
        <w:autoSpaceDN/>
        <w:bidi w:val="0"/>
        <w:spacing w:line="360" w:lineRule="auto"/>
        <w:ind w:firstLine="1200" w:firstLineChars="50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年月日年月日</w:t>
      </w:r>
    </w:p>
    <w:p w14:paraId="5CAEAFE6">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2B4875B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法定代表人身份证复印件</w:t>
      </w:r>
    </w:p>
    <w:p w14:paraId="134EFE6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p>
    <w:p w14:paraId="699508A2">
      <w:pPr>
        <w:keepNext w:val="0"/>
        <w:keepLines w:val="0"/>
        <w:pageBreakBefore w:val="0"/>
        <w:widowControl w:val="0"/>
        <w:kinsoku/>
        <w:wordWrap/>
        <w:topLinePunct w:val="0"/>
        <w:autoSpaceDE/>
        <w:autoSpaceDN/>
        <w:bidi w:val="0"/>
        <w:spacing w:line="360" w:lineRule="auto"/>
        <w:ind w:firstLine="3960" w:firstLineChars="165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（粘贴此处）</w:t>
      </w:r>
    </w:p>
    <w:p w14:paraId="67B3912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被授权人身份证复印件</w:t>
      </w:r>
    </w:p>
    <w:p w14:paraId="7BDF9F06">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color w:val="auto"/>
          <w:sz w:val="24"/>
          <w:szCs w:val="24"/>
          <w:highlight w:val="none"/>
        </w:rPr>
        <w:t>（粘贴此处）</w:t>
      </w:r>
    </w:p>
    <w:p w14:paraId="3B5C7E52">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rPr>
        <w:t>注:参加磋商活动时被授权人将身份证原件带至开标现场备查。</w:t>
      </w:r>
    </w:p>
    <w:p w14:paraId="4499F4A3">
      <w:pPr>
        <w:keepNext w:val="0"/>
        <w:keepLines w:val="0"/>
        <w:pageBreakBefore w:val="0"/>
        <w:widowControl w:val="0"/>
        <w:kinsoku/>
        <w:wordWrap/>
        <w:topLinePunct w:val="0"/>
        <w:autoSpaceDE/>
        <w:autoSpaceDN/>
        <w:bidi w:val="0"/>
        <w:spacing w:line="360" w:lineRule="auto"/>
        <w:jc w:val="left"/>
        <w:rPr>
          <w:rFonts w:ascii="Times New Roman" w:hAnsi="Times New Roman" w:eastAsia="宋体" w:cs="宋体"/>
          <w:color w:val="auto"/>
          <w:sz w:val="24"/>
          <w:szCs w:val="24"/>
          <w:highlight w:val="none"/>
        </w:rPr>
      </w:pPr>
    </w:p>
    <w:p w14:paraId="294A71F8">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p>
    <w:p w14:paraId="28B6A7E0">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3、供应商符合《中华人民共和国政府采购法》第二十二条规定条件的声明函</w:t>
      </w:r>
    </w:p>
    <w:p w14:paraId="4C04BA76">
      <w:pPr>
        <w:keepNext w:val="0"/>
        <w:keepLines w:val="0"/>
        <w:pageBreakBefore w:val="0"/>
        <w:widowControl w:val="0"/>
        <w:kinsoku/>
        <w:wordWrap/>
        <w:topLinePunct w:val="0"/>
        <w:autoSpaceDE/>
        <w:autoSpaceDN/>
        <w:bidi w:val="0"/>
        <w:snapToGrid w:val="0"/>
        <w:spacing w:line="360" w:lineRule="auto"/>
        <w:rPr>
          <w:rFonts w:ascii="Times New Roman" w:hAnsi="Times New Roman" w:eastAsia="宋体" w:cs="Times New Roman"/>
          <w:color w:val="auto"/>
          <w:sz w:val="24"/>
          <w:szCs w:val="21"/>
          <w:highlight w:val="none"/>
          <w:u w:val="single"/>
        </w:rPr>
      </w:pPr>
    </w:p>
    <w:p w14:paraId="4ABC32A0">
      <w:pPr>
        <w:keepNext w:val="0"/>
        <w:keepLines w:val="0"/>
        <w:pageBreakBefore w:val="0"/>
        <w:widowControl w:val="0"/>
        <w:kinsoku/>
        <w:wordWrap/>
        <w:topLinePunct w:val="0"/>
        <w:autoSpaceDE/>
        <w:autoSpaceDN/>
        <w:bidi w:val="0"/>
        <w:snapToGrid w:val="0"/>
        <w:spacing w:line="360" w:lineRule="auto"/>
        <w:rPr>
          <w:rFonts w:ascii="Times New Roman" w:hAnsi="Times New Roman" w:eastAsia="宋体" w:cs="Times New Roman"/>
          <w:bCs/>
          <w:color w:val="auto"/>
          <w:sz w:val="24"/>
          <w:szCs w:val="21"/>
          <w:highlight w:val="none"/>
        </w:rPr>
      </w:pPr>
      <w:r>
        <w:rPr>
          <w:rFonts w:hint="eastAsia" w:ascii="Times New Roman" w:hAnsi="Times New Roman" w:eastAsia="宋体"/>
          <w:color w:val="auto"/>
          <w:sz w:val="24"/>
          <w:szCs w:val="24"/>
          <w:highlight w:val="none"/>
          <w:u w:val="single"/>
        </w:rPr>
        <w:t>南通市第三人民医院</w:t>
      </w:r>
      <w:r>
        <w:rPr>
          <w:rFonts w:ascii="Times New Roman" w:hAnsi="Times New Roman" w:eastAsia="宋体" w:cs="Times New Roman"/>
          <w:bCs/>
          <w:color w:val="auto"/>
          <w:sz w:val="24"/>
          <w:szCs w:val="21"/>
          <w:highlight w:val="none"/>
        </w:rPr>
        <w:t>：</w:t>
      </w:r>
    </w:p>
    <w:p w14:paraId="10272BC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b/>
          <w:bCs/>
          <w:color w:val="auto"/>
          <w:sz w:val="24"/>
          <w:szCs w:val="21"/>
          <w:highlight w:val="none"/>
        </w:rPr>
      </w:pPr>
      <w:r>
        <w:rPr>
          <w:rFonts w:hint="eastAsia" w:ascii="Times New Roman" w:hAnsi="Times New Roman" w:eastAsia="宋体" w:cs="Times New Roman"/>
          <w:bCs/>
          <w:color w:val="auto"/>
          <w:sz w:val="24"/>
          <w:szCs w:val="21"/>
          <w:highlight w:val="none"/>
        </w:rPr>
        <w:t>我单位参加</w:t>
      </w:r>
      <w:r>
        <w:rPr>
          <w:rFonts w:hint="eastAsia" w:ascii="Times New Roman" w:hAnsi="Times New Roman" w:eastAsia="宋体" w:cs="Times New Roman"/>
          <w:bCs/>
          <w:color w:val="auto"/>
          <w:sz w:val="24"/>
          <w:szCs w:val="21"/>
          <w:highlight w:val="none"/>
          <w:u w:val="single"/>
        </w:rPr>
        <w:t>________________ _</w:t>
      </w:r>
      <w:r>
        <w:rPr>
          <w:rFonts w:hint="eastAsia" w:ascii="Times New Roman" w:hAnsi="Times New Roman" w:eastAsia="宋体" w:cs="Times New Roman"/>
          <w:bCs/>
          <w:color w:val="auto"/>
          <w:sz w:val="24"/>
          <w:szCs w:val="21"/>
          <w:highlight w:val="none"/>
        </w:rPr>
        <w:t>（项目名称），</w:t>
      </w:r>
      <w:r>
        <w:rPr>
          <w:rFonts w:hint="eastAsia" w:ascii="Times New Roman" w:hAnsi="Times New Roman" w:eastAsia="宋体" w:cs="Times New Roman"/>
          <w:bCs/>
          <w:color w:val="auto"/>
          <w:sz w:val="24"/>
          <w:szCs w:val="21"/>
          <w:highlight w:val="none"/>
          <w:u w:val="single"/>
        </w:rPr>
        <w:t>_______ __________</w:t>
      </w:r>
      <w:r>
        <w:rPr>
          <w:rFonts w:hint="eastAsia" w:ascii="Times New Roman" w:hAnsi="Times New Roman" w:eastAsia="宋体" w:cs="Times New Roman"/>
          <w:bCs/>
          <w:color w:val="auto"/>
          <w:sz w:val="24"/>
          <w:szCs w:val="21"/>
          <w:highlight w:val="none"/>
        </w:rPr>
        <w:t>（项目编号）竞争性磋商活动。针对《中华人民共和国政府采购法》第二十二条规定做出如下声明：</w:t>
      </w:r>
    </w:p>
    <w:p w14:paraId="19EA956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bCs/>
          <w:color w:val="auto"/>
          <w:sz w:val="24"/>
          <w:szCs w:val="21"/>
          <w:highlight w:val="none"/>
        </w:rPr>
        <w:t>1.我单位具有独立承担民事责任的能力；</w:t>
      </w:r>
    </w:p>
    <w:p w14:paraId="1A785875">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2.我单位具有良好的商业信誉和健全的财务会计制度；</w:t>
      </w:r>
    </w:p>
    <w:p w14:paraId="31A8F422">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3.我单位具有履行合同所必需的设备和专业技术能力；</w:t>
      </w:r>
    </w:p>
    <w:p w14:paraId="19008713">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4.我单位有依法缴纳税收和社会保障资金的良好记录；</w:t>
      </w:r>
    </w:p>
    <w:p w14:paraId="0FCD5529">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color w:val="auto"/>
          <w:sz w:val="24"/>
          <w:szCs w:val="21"/>
          <w:highlight w:val="none"/>
        </w:rPr>
      </w:pPr>
      <w:r>
        <w:rPr>
          <w:rFonts w:hint="eastAsia" w:ascii="Times New Roman" w:hAnsi="Times New Roman" w:eastAsia="宋体" w:cs="Times New Roman"/>
          <w:color w:val="auto"/>
          <w:sz w:val="24"/>
          <w:szCs w:val="21"/>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rPr>
        <w:t>较大数额罚款</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rPr>
        <w:t>认定为200万元以上的罚款，法律、行政法规以及国务院有关部门明确规定相关领域</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rPr>
        <w:t>较大数额罚款</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rPr>
        <w:t>标准高于200万元的，从其规定。）</w:t>
      </w:r>
    </w:p>
    <w:p w14:paraId="768A4146">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Times New Roman"/>
          <w:bCs/>
          <w:color w:val="auto"/>
          <w:sz w:val="24"/>
          <w:szCs w:val="21"/>
          <w:highlight w:val="none"/>
        </w:rPr>
      </w:pPr>
      <w:r>
        <w:rPr>
          <w:rFonts w:hint="eastAsia" w:ascii="Times New Roman" w:hAnsi="Times New Roman" w:eastAsia="宋体" w:cs="Times New Roman"/>
          <w:color w:val="auto"/>
          <w:sz w:val="24"/>
          <w:szCs w:val="21"/>
          <w:highlight w:val="none"/>
        </w:rPr>
        <w:t>6.我单位满足法律、行政法规规定的其他条件。</w:t>
      </w:r>
    </w:p>
    <w:p w14:paraId="3E31EBA1">
      <w:pPr>
        <w:keepNext w:val="0"/>
        <w:keepLines w:val="0"/>
        <w:pageBreakBefore w:val="0"/>
        <w:widowControl w:val="0"/>
        <w:kinsoku/>
        <w:wordWrap/>
        <w:topLinePunct w:val="0"/>
        <w:autoSpaceDE/>
        <w:autoSpaceDN/>
        <w:bidi w:val="0"/>
        <w:spacing w:line="360" w:lineRule="auto"/>
        <w:rPr>
          <w:rFonts w:ascii="Times New Roman" w:hAnsi="Times New Roman" w:eastAsia="宋体" w:cs="Times New Roman"/>
          <w:color w:val="auto"/>
          <w:sz w:val="28"/>
          <w:szCs w:val="20"/>
          <w:highlight w:val="none"/>
        </w:rPr>
      </w:pPr>
    </w:p>
    <w:p w14:paraId="13453513">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p>
    <w:p w14:paraId="06041CA0">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供应商：（加盖公章）</w:t>
      </w:r>
    </w:p>
    <w:p w14:paraId="71726D70">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法定代表人或被授权人：（签字或盖章）</w:t>
      </w:r>
    </w:p>
    <w:p w14:paraId="58A40EDC">
      <w:pPr>
        <w:keepNext w:val="0"/>
        <w:keepLines w:val="0"/>
        <w:pageBreakBefore w:val="0"/>
        <w:widowControl w:val="0"/>
        <w:kinsoku/>
        <w:wordWrap/>
        <w:topLinePunct w:val="0"/>
        <w:autoSpaceDE/>
        <w:autoSpaceDN/>
        <w:bidi w:val="0"/>
        <w:spacing w:line="360" w:lineRule="auto"/>
        <w:ind w:firstLine="1320" w:firstLineChars="55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      月     日</w:t>
      </w:r>
    </w:p>
    <w:p w14:paraId="7B970FE0">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p>
    <w:p w14:paraId="1DC4C2D6">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s="Times New Roman"/>
          <w:b/>
          <w:color w:val="auto"/>
          <w:sz w:val="24"/>
          <w:szCs w:val="24"/>
          <w:highlight w:val="none"/>
        </w:rPr>
      </w:pPr>
      <w:r>
        <w:rPr>
          <w:rFonts w:hint="eastAsia" w:ascii="Times New Roman" w:hAnsi="Times New Roman" w:eastAsia="宋体"/>
          <w:b/>
          <w:color w:val="auto"/>
          <w:sz w:val="24"/>
          <w:szCs w:val="24"/>
          <w:highlight w:val="none"/>
        </w:rPr>
        <w:t>4、</w:t>
      </w:r>
      <w:r>
        <w:rPr>
          <w:rFonts w:hint="eastAsia" w:ascii="Times New Roman" w:hAnsi="Times New Roman" w:eastAsia="宋体" w:cs="Times New Roman"/>
          <w:b/>
          <w:color w:val="auto"/>
          <w:sz w:val="24"/>
          <w:szCs w:val="24"/>
          <w:highlight w:val="none"/>
        </w:rPr>
        <w:t>诚信承诺书</w:t>
      </w:r>
    </w:p>
    <w:p w14:paraId="4C039A2A">
      <w:pPr>
        <w:keepNext w:val="0"/>
        <w:keepLines w:val="0"/>
        <w:pageBreakBefore w:val="0"/>
        <w:widowControl w:val="0"/>
        <w:kinsoku/>
        <w:wordWrap/>
        <w:topLinePunct w:val="0"/>
        <w:autoSpaceDE/>
        <w:autoSpaceDN/>
        <w:bidi w:val="0"/>
        <w:spacing w:line="360" w:lineRule="auto"/>
        <w:rPr>
          <w:rFonts w:ascii="Times New Roman" w:hAnsi="Times New Roman" w:eastAsia="宋体" w:cs="Times New Roman"/>
          <w:color w:val="auto"/>
          <w:sz w:val="28"/>
          <w:szCs w:val="28"/>
          <w:highlight w:val="none"/>
          <w:u w:val="single"/>
        </w:rPr>
      </w:pPr>
      <w:r>
        <w:rPr>
          <w:rFonts w:ascii="Times New Roman" w:hAnsi="Times New Roman" w:eastAsia="宋体" w:cs="仿宋_GB2312"/>
          <w:color w:val="auto"/>
          <w:sz w:val="24"/>
          <w:szCs w:val="24"/>
          <w:highlight w:val="none"/>
          <w:u w:val="single"/>
        </w:rPr>
        <w:softHyphen/>
      </w:r>
      <w:r>
        <w:rPr>
          <w:rFonts w:hint="eastAsia" w:ascii="Times New Roman" w:hAnsi="Times New Roman" w:eastAsia="宋体" w:cs="仿宋_GB2312"/>
          <w:color w:val="auto"/>
          <w:sz w:val="24"/>
          <w:szCs w:val="24"/>
          <w:highlight w:val="none"/>
          <w:u w:val="single"/>
        </w:rPr>
        <w:t>______</w:t>
      </w:r>
      <w:r>
        <w:rPr>
          <w:rFonts w:hint="eastAsia" w:ascii="Times New Roman" w:hAnsi="Times New Roman" w:eastAsia="宋体" w:cs="宋体"/>
          <w:color w:val="auto"/>
          <w:sz w:val="24"/>
          <w:szCs w:val="24"/>
          <w:highlight w:val="none"/>
          <w:u w:val="single"/>
        </w:rPr>
        <w:t>：</w:t>
      </w:r>
    </w:p>
    <w:p w14:paraId="6D322D7F">
      <w:pPr>
        <w:keepNext w:val="0"/>
        <w:keepLines w:val="0"/>
        <w:pageBreakBefore w:val="0"/>
        <w:widowControl w:val="0"/>
        <w:kinsoku/>
        <w:wordWrap/>
        <w:topLinePunct w:val="0"/>
        <w:autoSpaceDE/>
        <w:autoSpaceDN/>
        <w:bidi w:val="0"/>
        <w:spacing w:line="360" w:lineRule="auto"/>
        <w:ind w:firstLine="480" w:firstLineChars="200"/>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我单位在参加贵单位组织的</w:t>
      </w:r>
      <w:r>
        <w:rPr>
          <w:rFonts w:hint="eastAsia" w:ascii="Times New Roman" w:hAnsi="Times New Roman" w:eastAsia="宋体" w:cs="宋体"/>
          <w:color w:val="auto"/>
          <w:sz w:val="24"/>
          <w:szCs w:val="24"/>
          <w:highlight w:val="none"/>
          <w:u w:val="single"/>
        </w:rPr>
        <w:t xml:space="preserve">     项目</w:t>
      </w:r>
      <w:r>
        <w:rPr>
          <w:rFonts w:hint="eastAsia" w:ascii="Times New Roman" w:hAnsi="Times New Roman" w:eastAsia="宋体" w:cs="宋体"/>
          <w:color w:val="auto"/>
          <w:sz w:val="24"/>
          <w:szCs w:val="24"/>
          <w:highlight w:val="none"/>
        </w:rPr>
        <w:t>的招投标活动中，郑重承诺如下：</w:t>
      </w:r>
    </w:p>
    <w:p w14:paraId="4FC44F01">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1、我方申报的所有资料都是真实、准确、完整的；</w:t>
      </w:r>
    </w:p>
    <w:p w14:paraId="1E8C5343">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2、我方无资质挂靠或参与串标、围标、及抬标情形；</w:t>
      </w:r>
    </w:p>
    <w:p w14:paraId="58D22709">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3、我方没有被各级行政主管部门做出停止市场行为的处罚；</w:t>
      </w:r>
    </w:p>
    <w:p w14:paraId="445D7093">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4、若我方中标，将严格按照规定及时与招标单位签订合同；</w:t>
      </w:r>
    </w:p>
    <w:p w14:paraId="5D33C2DC">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5、若我方中标，将严格按照投标文件所承诺的报价、质量、供货期等内容组织实施；</w:t>
      </w:r>
    </w:p>
    <w:p w14:paraId="40DBAAF4">
      <w:pPr>
        <w:keepNext w:val="0"/>
        <w:keepLines w:val="0"/>
        <w:pageBreakBefore w:val="0"/>
        <w:widowControl w:val="0"/>
        <w:kinsoku/>
        <w:wordWrap/>
        <w:topLinePunct w:val="0"/>
        <w:autoSpaceDE/>
        <w:autoSpaceDN/>
        <w:bidi w:val="0"/>
        <w:spacing w:line="360" w:lineRule="auto"/>
        <w:ind w:firstLine="480"/>
        <w:textAlignment w:val="baseline"/>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若我方违反上述承诺，隐瞒、提供虚假资料或不按投标文件要求组织实施，被贵方发现或被他人举报查实，无条件接受有关行政监督部门做出的取消投标资格、中标资格、没收</w:t>
      </w:r>
      <w:r>
        <w:rPr>
          <w:rFonts w:hint="eastAsia" w:ascii="Times New Roman" w:hAnsi="Times New Roman" w:eastAsia="宋体" w:cs="宋体"/>
          <w:color w:val="auto"/>
          <w:sz w:val="24"/>
          <w:szCs w:val="24"/>
          <w:highlight w:val="none"/>
          <w:lang w:eastAsia="zh-CN"/>
        </w:rPr>
        <w:t>磋商</w:t>
      </w:r>
      <w:r>
        <w:rPr>
          <w:rFonts w:hint="eastAsia" w:ascii="Times New Roman" w:hAnsi="Times New Roman" w:eastAsia="宋体" w:cs="宋体"/>
          <w:color w:val="auto"/>
          <w:sz w:val="24"/>
          <w:szCs w:val="24"/>
          <w:highlight w:val="none"/>
        </w:rPr>
        <w:t>保证金、不良行为记录、限制其一定期限内投标资格等处罚。对造成的损失，任何法律和经济责任完全由我方负责。</w:t>
      </w:r>
    </w:p>
    <w:p w14:paraId="10CA0CFA">
      <w:pPr>
        <w:keepNext w:val="0"/>
        <w:keepLines w:val="0"/>
        <w:pageBreakBefore w:val="0"/>
        <w:widowControl w:val="0"/>
        <w:kinsoku/>
        <w:wordWrap/>
        <w:topLinePunct w:val="0"/>
        <w:autoSpaceDE/>
        <w:autoSpaceDN/>
        <w:bidi w:val="0"/>
        <w:spacing w:line="360" w:lineRule="auto"/>
        <w:ind w:firstLine="560" w:firstLineChars="200"/>
        <w:rPr>
          <w:rFonts w:ascii="Times New Roman" w:hAnsi="Times New Roman" w:eastAsia="宋体" w:cs="宋体"/>
          <w:bCs/>
          <w:color w:val="auto"/>
          <w:sz w:val="28"/>
          <w:szCs w:val="28"/>
          <w:highlight w:val="none"/>
        </w:rPr>
      </w:pPr>
    </w:p>
    <w:p w14:paraId="0E306E57">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eastAsia="zh-CN"/>
        </w:rPr>
        <w:t>响应</w:t>
      </w:r>
      <w:r>
        <w:rPr>
          <w:rFonts w:hint="eastAsia" w:ascii="Times New Roman" w:hAnsi="Times New Roman" w:eastAsia="宋体" w:cs="宋体"/>
          <w:color w:val="auto"/>
          <w:sz w:val="24"/>
          <w:szCs w:val="24"/>
          <w:highlight w:val="none"/>
        </w:rPr>
        <w:t>供应商：（加盖公章）</w:t>
      </w:r>
    </w:p>
    <w:p w14:paraId="1C2E8793">
      <w:pPr>
        <w:keepNext w:val="0"/>
        <w:keepLines w:val="0"/>
        <w:pageBreakBefore w:val="0"/>
        <w:widowControl w:val="0"/>
        <w:kinsoku/>
        <w:wordWrap/>
        <w:topLinePunct w:val="0"/>
        <w:autoSpaceDE/>
        <w:autoSpaceDN/>
        <w:bidi w:val="0"/>
        <w:spacing w:line="360" w:lineRule="auto"/>
        <w:ind w:firstLine="480" w:firstLineChars="200"/>
        <w:jc w:val="right"/>
        <w:rPr>
          <w:rFonts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法定代表人或被授权人：（签字或盖章）</w:t>
      </w:r>
    </w:p>
    <w:p w14:paraId="06093B84">
      <w:pPr>
        <w:keepNext w:val="0"/>
        <w:keepLines w:val="0"/>
        <w:pageBreakBefore w:val="0"/>
        <w:widowControl w:val="0"/>
        <w:kinsoku/>
        <w:wordWrap/>
        <w:topLinePunct w:val="0"/>
        <w:autoSpaceDE/>
        <w:autoSpaceDN/>
        <w:bidi w:val="0"/>
        <w:spacing w:line="360" w:lineRule="auto"/>
        <w:ind w:firstLine="1320" w:firstLineChars="550"/>
        <w:jc w:val="right"/>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年      月     日</w:t>
      </w:r>
    </w:p>
    <w:p w14:paraId="3ED19012">
      <w:pPr>
        <w:rPr>
          <w:rFonts w:hint="eastAsia" w:ascii="Times New Roman" w:hAnsi="Times New Roman" w:eastAsia="宋体"/>
          <w:color w:val="auto"/>
          <w:highlight w:val="none"/>
        </w:rPr>
      </w:pPr>
      <w:r>
        <w:rPr>
          <w:rFonts w:hint="eastAsia" w:ascii="Times New Roman" w:hAnsi="Times New Roman" w:eastAsia="宋体" w:cs="宋体"/>
          <w:color w:val="auto"/>
          <w:sz w:val="24"/>
          <w:szCs w:val="24"/>
          <w:highlight w:val="none"/>
        </w:rPr>
        <w:br w:type="page"/>
      </w:r>
    </w:p>
    <w:p w14:paraId="7EB8E42F">
      <w:pPr>
        <w:spacing w:before="240" w:line="312" w:lineRule="auto"/>
        <w:jc w:val="center"/>
        <w:rPr>
          <w:b/>
          <w:color w:val="auto"/>
          <w:sz w:val="24"/>
          <w:szCs w:val="24"/>
          <w:highlight w:val="none"/>
        </w:rPr>
      </w:pPr>
      <w:r>
        <w:rPr>
          <w:rFonts w:hint="eastAsia" w:eastAsia="宋体"/>
          <w:b/>
          <w:color w:val="auto"/>
          <w:sz w:val="24"/>
          <w:szCs w:val="24"/>
          <w:highlight w:val="none"/>
          <w:lang w:val="en-US" w:eastAsia="zh-CN"/>
        </w:rPr>
        <w:t>5</w:t>
      </w:r>
      <w:r>
        <w:rPr>
          <w:rFonts w:hint="eastAsia"/>
          <w:b/>
          <w:color w:val="auto"/>
          <w:sz w:val="24"/>
          <w:szCs w:val="24"/>
          <w:highlight w:val="none"/>
        </w:rPr>
        <w:t>、现场勘察承诺函</w:t>
      </w:r>
    </w:p>
    <w:p w14:paraId="343D7568">
      <w:pPr>
        <w:pStyle w:val="71"/>
        <w:adjustRightInd w:val="0"/>
        <w:snapToGrid w:val="0"/>
        <w:spacing w:line="520" w:lineRule="exact"/>
        <w:ind w:firstLine="480" w:firstLineChars="200"/>
        <w:contextualSpacing/>
        <w:rPr>
          <w:rFonts w:ascii="宋体" w:eastAsia="宋体" w:cs="宋体"/>
          <w:color w:val="auto"/>
          <w:sz w:val="24"/>
          <w:szCs w:val="24"/>
          <w:highlight w:val="none"/>
        </w:rPr>
      </w:pPr>
      <w:r>
        <w:rPr>
          <w:rFonts w:hint="eastAsia" w:ascii="宋体" w:eastAsia="宋体" w:cs="宋体"/>
          <w:color w:val="auto"/>
          <w:sz w:val="24"/>
          <w:szCs w:val="24"/>
          <w:highlight w:val="none"/>
        </w:rPr>
        <w:t>依据贵单位</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项目磋商文件的要求。我方已于</w:t>
      </w:r>
      <w:r>
        <w:rPr>
          <w:rFonts w:hint="eastAsia" w:ascii="宋体" w:eastAsia="宋体" w:cs="宋体"/>
          <w:color w:val="auto"/>
          <w:sz w:val="24"/>
          <w:szCs w:val="24"/>
          <w:highlight w:val="none"/>
          <w:u w:val="single"/>
        </w:rPr>
        <w:t xml:space="preserve">         月             日</w:t>
      </w:r>
      <w:r>
        <w:rPr>
          <w:rFonts w:hint="eastAsia" w:ascii="宋体" w:eastAsia="宋体" w:cs="宋体"/>
          <w:color w:val="auto"/>
          <w:sz w:val="24"/>
          <w:szCs w:val="24"/>
          <w:highlight w:val="none"/>
        </w:rPr>
        <w:t>对该项目进行了现场勘察，现就现场勘察情况作如下承诺：</w:t>
      </w:r>
    </w:p>
    <w:p w14:paraId="732210D4">
      <w:pPr>
        <w:pStyle w:val="71"/>
        <w:adjustRightInd w:val="0"/>
        <w:snapToGrid w:val="0"/>
        <w:spacing w:line="520" w:lineRule="exact"/>
        <w:ind w:firstLine="480" w:firstLineChars="200"/>
        <w:contextualSpacing/>
        <w:rPr>
          <w:rFonts w:ascii="宋体" w:eastAsia="宋体" w:cs="宋体"/>
          <w:color w:val="auto"/>
          <w:sz w:val="24"/>
          <w:szCs w:val="24"/>
          <w:highlight w:val="none"/>
        </w:rPr>
      </w:pPr>
      <w:r>
        <w:rPr>
          <w:rFonts w:hint="eastAsia" w:ascii="宋体" w:eastAsia="宋体" w:cs="宋体"/>
          <w:color w:val="auto"/>
          <w:sz w:val="24"/>
          <w:szCs w:val="24"/>
          <w:highlight w:val="none"/>
        </w:rPr>
        <w:t>1、经现场勘察，我方已熟悉与该项目相关的现场、施工环境、现场周围交通道路等所有情况。</w:t>
      </w:r>
    </w:p>
    <w:p w14:paraId="3F535726">
      <w:pPr>
        <w:pStyle w:val="71"/>
        <w:adjustRightInd w:val="0"/>
        <w:snapToGrid w:val="0"/>
        <w:spacing w:line="520" w:lineRule="exact"/>
        <w:ind w:firstLine="480" w:firstLineChars="200"/>
        <w:contextualSpacing/>
        <w:rPr>
          <w:rFonts w:ascii="宋体" w:eastAsia="宋体" w:cs="宋体"/>
          <w:color w:val="auto"/>
          <w:sz w:val="24"/>
          <w:szCs w:val="24"/>
          <w:highlight w:val="none"/>
        </w:rPr>
      </w:pPr>
      <w:r>
        <w:rPr>
          <w:rFonts w:hint="eastAsia" w:ascii="宋体" w:eastAsia="宋体" w:cs="宋体"/>
          <w:color w:val="auto"/>
          <w:sz w:val="24"/>
          <w:szCs w:val="24"/>
          <w:highlight w:val="none"/>
        </w:rPr>
        <w:t>2、我方承诺自行承担本次现场勘察所发生的所有费用并承担勘察现场的相关责任和风险。</w:t>
      </w:r>
    </w:p>
    <w:p w14:paraId="0608A1D1">
      <w:pPr>
        <w:pStyle w:val="71"/>
        <w:adjustRightInd w:val="0"/>
        <w:snapToGrid w:val="0"/>
        <w:spacing w:line="520" w:lineRule="exact"/>
        <w:ind w:firstLine="480" w:firstLineChars="200"/>
        <w:contextualSpacing/>
        <w:rPr>
          <w:rFonts w:ascii="宋体" w:eastAsia="宋体" w:cs="宋体"/>
          <w:color w:val="auto"/>
          <w:sz w:val="24"/>
          <w:szCs w:val="24"/>
          <w:highlight w:val="none"/>
        </w:rPr>
      </w:pPr>
      <w:r>
        <w:rPr>
          <w:rFonts w:hint="eastAsia" w:ascii="宋体" w:eastAsia="宋体" w:cs="宋体"/>
          <w:color w:val="auto"/>
          <w:sz w:val="24"/>
          <w:szCs w:val="24"/>
          <w:highlight w:val="none"/>
        </w:rPr>
        <w:t>3、我方承诺在任何情况下均不以不完全了解现场情况为理由而向采购人提出任何索赔的要求。</w:t>
      </w:r>
    </w:p>
    <w:p w14:paraId="3FC8F77B">
      <w:pPr>
        <w:pStyle w:val="71"/>
        <w:adjustRightInd w:val="0"/>
        <w:snapToGrid w:val="0"/>
        <w:spacing w:line="520" w:lineRule="exact"/>
        <w:ind w:firstLine="480" w:firstLineChars="200"/>
        <w:contextualSpacing/>
        <w:rPr>
          <w:rFonts w:ascii="宋体" w:eastAsia="宋体" w:cs="宋体"/>
          <w:color w:val="auto"/>
          <w:sz w:val="24"/>
          <w:szCs w:val="24"/>
          <w:highlight w:val="none"/>
        </w:rPr>
      </w:pPr>
    </w:p>
    <w:p w14:paraId="6F0F6A96">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采购方代表签字：</w:t>
      </w:r>
      <w:r>
        <w:rPr>
          <w:rFonts w:hint="eastAsia" w:ascii="宋体" w:hAnsi="宋体" w:cs="宋体"/>
          <w:color w:val="auto"/>
          <w:sz w:val="24"/>
          <w:szCs w:val="24"/>
          <w:highlight w:val="none"/>
          <w:u w:val="single"/>
        </w:rPr>
        <w:t xml:space="preserve">                     （必须经采购方签字或盖章，否则作无效响应处理）</w:t>
      </w:r>
    </w:p>
    <w:p w14:paraId="76FDEE0E">
      <w:pPr>
        <w:snapToGrid w:val="0"/>
        <w:spacing w:line="520" w:lineRule="exact"/>
        <w:jc w:val="right"/>
        <w:rPr>
          <w:rFonts w:ascii="宋体" w:hAnsi="宋体" w:cs="宋体"/>
          <w:color w:val="auto"/>
          <w:sz w:val="24"/>
          <w:szCs w:val="24"/>
          <w:highlight w:val="none"/>
        </w:rPr>
      </w:pPr>
    </w:p>
    <w:p w14:paraId="3D38C93D">
      <w:pPr>
        <w:snapToGrid w:val="0"/>
        <w:spacing w:line="520" w:lineRule="exact"/>
        <w:jc w:val="right"/>
        <w:rPr>
          <w:rFonts w:ascii="宋体" w:hAnsi="宋体" w:cs="宋体"/>
          <w:color w:val="auto"/>
          <w:sz w:val="24"/>
          <w:szCs w:val="24"/>
          <w:highlight w:val="none"/>
        </w:rPr>
      </w:pPr>
    </w:p>
    <w:p w14:paraId="03470A53">
      <w:pPr>
        <w:snapToGrid w:val="0"/>
        <w:spacing w:line="5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供应商</w:t>
      </w:r>
      <w:r>
        <w:rPr>
          <w:rFonts w:hint="eastAsia" w:ascii="宋体" w:hAnsi="宋体" w:cs="宋体"/>
          <w:bCs/>
          <w:color w:val="auto"/>
          <w:sz w:val="24"/>
          <w:szCs w:val="24"/>
          <w:highlight w:val="none"/>
        </w:rPr>
        <w:t xml:space="preserve">： </w:t>
      </w:r>
      <w:r>
        <w:rPr>
          <w:rFonts w:hint="eastAsia" w:ascii="宋体" w:hAnsi="宋体" w:cs="宋体"/>
          <w:color w:val="auto"/>
          <w:sz w:val="24"/>
          <w:szCs w:val="24"/>
          <w:highlight w:val="none"/>
        </w:rPr>
        <w:t>（加盖公章）</w:t>
      </w:r>
    </w:p>
    <w:p w14:paraId="247FC337">
      <w:pPr>
        <w:snapToGrid w:val="0"/>
        <w:spacing w:line="520" w:lineRule="exact"/>
        <w:ind w:firstLine="2400" w:firstLineChars="1000"/>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法定代表人或被授权人：（签字或盖章）</w:t>
      </w:r>
    </w:p>
    <w:p w14:paraId="1869CFE9">
      <w:pPr>
        <w:snapToGrid w:val="0"/>
        <w:spacing w:line="520" w:lineRule="exact"/>
        <w:jc w:val="right"/>
        <w:rPr>
          <w:rFonts w:ascii="宋体" w:hAnsi="宋体" w:cs="宋体"/>
          <w:color w:val="auto"/>
          <w:sz w:val="24"/>
          <w:szCs w:val="24"/>
          <w:highlight w:val="none"/>
        </w:rPr>
      </w:pPr>
      <w:r>
        <w:rPr>
          <w:rFonts w:hint="eastAsia" w:ascii="宋体" w:hAnsi="宋体" w:cs="宋体"/>
          <w:color w:val="auto"/>
          <w:sz w:val="24"/>
          <w:szCs w:val="24"/>
          <w:highlight w:val="none"/>
        </w:rPr>
        <w:t xml:space="preserve"> 年      月     日</w:t>
      </w:r>
    </w:p>
    <w:p w14:paraId="62769C5F">
      <w:pPr>
        <w:pStyle w:val="43"/>
        <w:rPr>
          <w:color w:val="auto"/>
          <w:highlight w:val="none"/>
        </w:rPr>
      </w:pPr>
    </w:p>
    <w:p w14:paraId="03D5D71C">
      <w:pPr>
        <w:rPr>
          <w:rFonts w:hint="eastAsia" w:ascii="Times New Roman" w:hAnsi="Times New Roman" w:eastAsia="宋体" w:cs="宋体"/>
          <w:b/>
          <w:bCs/>
          <w:color w:val="auto"/>
          <w:sz w:val="24"/>
          <w:szCs w:val="24"/>
          <w:highlight w:val="none"/>
          <w:lang w:val="en-US" w:eastAsia="zh-CN"/>
        </w:rPr>
      </w:pPr>
    </w:p>
    <w:p w14:paraId="030B8FD7">
      <w:pPr>
        <w:rPr>
          <w:rFonts w:hint="eastAsia" w:ascii="Times New Roman" w:hAnsi="Times New Roman" w:eastAsia="宋体" w:cs="宋体"/>
          <w:b/>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br w:type="page"/>
      </w:r>
    </w:p>
    <w:p w14:paraId="49A9F47F">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s="宋体"/>
          <w:b/>
          <w:bCs/>
          <w:color w:val="auto"/>
          <w:sz w:val="24"/>
          <w:szCs w:val="24"/>
          <w:highlight w:val="none"/>
        </w:rPr>
      </w:pPr>
      <w:r>
        <w:rPr>
          <w:rFonts w:hint="eastAsia" w:ascii="Times New Roman" w:hAnsi="Times New Roman" w:eastAsia="宋体" w:cs="宋体"/>
          <w:b/>
          <w:bCs/>
          <w:color w:val="auto"/>
          <w:sz w:val="24"/>
          <w:szCs w:val="24"/>
          <w:highlight w:val="none"/>
          <w:lang w:val="en-US" w:eastAsia="zh-CN"/>
        </w:rPr>
        <w:t>6</w:t>
      </w:r>
      <w:r>
        <w:rPr>
          <w:rFonts w:hint="eastAsia" w:ascii="Times New Roman" w:hAnsi="Times New Roman" w:eastAsia="宋体" w:cs="宋体"/>
          <w:b/>
          <w:bCs/>
          <w:color w:val="auto"/>
          <w:sz w:val="24"/>
          <w:szCs w:val="24"/>
          <w:highlight w:val="none"/>
        </w:rPr>
        <w:t>、竞争性磋商响应函</w:t>
      </w:r>
    </w:p>
    <w:p w14:paraId="41CFE15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u w:val="single"/>
        </w:rPr>
        <w:t>南通市第三人民医院</w:t>
      </w:r>
      <w:r>
        <w:rPr>
          <w:rFonts w:hint="eastAsia" w:ascii="Times New Roman" w:hAnsi="Times New Roman" w:eastAsia="宋体" w:cs="宋体"/>
          <w:color w:val="auto"/>
          <w:sz w:val="24"/>
          <w:szCs w:val="24"/>
          <w:highlight w:val="none"/>
        </w:rPr>
        <w:t>：</w:t>
      </w:r>
    </w:p>
    <w:p w14:paraId="64E039D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依据贵单位委托代理机构组织的（磋商项目名称)项目竞争性磋商的邀请，我方授权</w:t>
      </w:r>
      <w:r>
        <w:rPr>
          <w:rFonts w:hint="eastAsia" w:ascii="Times New Roman" w:hAnsi="Times New Roman" w:eastAsia="宋体"/>
          <w:color w:val="auto"/>
          <w:sz w:val="24"/>
          <w:szCs w:val="24"/>
          <w:highlight w:val="none"/>
          <w:u w:val="single"/>
        </w:rPr>
        <w:t>（姓名）（职务）为</w:t>
      </w:r>
      <w:r>
        <w:rPr>
          <w:rFonts w:hint="eastAsia" w:ascii="Times New Roman" w:hAnsi="Times New Roman" w:eastAsia="宋体"/>
          <w:color w:val="auto"/>
          <w:sz w:val="24"/>
          <w:szCs w:val="24"/>
          <w:highlight w:val="none"/>
        </w:rPr>
        <w:t>全权代表参加该项目的磋商工作，全权处理本次竞争性磋商的有关事宜。同时，我公司声明如下：</w:t>
      </w:r>
    </w:p>
    <w:p w14:paraId="51FBA21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1、同意并接受竞争性磋商文件的各项要求，遵守竞争性磋商文件中的各项规定，按竞争性磋商文件的要求提供报价。</w:t>
      </w:r>
    </w:p>
    <w:p w14:paraId="6C6A61CF">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2、我公司已经详细阅读了竞争性磋商文件的全部内容，我方已完全清晰理解竞争性磋商文件的要求，不存在任何含糊不清和误解之处，同意放弃对竞争性磋商文件所表述的内容提出异议和质疑的权利。</w:t>
      </w:r>
    </w:p>
    <w:p w14:paraId="1F3D4B6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3、我公司已毫无保留地向贵方提供一切所需的证明材料。</w:t>
      </w:r>
    </w:p>
    <w:p w14:paraId="1CD14FA5">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4、我公司承诺在本次磋商响应中提供的一切文件，无论是原件还是复印件均真实有效，绝无任何虚假、伪造和夸大的成份。否则，愿承担相应的后果和法律责任。</w:t>
      </w:r>
    </w:p>
    <w:p w14:paraId="67F4F442">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b/>
          <w:color w:val="auto"/>
          <w:sz w:val="24"/>
          <w:szCs w:val="24"/>
          <w:highlight w:val="none"/>
        </w:rPr>
      </w:pPr>
      <w:r>
        <w:rPr>
          <w:rFonts w:hint="eastAsia" w:ascii="Times New Roman" w:hAnsi="Times New Roman" w:eastAsia="宋体"/>
          <w:color w:val="auto"/>
          <w:sz w:val="24"/>
          <w:szCs w:val="24"/>
          <w:highlight w:val="none"/>
        </w:rPr>
        <w:t>5、</w:t>
      </w:r>
      <w:r>
        <w:rPr>
          <w:rFonts w:hint="eastAsia" w:ascii="Times New Roman" w:hAnsi="Times New Roman" w:eastAsia="宋体"/>
          <w:b/>
          <w:color w:val="auto"/>
          <w:sz w:val="24"/>
          <w:szCs w:val="24"/>
          <w:highlight w:val="none"/>
        </w:rPr>
        <w:t>我公司尊重磋商小组所作的评定结果，同时清楚理解到报价最低并非意味着必定获得成交资格。</w:t>
      </w:r>
    </w:p>
    <w:p w14:paraId="58857AFC">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6</w:t>
      </w:r>
      <w:r>
        <w:rPr>
          <w:rFonts w:hint="eastAsia" w:ascii="Times New Roman" w:hAnsi="Times New Roman" w:eastAsia="宋体"/>
          <w:color w:val="auto"/>
          <w:sz w:val="24"/>
          <w:szCs w:val="24"/>
          <w:highlight w:val="none"/>
        </w:rPr>
        <w:t>、一旦成交，我方承诺无正当理由拒绝签订合同，将被贵方取消成交资格，同意贵方将磋商保证金作为违约金全额不予退还的处理。</w:t>
      </w:r>
    </w:p>
    <w:p w14:paraId="308FC1E6">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7</w:t>
      </w:r>
      <w:r>
        <w:rPr>
          <w:rFonts w:hint="eastAsia" w:ascii="Times New Roman" w:hAnsi="Times New Roman" w:eastAsia="宋体"/>
          <w:color w:val="auto"/>
          <w:sz w:val="24"/>
          <w:szCs w:val="24"/>
          <w:highlight w:val="none"/>
        </w:rPr>
        <w:t>、</w:t>
      </w:r>
      <w:r>
        <w:rPr>
          <w:rFonts w:hint="eastAsia" w:ascii="Times New Roman" w:hAnsi="Times New Roman" w:eastAsia="宋体"/>
          <w:b/>
          <w:color w:val="auto"/>
          <w:sz w:val="24"/>
          <w:szCs w:val="24"/>
          <w:highlight w:val="none"/>
        </w:rPr>
        <w:t>一旦成交，我方将根据竞争性磋商文件的规定，严格履行合同规定的责任和义务，并保证在竞争性磋商文件中规定的时间期限内完成合同项目。</w:t>
      </w:r>
    </w:p>
    <w:p w14:paraId="5EEBBD7C">
      <w:pPr>
        <w:keepNext w:val="0"/>
        <w:keepLines w:val="0"/>
        <w:pageBreakBefore w:val="0"/>
        <w:widowControl w:val="0"/>
        <w:kinsoku/>
        <w:wordWrap/>
        <w:topLinePunct w:val="0"/>
        <w:autoSpaceDE/>
        <w:autoSpaceDN/>
        <w:bidi w:val="0"/>
        <w:spacing w:line="360" w:lineRule="auto"/>
        <w:ind w:firstLine="2760" w:firstLineChars="1150"/>
        <w:textAlignment w:val="baseline"/>
        <w:rPr>
          <w:rFonts w:ascii="Times New Roman" w:hAnsi="Times New Roman" w:eastAsia="宋体"/>
          <w:color w:val="auto"/>
          <w:sz w:val="24"/>
          <w:szCs w:val="24"/>
          <w:highlight w:val="none"/>
        </w:rPr>
      </w:pPr>
    </w:p>
    <w:p w14:paraId="2D5797B5">
      <w:pPr>
        <w:keepNext w:val="0"/>
        <w:keepLines w:val="0"/>
        <w:pageBreakBefore w:val="0"/>
        <w:widowControl w:val="0"/>
        <w:kinsoku/>
        <w:wordWrap/>
        <w:topLinePunct w:val="0"/>
        <w:autoSpaceDE/>
        <w:autoSpaceDN/>
        <w:bidi w:val="0"/>
        <w:spacing w:line="360" w:lineRule="auto"/>
        <w:ind w:firstLine="2760" w:firstLineChars="115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竞争性磋商响应单位：（加盖公章）</w:t>
      </w:r>
    </w:p>
    <w:p w14:paraId="5F1E5940">
      <w:pPr>
        <w:keepNext w:val="0"/>
        <w:keepLines w:val="0"/>
        <w:pageBreakBefore w:val="0"/>
        <w:widowControl w:val="0"/>
        <w:kinsoku/>
        <w:wordWrap/>
        <w:topLinePunct w:val="0"/>
        <w:autoSpaceDE/>
        <w:autoSpaceDN/>
        <w:bidi w:val="0"/>
        <w:spacing w:line="360" w:lineRule="auto"/>
        <w:ind w:firstLine="3600" w:firstLineChars="15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法定代表人：（签字或盖章）</w:t>
      </w:r>
    </w:p>
    <w:p w14:paraId="080E7D08">
      <w:pPr>
        <w:keepNext w:val="0"/>
        <w:keepLines w:val="0"/>
        <w:pageBreakBefore w:val="0"/>
        <w:widowControl w:val="0"/>
        <w:kinsoku/>
        <w:wordWrap/>
        <w:topLinePunct w:val="0"/>
        <w:autoSpaceDE/>
        <w:autoSpaceDN/>
        <w:bidi w:val="0"/>
        <w:spacing w:line="360" w:lineRule="auto"/>
        <w:ind w:firstLine="6840" w:firstLineChars="285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年月日</w:t>
      </w:r>
    </w:p>
    <w:p w14:paraId="29FDDB08">
      <w:pPr>
        <w:rPr>
          <w:rFonts w:hint="eastAsia" w:ascii="Times New Roman" w:hAnsi="Times New Roman" w:eastAsia="宋体"/>
          <w:b/>
          <w:color w:val="auto"/>
          <w:sz w:val="24"/>
          <w:szCs w:val="24"/>
          <w:highlight w:val="none"/>
          <w:lang w:val="en-US" w:eastAsia="zh-CN"/>
        </w:rPr>
      </w:pPr>
    </w:p>
    <w:p w14:paraId="0B0F1166">
      <w:pPr>
        <w:rPr>
          <w:rFonts w:hint="eastAsia" w:ascii="Times New Roman" w:hAnsi="Times New Roman" w:eastAsia="宋体"/>
          <w:b/>
          <w:color w:val="auto"/>
          <w:sz w:val="24"/>
          <w:szCs w:val="24"/>
          <w:highlight w:val="none"/>
          <w:lang w:val="en-US" w:eastAsia="zh-CN"/>
        </w:rPr>
      </w:pPr>
      <w:r>
        <w:rPr>
          <w:rFonts w:hint="eastAsia" w:ascii="Times New Roman" w:hAnsi="Times New Roman" w:eastAsia="宋体"/>
          <w:b/>
          <w:color w:val="auto"/>
          <w:sz w:val="24"/>
          <w:szCs w:val="24"/>
          <w:highlight w:val="none"/>
          <w:lang w:val="en-US" w:eastAsia="zh-CN"/>
        </w:rPr>
        <w:br w:type="page"/>
      </w:r>
    </w:p>
    <w:p w14:paraId="5EFC8A36">
      <w:pPr>
        <w:jc w:val="center"/>
        <w:rPr>
          <w:rFonts w:ascii="Times New Roman" w:hAnsi="Times New Roman" w:cs="宋体"/>
          <w:b/>
          <w:color w:val="auto"/>
          <w:sz w:val="24"/>
          <w:szCs w:val="24"/>
          <w:highlight w:val="none"/>
        </w:rPr>
      </w:pPr>
      <w:r>
        <w:rPr>
          <w:rFonts w:hint="eastAsia" w:ascii="Times New Roman" w:hAnsi="Times New Roman"/>
          <w:b/>
          <w:color w:val="auto"/>
          <w:sz w:val="24"/>
          <w:szCs w:val="24"/>
          <w:highlight w:val="none"/>
          <w:lang w:val="en-US" w:eastAsia="zh-CN"/>
        </w:rPr>
        <w:t>7</w:t>
      </w:r>
      <w:r>
        <w:rPr>
          <w:rFonts w:hint="eastAsia" w:ascii="Times New Roman" w:hAnsi="Times New Roman"/>
          <w:b/>
          <w:color w:val="auto"/>
          <w:sz w:val="24"/>
          <w:szCs w:val="24"/>
          <w:highlight w:val="none"/>
        </w:rPr>
        <w:t>、</w:t>
      </w:r>
      <w:r>
        <w:rPr>
          <w:rFonts w:ascii="Times New Roman" w:hAnsi="Times New Roman"/>
          <w:b/>
          <w:bCs/>
          <w:color w:val="auto"/>
          <w:sz w:val="24"/>
          <w:szCs w:val="24"/>
          <w:highlight w:val="none"/>
        </w:rPr>
        <w:t>供应商一般情况表</w:t>
      </w:r>
    </w:p>
    <w:tbl>
      <w:tblPr>
        <w:tblStyle w:val="25"/>
        <w:tblW w:w="0" w:type="auto"/>
        <w:jc w:val="center"/>
        <w:tblLayout w:type="fixed"/>
        <w:tblCellMar>
          <w:top w:w="0" w:type="dxa"/>
          <w:left w:w="108" w:type="dxa"/>
          <w:bottom w:w="0" w:type="dxa"/>
          <w:right w:w="108" w:type="dxa"/>
        </w:tblCellMar>
      </w:tblPr>
      <w:tblGrid>
        <w:gridCol w:w="2235"/>
        <w:gridCol w:w="708"/>
        <w:gridCol w:w="851"/>
        <w:gridCol w:w="849"/>
        <w:gridCol w:w="568"/>
        <w:gridCol w:w="1307"/>
        <w:gridCol w:w="159"/>
        <w:gridCol w:w="1320"/>
        <w:gridCol w:w="1467"/>
      </w:tblGrid>
      <w:tr w14:paraId="040A215F">
        <w:tblPrEx>
          <w:tblCellMar>
            <w:top w:w="0" w:type="dxa"/>
            <w:left w:w="108" w:type="dxa"/>
            <w:bottom w:w="0" w:type="dxa"/>
            <w:right w:w="108" w:type="dxa"/>
          </w:tblCellMar>
        </w:tblPrEx>
        <w:trPr>
          <w:cantSplit/>
          <w:trHeight w:val="286"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0997F416">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企业名称</w:t>
            </w:r>
          </w:p>
        </w:tc>
        <w:tc>
          <w:tcPr>
            <w:tcW w:w="7229" w:type="dxa"/>
            <w:gridSpan w:val="8"/>
            <w:tcBorders>
              <w:top w:val="single" w:color="auto" w:sz="4" w:space="0"/>
              <w:left w:val="nil"/>
              <w:bottom w:val="single" w:color="auto" w:sz="4" w:space="0"/>
              <w:right w:val="single" w:color="auto" w:sz="4" w:space="0"/>
            </w:tcBorders>
            <w:noWrap w:val="0"/>
            <w:vAlign w:val="top"/>
          </w:tcPr>
          <w:p w14:paraId="4A6F1267">
            <w:pPr>
              <w:spacing w:line="360" w:lineRule="auto"/>
              <w:rPr>
                <w:rFonts w:ascii="Times New Roman" w:hAnsi="Times New Roman" w:cs="宋体"/>
                <w:color w:val="auto"/>
                <w:sz w:val="24"/>
                <w:szCs w:val="24"/>
                <w:highlight w:val="none"/>
              </w:rPr>
            </w:pPr>
          </w:p>
        </w:tc>
      </w:tr>
      <w:tr w14:paraId="2D06D9D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38DB13B8">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总部地址</w:t>
            </w:r>
          </w:p>
        </w:tc>
        <w:tc>
          <w:tcPr>
            <w:tcW w:w="7229" w:type="dxa"/>
            <w:gridSpan w:val="8"/>
            <w:tcBorders>
              <w:top w:val="single" w:color="auto" w:sz="4" w:space="0"/>
              <w:left w:val="nil"/>
              <w:bottom w:val="single" w:color="auto" w:sz="4" w:space="0"/>
              <w:right w:val="single" w:color="auto" w:sz="4" w:space="0"/>
            </w:tcBorders>
            <w:noWrap w:val="0"/>
            <w:vAlign w:val="top"/>
          </w:tcPr>
          <w:p w14:paraId="03F87BB1">
            <w:pPr>
              <w:spacing w:line="360" w:lineRule="auto"/>
              <w:rPr>
                <w:rFonts w:ascii="Times New Roman" w:hAnsi="Times New Roman" w:cs="宋体"/>
                <w:color w:val="auto"/>
                <w:sz w:val="24"/>
                <w:szCs w:val="24"/>
                <w:highlight w:val="none"/>
              </w:rPr>
            </w:pPr>
          </w:p>
        </w:tc>
      </w:tr>
      <w:tr w14:paraId="17416081">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B88F46C">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分支机构</w:t>
            </w:r>
          </w:p>
        </w:tc>
        <w:tc>
          <w:tcPr>
            <w:tcW w:w="7229" w:type="dxa"/>
            <w:gridSpan w:val="8"/>
            <w:tcBorders>
              <w:top w:val="single" w:color="auto" w:sz="4" w:space="0"/>
              <w:left w:val="nil"/>
              <w:bottom w:val="single" w:color="auto" w:sz="4" w:space="0"/>
              <w:right w:val="single" w:color="auto" w:sz="4" w:space="0"/>
            </w:tcBorders>
            <w:noWrap w:val="0"/>
            <w:vAlign w:val="top"/>
          </w:tcPr>
          <w:p w14:paraId="7463C496">
            <w:pPr>
              <w:spacing w:line="360" w:lineRule="auto"/>
              <w:rPr>
                <w:rFonts w:ascii="Times New Roman" w:hAnsi="Times New Roman" w:cs="宋体"/>
                <w:color w:val="auto"/>
                <w:sz w:val="24"/>
                <w:szCs w:val="24"/>
                <w:highlight w:val="none"/>
              </w:rPr>
            </w:pPr>
          </w:p>
        </w:tc>
      </w:tr>
      <w:tr w14:paraId="27DF4E7F">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30A736D">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当地代表处地址</w:t>
            </w:r>
          </w:p>
        </w:tc>
        <w:tc>
          <w:tcPr>
            <w:tcW w:w="7229" w:type="dxa"/>
            <w:gridSpan w:val="8"/>
            <w:tcBorders>
              <w:top w:val="single" w:color="auto" w:sz="4" w:space="0"/>
              <w:left w:val="nil"/>
              <w:bottom w:val="single" w:color="auto" w:sz="4" w:space="0"/>
              <w:right w:val="single" w:color="auto" w:sz="4" w:space="0"/>
            </w:tcBorders>
            <w:noWrap w:val="0"/>
            <w:vAlign w:val="top"/>
          </w:tcPr>
          <w:p w14:paraId="6CEE8DE6">
            <w:pPr>
              <w:spacing w:line="360" w:lineRule="auto"/>
              <w:rPr>
                <w:rFonts w:ascii="Times New Roman" w:hAnsi="Times New Roman" w:cs="宋体"/>
                <w:color w:val="auto"/>
                <w:sz w:val="24"/>
                <w:szCs w:val="24"/>
                <w:highlight w:val="none"/>
              </w:rPr>
            </w:pPr>
          </w:p>
        </w:tc>
      </w:tr>
      <w:tr w14:paraId="6CE3ACD2">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E117316">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电话</w:t>
            </w:r>
          </w:p>
        </w:tc>
        <w:tc>
          <w:tcPr>
            <w:tcW w:w="2408" w:type="dxa"/>
            <w:gridSpan w:val="3"/>
            <w:tcBorders>
              <w:top w:val="single" w:color="auto" w:sz="4" w:space="0"/>
              <w:left w:val="nil"/>
              <w:bottom w:val="single" w:color="auto" w:sz="4" w:space="0"/>
              <w:right w:val="single" w:color="auto" w:sz="4" w:space="0"/>
            </w:tcBorders>
            <w:noWrap w:val="0"/>
            <w:vAlign w:val="top"/>
          </w:tcPr>
          <w:p w14:paraId="3C50B9EF">
            <w:pPr>
              <w:spacing w:line="360" w:lineRule="auto"/>
              <w:rPr>
                <w:rFonts w:ascii="Times New Roman" w:hAnsi="Times New Roman" w:cs="宋体"/>
                <w:color w:val="auto"/>
                <w:sz w:val="24"/>
                <w:szCs w:val="24"/>
                <w:highlight w:val="none"/>
              </w:rPr>
            </w:pPr>
          </w:p>
        </w:tc>
        <w:tc>
          <w:tcPr>
            <w:tcW w:w="1875" w:type="dxa"/>
            <w:gridSpan w:val="2"/>
            <w:tcBorders>
              <w:top w:val="single" w:color="auto" w:sz="4" w:space="0"/>
              <w:left w:val="nil"/>
              <w:bottom w:val="single" w:color="auto" w:sz="4" w:space="0"/>
              <w:right w:val="single" w:color="auto" w:sz="4" w:space="0"/>
            </w:tcBorders>
            <w:noWrap w:val="0"/>
            <w:vAlign w:val="top"/>
          </w:tcPr>
          <w:p w14:paraId="09D3AF5D">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联系人</w:t>
            </w:r>
          </w:p>
        </w:tc>
        <w:tc>
          <w:tcPr>
            <w:tcW w:w="2946" w:type="dxa"/>
            <w:gridSpan w:val="3"/>
            <w:tcBorders>
              <w:top w:val="single" w:color="auto" w:sz="4" w:space="0"/>
              <w:left w:val="nil"/>
              <w:bottom w:val="single" w:color="auto" w:sz="4" w:space="0"/>
              <w:right w:val="single" w:color="auto" w:sz="4" w:space="0"/>
            </w:tcBorders>
            <w:noWrap w:val="0"/>
            <w:vAlign w:val="top"/>
          </w:tcPr>
          <w:p w14:paraId="338688B5">
            <w:pPr>
              <w:spacing w:line="360" w:lineRule="auto"/>
              <w:rPr>
                <w:rFonts w:ascii="Times New Roman" w:hAnsi="Times New Roman" w:cs="宋体"/>
                <w:color w:val="auto"/>
                <w:sz w:val="24"/>
                <w:szCs w:val="24"/>
                <w:highlight w:val="none"/>
              </w:rPr>
            </w:pPr>
          </w:p>
        </w:tc>
      </w:tr>
      <w:tr w14:paraId="1FC0E33E">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2127E447">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传真</w:t>
            </w:r>
          </w:p>
        </w:tc>
        <w:tc>
          <w:tcPr>
            <w:tcW w:w="2408" w:type="dxa"/>
            <w:gridSpan w:val="3"/>
            <w:tcBorders>
              <w:top w:val="single" w:color="auto" w:sz="4" w:space="0"/>
              <w:left w:val="nil"/>
              <w:bottom w:val="single" w:color="auto" w:sz="4" w:space="0"/>
              <w:right w:val="single" w:color="auto" w:sz="4" w:space="0"/>
            </w:tcBorders>
            <w:noWrap w:val="0"/>
            <w:vAlign w:val="top"/>
          </w:tcPr>
          <w:p w14:paraId="1988CDAB">
            <w:pPr>
              <w:spacing w:line="360" w:lineRule="auto"/>
              <w:rPr>
                <w:rFonts w:ascii="Times New Roman" w:hAnsi="Times New Roman" w:cs="宋体"/>
                <w:color w:val="auto"/>
                <w:sz w:val="24"/>
                <w:szCs w:val="24"/>
                <w:highlight w:val="none"/>
              </w:rPr>
            </w:pPr>
          </w:p>
        </w:tc>
        <w:tc>
          <w:tcPr>
            <w:tcW w:w="1875" w:type="dxa"/>
            <w:gridSpan w:val="2"/>
            <w:tcBorders>
              <w:top w:val="single" w:color="auto" w:sz="4" w:space="0"/>
              <w:left w:val="nil"/>
              <w:bottom w:val="single" w:color="auto" w:sz="4" w:space="0"/>
              <w:right w:val="single" w:color="auto" w:sz="4" w:space="0"/>
            </w:tcBorders>
            <w:noWrap w:val="0"/>
            <w:vAlign w:val="top"/>
          </w:tcPr>
          <w:p w14:paraId="5FBF3F37">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电子邮件</w:t>
            </w:r>
          </w:p>
        </w:tc>
        <w:tc>
          <w:tcPr>
            <w:tcW w:w="2946" w:type="dxa"/>
            <w:gridSpan w:val="3"/>
            <w:tcBorders>
              <w:top w:val="single" w:color="auto" w:sz="4" w:space="0"/>
              <w:left w:val="nil"/>
              <w:bottom w:val="single" w:color="auto" w:sz="4" w:space="0"/>
              <w:right w:val="single" w:color="auto" w:sz="4" w:space="0"/>
            </w:tcBorders>
            <w:noWrap w:val="0"/>
            <w:vAlign w:val="top"/>
          </w:tcPr>
          <w:p w14:paraId="7C14C35B">
            <w:pPr>
              <w:spacing w:line="360" w:lineRule="auto"/>
              <w:rPr>
                <w:rFonts w:ascii="Times New Roman" w:hAnsi="Times New Roman" w:cs="宋体"/>
                <w:color w:val="auto"/>
                <w:sz w:val="24"/>
                <w:szCs w:val="24"/>
                <w:highlight w:val="none"/>
              </w:rPr>
            </w:pPr>
          </w:p>
        </w:tc>
      </w:tr>
      <w:tr w14:paraId="39C59AEC">
        <w:tblPrEx>
          <w:tblCellMar>
            <w:top w:w="0" w:type="dxa"/>
            <w:left w:w="108" w:type="dxa"/>
            <w:bottom w:w="0" w:type="dxa"/>
            <w:right w:w="108" w:type="dxa"/>
          </w:tblCellMar>
        </w:tblPrEx>
        <w:trPr>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1EE8C6FD">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注册地</w:t>
            </w:r>
          </w:p>
        </w:tc>
        <w:tc>
          <w:tcPr>
            <w:tcW w:w="2408" w:type="dxa"/>
            <w:gridSpan w:val="3"/>
            <w:tcBorders>
              <w:top w:val="single" w:color="auto" w:sz="4" w:space="0"/>
              <w:left w:val="nil"/>
              <w:bottom w:val="single" w:color="auto" w:sz="4" w:space="0"/>
              <w:right w:val="single" w:color="auto" w:sz="4" w:space="0"/>
            </w:tcBorders>
            <w:noWrap w:val="0"/>
            <w:vAlign w:val="top"/>
          </w:tcPr>
          <w:p w14:paraId="2CD32C1C">
            <w:pPr>
              <w:spacing w:line="360" w:lineRule="auto"/>
              <w:rPr>
                <w:rFonts w:ascii="Times New Roman" w:hAnsi="Times New Roman" w:cs="宋体"/>
                <w:color w:val="auto"/>
                <w:sz w:val="24"/>
                <w:szCs w:val="24"/>
                <w:highlight w:val="none"/>
              </w:rPr>
            </w:pPr>
          </w:p>
        </w:tc>
        <w:tc>
          <w:tcPr>
            <w:tcW w:w="1875" w:type="dxa"/>
            <w:gridSpan w:val="2"/>
            <w:tcBorders>
              <w:top w:val="single" w:color="auto" w:sz="4" w:space="0"/>
              <w:left w:val="nil"/>
              <w:bottom w:val="single" w:color="auto" w:sz="4" w:space="0"/>
              <w:right w:val="single" w:color="auto" w:sz="4" w:space="0"/>
            </w:tcBorders>
            <w:noWrap w:val="0"/>
            <w:vAlign w:val="top"/>
          </w:tcPr>
          <w:p w14:paraId="7BE2FE5E">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注册年份</w:t>
            </w:r>
          </w:p>
        </w:tc>
        <w:tc>
          <w:tcPr>
            <w:tcW w:w="2946" w:type="dxa"/>
            <w:gridSpan w:val="3"/>
            <w:tcBorders>
              <w:top w:val="single" w:color="auto" w:sz="4" w:space="0"/>
              <w:left w:val="nil"/>
              <w:bottom w:val="single" w:color="auto" w:sz="4" w:space="0"/>
              <w:right w:val="single" w:color="auto" w:sz="4" w:space="0"/>
            </w:tcBorders>
            <w:noWrap w:val="0"/>
            <w:vAlign w:val="top"/>
          </w:tcPr>
          <w:p w14:paraId="7944468E">
            <w:pPr>
              <w:spacing w:line="360" w:lineRule="auto"/>
              <w:rPr>
                <w:rFonts w:ascii="Times New Roman" w:hAnsi="Times New Roman" w:cs="宋体"/>
                <w:color w:val="auto"/>
                <w:sz w:val="24"/>
                <w:szCs w:val="24"/>
                <w:highlight w:val="none"/>
              </w:rPr>
            </w:pPr>
          </w:p>
        </w:tc>
      </w:tr>
      <w:tr w14:paraId="5C1033E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42398A18">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资质等级</w:t>
            </w:r>
          </w:p>
        </w:tc>
        <w:tc>
          <w:tcPr>
            <w:tcW w:w="7229" w:type="dxa"/>
            <w:gridSpan w:val="8"/>
            <w:tcBorders>
              <w:top w:val="single" w:color="auto" w:sz="4" w:space="0"/>
              <w:left w:val="nil"/>
              <w:bottom w:val="single" w:color="auto" w:sz="4" w:space="0"/>
              <w:right w:val="single" w:color="auto" w:sz="4" w:space="0"/>
            </w:tcBorders>
            <w:noWrap w:val="0"/>
            <w:vAlign w:val="top"/>
          </w:tcPr>
          <w:p w14:paraId="4968E794">
            <w:pPr>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公司具备的相关资质等级及相应的证书号</w:t>
            </w:r>
          </w:p>
          <w:p w14:paraId="2565F232">
            <w:pPr>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（请附有关证书的复印件）</w:t>
            </w:r>
          </w:p>
        </w:tc>
      </w:tr>
      <w:tr w14:paraId="09A8DFAC">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922CA55">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质量管理体系</w:t>
            </w:r>
          </w:p>
        </w:tc>
        <w:tc>
          <w:tcPr>
            <w:tcW w:w="7229" w:type="dxa"/>
            <w:gridSpan w:val="8"/>
            <w:tcBorders>
              <w:top w:val="single" w:color="auto" w:sz="4" w:space="0"/>
              <w:left w:val="nil"/>
              <w:bottom w:val="single" w:color="auto" w:sz="4" w:space="0"/>
              <w:right w:val="single" w:color="auto" w:sz="4" w:space="0"/>
            </w:tcBorders>
            <w:noWrap w:val="0"/>
            <w:vAlign w:val="top"/>
          </w:tcPr>
          <w:p w14:paraId="78882D71">
            <w:pPr>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公司</w:t>
            </w:r>
            <w:r>
              <w:rPr>
                <w:rFonts w:hint="eastAsia" w:ascii="Times New Roman" w:hAnsi="Times New Roman" w:cs="宋体"/>
                <w:color w:val="auto"/>
                <w:sz w:val="24"/>
                <w:szCs w:val="24"/>
                <w:highlight w:val="none"/>
                <w:u w:val="single"/>
              </w:rPr>
              <w:t xml:space="preserve">   （是否通过，何种）   </w:t>
            </w:r>
            <w:r>
              <w:rPr>
                <w:rFonts w:hint="eastAsia" w:ascii="Times New Roman" w:hAnsi="Times New Roman" w:cs="宋体"/>
                <w:color w:val="auto"/>
                <w:sz w:val="24"/>
                <w:szCs w:val="24"/>
                <w:highlight w:val="none"/>
              </w:rPr>
              <w:t>质量保证体系认证（如通过请附相关在有效期内的证书复印件）</w:t>
            </w:r>
          </w:p>
        </w:tc>
      </w:tr>
      <w:tr w14:paraId="5285AB8A">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7394BEB">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项目负责人</w:t>
            </w:r>
          </w:p>
        </w:tc>
        <w:tc>
          <w:tcPr>
            <w:tcW w:w="1559" w:type="dxa"/>
            <w:gridSpan w:val="2"/>
            <w:tcBorders>
              <w:top w:val="single" w:color="auto" w:sz="4" w:space="0"/>
              <w:left w:val="nil"/>
              <w:bottom w:val="single" w:color="auto" w:sz="4" w:space="0"/>
              <w:right w:val="single" w:color="auto" w:sz="4" w:space="0"/>
            </w:tcBorders>
            <w:noWrap w:val="0"/>
            <w:vAlign w:val="top"/>
          </w:tcPr>
          <w:p w14:paraId="14FD4989">
            <w:pPr>
              <w:spacing w:line="360" w:lineRule="auto"/>
              <w:jc w:val="center"/>
              <w:rPr>
                <w:rFonts w:ascii="Times New Roman" w:hAnsi="Times New Roman" w:cs="宋体"/>
                <w:color w:val="auto"/>
                <w:sz w:val="24"/>
                <w:szCs w:val="24"/>
                <w:highlight w:val="none"/>
              </w:rPr>
            </w:pPr>
          </w:p>
        </w:tc>
        <w:tc>
          <w:tcPr>
            <w:tcW w:w="1417" w:type="dxa"/>
            <w:gridSpan w:val="2"/>
            <w:tcBorders>
              <w:top w:val="single" w:color="auto" w:sz="4" w:space="0"/>
              <w:left w:val="nil"/>
              <w:bottom w:val="single" w:color="auto" w:sz="4" w:space="0"/>
              <w:right w:val="single" w:color="auto" w:sz="4" w:space="0"/>
            </w:tcBorders>
            <w:noWrap w:val="0"/>
            <w:vAlign w:val="top"/>
          </w:tcPr>
          <w:p w14:paraId="540B98AF">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年龄</w:t>
            </w:r>
          </w:p>
        </w:tc>
        <w:tc>
          <w:tcPr>
            <w:tcW w:w="1466" w:type="dxa"/>
            <w:gridSpan w:val="2"/>
            <w:tcBorders>
              <w:top w:val="single" w:color="auto" w:sz="4" w:space="0"/>
              <w:left w:val="nil"/>
              <w:bottom w:val="single" w:color="auto" w:sz="4" w:space="0"/>
              <w:right w:val="single" w:color="auto" w:sz="4" w:space="0"/>
            </w:tcBorders>
            <w:noWrap w:val="0"/>
            <w:vAlign w:val="top"/>
          </w:tcPr>
          <w:p w14:paraId="20069AC9">
            <w:pPr>
              <w:spacing w:line="360" w:lineRule="auto"/>
              <w:jc w:val="center"/>
              <w:rPr>
                <w:rFonts w:ascii="Times New Roman" w:hAnsi="Times New Roman" w:cs="宋体"/>
                <w:color w:val="auto"/>
                <w:sz w:val="24"/>
                <w:szCs w:val="24"/>
                <w:highlight w:val="none"/>
              </w:rPr>
            </w:pPr>
          </w:p>
        </w:tc>
        <w:tc>
          <w:tcPr>
            <w:tcW w:w="1320" w:type="dxa"/>
            <w:tcBorders>
              <w:top w:val="single" w:color="auto" w:sz="4" w:space="0"/>
              <w:left w:val="nil"/>
              <w:bottom w:val="single" w:color="auto" w:sz="4" w:space="0"/>
              <w:right w:val="single" w:color="auto" w:sz="4" w:space="0"/>
            </w:tcBorders>
            <w:noWrap w:val="0"/>
            <w:vAlign w:val="top"/>
          </w:tcPr>
          <w:p w14:paraId="73F75210">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性别</w:t>
            </w:r>
          </w:p>
        </w:tc>
        <w:tc>
          <w:tcPr>
            <w:tcW w:w="1467" w:type="dxa"/>
            <w:tcBorders>
              <w:top w:val="single" w:color="auto" w:sz="4" w:space="0"/>
              <w:left w:val="nil"/>
              <w:bottom w:val="single" w:color="auto" w:sz="4" w:space="0"/>
              <w:right w:val="single" w:color="auto" w:sz="4" w:space="0"/>
            </w:tcBorders>
            <w:noWrap w:val="0"/>
            <w:vAlign w:val="top"/>
          </w:tcPr>
          <w:p w14:paraId="4BCB8897">
            <w:pPr>
              <w:spacing w:line="360" w:lineRule="auto"/>
              <w:jc w:val="center"/>
              <w:rPr>
                <w:rFonts w:ascii="Times New Roman" w:hAnsi="Times New Roman" w:cs="宋体"/>
                <w:color w:val="auto"/>
                <w:sz w:val="24"/>
                <w:szCs w:val="24"/>
                <w:highlight w:val="none"/>
              </w:rPr>
            </w:pPr>
          </w:p>
        </w:tc>
      </w:tr>
      <w:tr w14:paraId="40781A40">
        <w:tblPrEx>
          <w:tblCellMar>
            <w:top w:w="0" w:type="dxa"/>
            <w:left w:w="108" w:type="dxa"/>
            <w:bottom w:w="0" w:type="dxa"/>
            <w:right w:w="108" w:type="dxa"/>
          </w:tblCellMar>
        </w:tblPrEx>
        <w:trPr>
          <w:cantSpli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58B0A8C9">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职务职称</w:t>
            </w:r>
          </w:p>
        </w:tc>
        <w:tc>
          <w:tcPr>
            <w:tcW w:w="2976" w:type="dxa"/>
            <w:gridSpan w:val="4"/>
            <w:tcBorders>
              <w:top w:val="single" w:color="auto" w:sz="4" w:space="0"/>
              <w:left w:val="nil"/>
              <w:bottom w:val="single" w:color="auto" w:sz="4" w:space="0"/>
              <w:right w:val="single" w:color="auto" w:sz="4" w:space="0"/>
            </w:tcBorders>
            <w:noWrap w:val="0"/>
            <w:vAlign w:val="top"/>
          </w:tcPr>
          <w:p w14:paraId="32AD43DD">
            <w:pPr>
              <w:spacing w:line="360" w:lineRule="auto"/>
              <w:rPr>
                <w:rFonts w:ascii="Times New Roman" w:hAnsi="Times New Roman" w:cs="宋体"/>
                <w:color w:val="auto"/>
                <w:sz w:val="24"/>
                <w:szCs w:val="24"/>
                <w:highlight w:val="none"/>
              </w:rPr>
            </w:pPr>
          </w:p>
        </w:tc>
        <w:tc>
          <w:tcPr>
            <w:tcW w:w="1466" w:type="dxa"/>
            <w:gridSpan w:val="2"/>
            <w:tcBorders>
              <w:top w:val="single" w:color="auto" w:sz="4" w:space="0"/>
              <w:left w:val="nil"/>
              <w:bottom w:val="single" w:color="auto" w:sz="4" w:space="0"/>
              <w:right w:val="single" w:color="auto" w:sz="4" w:space="0"/>
            </w:tcBorders>
            <w:noWrap w:val="0"/>
            <w:vAlign w:val="top"/>
          </w:tcPr>
          <w:p w14:paraId="67B38DDD">
            <w:pPr>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执业资格</w:t>
            </w:r>
          </w:p>
        </w:tc>
        <w:tc>
          <w:tcPr>
            <w:tcW w:w="2787" w:type="dxa"/>
            <w:gridSpan w:val="2"/>
            <w:tcBorders>
              <w:top w:val="single" w:color="auto" w:sz="4" w:space="0"/>
              <w:left w:val="nil"/>
              <w:bottom w:val="single" w:color="auto" w:sz="4" w:space="0"/>
              <w:right w:val="single" w:color="auto" w:sz="4" w:space="0"/>
            </w:tcBorders>
            <w:noWrap w:val="0"/>
            <w:vAlign w:val="top"/>
          </w:tcPr>
          <w:p w14:paraId="606BB6B0">
            <w:pPr>
              <w:spacing w:line="360" w:lineRule="auto"/>
              <w:rPr>
                <w:rFonts w:ascii="Times New Roman" w:hAnsi="Times New Roman" w:cs="宋体"/>
                <w:color w:val="auto"/>
                <w:sz w:val="24"/>
                <w:szCs w:val="24"/>
                <w:highlight w:val="none"/>
              </w:rPr>
            </w:pPr>
          </w:p>
        </w:tc>
      </w:tr>
      <w:tr w14:paraId="18FA155E">
        <w:tblPrEx>
          <w:tblCellMar>
            <w:top w:w="0" w:type="dxa"/>
            <w:left w:w="108" w:type="dxa"/>
            <w:bottom w:w="0" w:type="dxa"/>
            <w:right w:w="108" w:type="dxa"/>
          </w:tblCellMar>
        </w:tblPrEx>
        <w:trPr>
          <w:cantSplit/>
          <w:trHeight w:val="2234" w:hRule="atLeast"/>
          <w:jc w:val="center"/>
        </w:trPr>
        <w:tc>
          <w:tcPr>
            <w:tcW w:w="2235" w:type="dxa"/>
            <w:tcBorders>
              <w:top w:val="single" w:color="auto" w:sz="4" w:space="0"/>
              <w:left w:val="single" w:color="auto" w:sz="4" w:space="0"/>
              <w:bottom w:val="single" w:color="auto" w:sz="4" w:space="0"/>
              <w:right w:val="single" w:color="auto" w:sz="4" w:space="0"/>
            </w:tcBorders>
            <w:noWrap w:val="0"/>
            <w:vAlign w:val="center"/>
          </w:tcPr>
          <w:p w14:paraId="6475356B">
            <w:pPr>
              <w:spacing w:line="360" w:lineRule="auto"/>
              <w:jc w:val="center"/>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经营范围</w:t>
            </w:r>
          </w:p>
        </w:tc>
        <w:tc>
          <w:tcPr>
            <w:tcW w:w="7229" w:type="dxa"/>
            <w:gridSpan w:val="8"/>
            <w:tcBorders>
              <w:top w:val="single" w:color="auto" w:sz="4" w:space="0"/>
              <w:left w:val="nil"/>
              <w:bottom w:val="single" w:color="auto" w:sz="4" w:space="0"/>
              <w:right w:val="single" w:color="auto" w:sz="4" w:space="0"/>
            </w:tcBorders>
            <w:noWrap w:val="0"/>
            <w:vAlign w:val="top"/>
          </w:tcPr>
          <w:p w14:paraId="51ADCFC9">
            <w:pPr>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营业执照载明：</w:t>
            </w:r>
          </w:p>
          <w:p w14:paraId="5EE0BD47">
            <w:pPr>
              <w:spacing w:line="360" w:lineRule="auto"/>
              <w:rPr>
                <w:rFonts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1.</w:t>
            </w:r>
          </w:p>
          <w:p w14:paraId="07B584BE">
            <w:pPr>
              <w:spacing w:line="360" w:lineRule="auto"/>
              <w:rPr>
                <w:rFonts w:ascii="Times New Roman" w:hAnsi="Times New Roman" w:cs="宋体"/>
                <w:color w:val="auto"/>
                <w:sz w:val="24"/>
                <w:szCs w:val="24"/>
                <w:highlight w:val="none"/>
                <w:u w:val="single"/>
              </w:rPr>
            </w:pPr>
            <w:r>
              <w:rPr>
                <w:rFonts w:hint="eastAsia" w:ascii="Times New Roman" w:hAnsi="Times New Roman" w:cs="宋体"/>
                <w:color w:val="auto"/>
                <w:sz w:val="24"/>
                <w:szCs w:val="24"/>
                <w:highlight w:val="none"/>
              </w:rPr>
              <w:t>2.</w:t>
            </w:r>
          </w:p>
          <w:p w14:paraId="29E64E2B">
            <w:pPr>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w:t>
            </w:r>
          </w:p>
        </w:tc>
      </w:tr>
      <w:tr w14:paraId="07352344">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2B7E6512">
            <w:pPr>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从事类似相关项目的经历及年数</w:t>
            </w:r>
          </w:p>
        </w:tc>
        <w:tc>
          <w:tcPr>
            <w:tcW w:w="6521" w:type="dxa"/>
            <w:gridSpan w:val="7"/>
            <w:tcBorders>
              <w:top w:val="single" w:color="auto" w:sz="4" w:space="0"/>
              <w:left w:val="nil"/>
              <w:bottom w:val="single" w:color="auto" w:sz="4" w:space="0"/>
              <w:right w:val="single" w:color="auto" w:sz="4" w:space="0"/>
            </w:tcBorders>
            <w:noWrap w:val="0"/>
            <w:vAlign w:val="top"/>
          </w:tcPr>
          <w:p w14:paraId="23470065">
            <w:pPr>
              <w:spacing w:line="360" w:lineRule="auto"/>
              <w:rPr>
                <w:rFonts w:ascii="Times New Roman" w:hAnsi="Times New Roman" w:cs="宋体"/>
                <w:color w:val="auto"/>
                <w:sz w:val="24"/>
                <w:szCs w:val="24"/>
                <w:highlight w:val="none"/>
              </w:rPr>
            </w:pPr>
          </w:p>
        </w:tc>
      </w:tr>
      <w:tr w14:paraId="2607E268">
        <w:tblPrEx>
          <w:tblCellMar>
            <w:top w:w="0" w:type="dxa"/>
            <w:left w:w="108" w:type="dxa"/>
            <w:bottom w:w="0" w:type="dxa"/>
            <w:right w:w="108" w:type="dxa"/>
          </w:tblCellMar>
        </w:tblPrEx>
        <w:trPr>
          <w:trHeight w:val="471" w:hRule="atLeast"/>
          <w:jc w:val="center"/>
        </w:trPr>
        <w:tc>
          <w:tcPr>
            <w:tcW w:w="2943" w:type="dxa"/>
            <w:gridSpan w:val="2"/>
            <w:tcBorders>
              <w:top w:val="single" w:color="auto" w:sz="4" w:space="0"/>
              <w:left w:val="single" w:color="auto" w:sz="4" w:space="0"/>
              <w:bottom w:val="single" w:color="auto" w:sz="4" w:space="0"/>
              <w:right w:val="single" w:color="auto" w:sz="4" w:space="0"/>
            </w:tcBorders>
            <w:noWrap w:val="0"/>
            <w:vAlign w:val="center"/>
          </w:tcPr>
          <w:p w14:paraId="41FE15FE">
            <w:pPr>
              <w:spacing w:line="360" w:lineRule="auto"/>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其他认为有必要提供的内容，可自行添加</w:t>
            </w:r>
          </w:p>
        </w:tc>
        <w:tc>
          <w:tcPr>
            <w:tcW w:w="6521" w:type="dxa"/>
            <w:gridSpan w:val="7"/>
            <w:tcBorders>
              <w:top w:val="single" w:color="auto" w:sz="4" w:space="0"/>
              <w:left w:val="nil"/>
              <w:bottom w:val="single" w:color="auto" w:sz="4" w:space="0"/>
              <w:right w:val="single" w:color="auto" w:sz="4" w:space="0"/>
            </w:tcBorders>
            <w:noWrap w:val="0"/>
            <w:vAlign w:val="top"/>
          </w:tcPr>
          <w:p w14:paraId="43EAD9AF">
            <w:pPr>
              <w:spacing w:line="360" w:lineRule="auto"/>
              <w:rPr>
                <w:rFonts w:ascii="Times New Roman" w:hAnsi="Times New Roman" w:cs="宋体"/>
                <w:color w:val="auto"/>
                <w:sz w:val="24"/>
                <w:szCs w:val="24"/>
                <w:highlight w:val="none"/>
              </w:rPr>
            </w:pPr>
          </w:p>
        </w:tc>
      </w:tr>
    </w:tbl>
    <w:p w14:paraId="1498CB8B">
      <w:pPr>
        <w:spacing w:line="360" w:lineRule="auto"/>
        <w:ind w:firstLine="480" w:firstLineChars="200"/>
        <w:jc w:val="right"/>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供应商：（加盖公章）</w:t>
      </w:r>
    </w:p>
    <w:p w14:paraId="68FA0755">
      <w:pPr>
        <w:spacing w:line="360" w:lineRule="auto"/>
        <w:ind w:firstLine="480" w:firstLineChars="200"/>
        <w:jc w:val="right"/>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法定代表人或被授权人：（签字或盖章）</w:t>
      </w:r>
    </w:p>
    <w:p w14:paraId="37205B1E">
      <w:pPr>
        <w:spacing w:line="360" w:lineRule="auto"/>
        <w:ind w:firstLine="1320" w:firstLineChars="550"/>
        <w:jc w:val="right"/>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年      月     日</w:t>
      </w:r>
    </w:p>
    <w:p w14:paraId="75556BD6">
      <w:pPr>
        <w:rPr>
          <w:rFonts w:hint="eastAsia" w:ascii="Times New Roman" w:hAnsi="Times New Roman" w:eastAsia="宋体"/>
          <w:b/>
          <w:color w:val="auto"/>
          <w:sz w:val="24"/>
          <w:szCs w:val="24"/>
          <w:highlight w:val="none"/>
          <w:lang w:val="en-US" w:eastAsia="zh-CN"/>
        </w:rPr>
      </w:pPr>
    </w:p>
    <w:p w14:paraId="7371FE56">
      <w:pPr>
        <w:rPr>
          <w:rFonts w:ascii="Times New Roman" w:hAnsi="Times New Roman" w:eastAsia="宋体"/>
          <w:color w:val="auto"/>
          <w:sz w:val="24"/>
          <w:szCs w:val="24"/>
          <w:highlight w:val="none"/>
        </w:rPr>
      </w:pPr>
      <w:r>
        <w:rPr>
          <w:rFonts w:hint="eastAsia" w:ascii="Times New Roman" w:hAnsi="Times New Roman" w:eastAsia="宋体"/>
          <w:b/>
          <w:color w:val="auto"/>
          <w:sz w:val="24"/>
          <w:szCs w:val="24"/>
          <w:highlight w:val="none"/>
          <w:lang w:val="en-US" w:eastAsia="zh-CN"/>
        </w:rPr>
        <w:br w:type="page"/>
      </w:r>
    </w:p>
    <w:p w14:paraId="58B09442">
      <w:pPr>
        <w:spacing w:line="360" w:lineRule="auto"/>
        <w:jc w:val="center"/>
        <w:outlineLvl w:val="3"/>
        <w:rPr>
          <w:rFonts w:ascii="宋体" w:hAnsi="宋体"/>
          <w:b/>
          <w:color w:val="auto"/>
          <w:sz w:val="24"/>
          <w:szCs w:val="24"/>
          <w:highlight w:val="none"/>
        </w:rPr>
      </w:pPr>
      <w:r>
        <w:rPr>
          <w:rFonts w:hint="eastAsia" w:ascii="Times New Roman" w:hAnsi="Times New Roman"/>
          <w:b/>
          <w:bCs/>
          <w:color w:val="auto"/>
          <w:sz w:val="24"/>
          <w:szCs w:val="21"/>
          <w:highlight w:val="none"/>
          <w:lang w:val="en-US" w:eastAsia="zh-CN"/>
        </w:rPr>
        <w:t>8</w:t>
      </w:r>
      <w:r>
        <w:rPr>
          <w:rFonts w:hint="eastAsia" w:ascii="Times New Roman" w:hAnsi="Times New Roman"/>
          <w:b/>
          <w:bCs/>
          <w:color w:val="auto"/>
          <w:sz w:val="24"/>
          <w:szCs w:val="21"/>
          <w:highlight w:val="none"/>
        </w:rPr>
        <w:t>、技术部分正负偏离表</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43"/>
        <w:gridCol w:w="1455"/>
        <w:gridCol w:w="2220"/>
        <w:gridCol w:w="2720"/>
        <w:gridCol w:w="1417"/>
      </w:tblGrid>
      <w:tr w14:paraId="4D566EA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jc w:val="center"/>
        </w:trPr>
        <w:tc>
          <w:tcPr>
            <w:tcW w:w="943" w:type="dxa"/>
            <w:tcBorders>
              <w:top w:val="single" w:color="000000" w:sz="12" w:space="0"/>
              <w:left w:val="single" w:color="000000" w:sz="12" w:space="0"/>
              <w:bottom w:val="single" w:color="000000" w:sz="6" w:space="0"/>
              <w:right w:val="single" w:color="000000" w:sz="6" w:space="0"/>
            </w:tcBorders>
            <w:noWrap w:val="0"/>
            <w:vAlign w:val="center"/>
          </w:tcPr>
          <w:p w14:paraId="3A9F38E2">
            <w:pPr>
              <w:spacing w:line="360" w:lineRule="auto"/>
              <w:jc w:val="center"/>
              <w:rPr>
                <w:rFonts w:cs="宋体"/>
                <w:color w:val="auto"/>
                <w:sz w:val="24"/>
                <w:szCs w:val="24"/>
                <w:highlight w:val="none"/>
              </w:rPr>
            </w:pPr>
            <w:r>
              <w:rPr>
                <w:rFonts w:hint="eastAsia" w:cs="宋体"/>
                <w:color w:val="auto"/>
                <w:sz w:val="24"/>
                <w:szCs w:val="24"/>
                <w:highlight w:val="none"/>
              </w:rPr>
              <w:t>序号</w:t>
            </w:r>
          </w:p>
        </w:tc>
        <w:tc>
          <w:tcPr>
            <w:tcW w:w="1455" w:type="dxa"/>
            <w:tcBorders>
              <w:top w:val="single" w:color="000000" w:sz="12" w:space="0"/>
              <w:left w:val="single" w:color="000000" w:sz="6" w:space="0"/>
              <w:bottom w:val="single" w:color="000000" w:sz="6" w:space="0"/>
              <w:right w:val="single" w:color="000000" w:sz="6" w:space="0"/>
            </w:tcBorders>
            <w:noWrap w:val="0"/>
            <w:vAlign w:val="center"/>
          </w:tcPr>
          <w:p w14:paraId="7A798ECD">
            <w:pPr>
              <w:spacing w:line="360" w:lineRule="auto"/>
              <w:jc w:val="center"/>
              <w:rPr>
                <w:rFonts w:cs="宋体"/>
                <w:color w:val="auto"/>
                <w:sz w:val="24"/>
                <w:szCs w:val="24"/>
                <w:highlight w:val="none"/>
              </w:rPr>
            </w:pPr>
            <w:r>
              <w:rPr>
                <w:rFonts w:hint="eastAsia" w:cs="宋体"/>
                <w:color w:val="auto"/>
                <w:sz w:val="24"/>
                <w:szCs w:val="24"/>
                <w:highlight w:val="none"/>
              </w:rPr>
              <w:t>货物或服务名称</w:t>
            </w:r>
          </w:p>
        </w:tc>
        <w:tc>
          <w:tcPr>
            <w:tcW w:w="2220" w:type="dxa"/>
            <w:tcBorders>
              <w:top w:val="single" w:color="000000" w:sz="12" w:space="0"/>
              <w:left w:val="single" w:color="000000" w:sz="6" w:space="0"/>
              <w:bottom w:val="single" w:color="000000" w:sz="6" w:space="0"/>
              <w:right w:val="single" w:color="000000" w:sz="6" w:space="0"/>
            </w:tcBorders>
            <w:noWrap w:val="0"/>
            <w:vAlign w:val="center"/>
          </w:tcPr>
          <w:p w14:paraId="44B616B8">
            <w:pPr>
              <w:spacing w:line="360" w:lineRule="auto"/>
              <w:ind w:firstLine="480"/>
              <w:jc w:val="center"/>
              <w:rPr>
                <w:rFonts w:cs="宋体"/>
                <w:color w:val="auto"/>
                <w:sz w:val="24"/>
                <w:szCs w:val="24"/>
                <w:highlight w:val="none"/>
              </w:rPr>
            </w:pPr>
            <w:r>
              <w:rPr>
                <w:rFonts w:hint="eastAsia" w:cs="宋体"/>
                <w:color w:val="auto"/>
                <w:sz w:val="24"/>
                <w:szCs w:val="24"/>
                <w:highlight w:val="none"/>
              </w:rPr>
              <w:t>磋商文件要求</w:t>
            </w:r>
          </w:p>
        </w:tc>
        <w:tc>
          <w:tcPr>
            <w:tcW w:w="2720" w:type="dxa"/>
            <w:tcBorders>
              <w:top w:val="single" w:color="000000" w:sz="12" w:space="0"/>
              <w:left w:val="single" w:color="000000" w:sz="6" w:space="0"/>
              <w:bottom w:val="single" w:color="000000" w:sz="6" w:space="0"/>
              <w:right w:val="single" w:color="000000" w:sz="6" w:space="0"/>
            </w:tcBorders>
            <w:noWrap w:val="0"/>
            <w:vAlign w:val="center"/>
          </w:tcPr>
          <w:p w14:paraId="2DB26E88">
            <w:pPr>
              <w:spacing w:line="360" w:lineRule="auto"/>
              <w:jc w:val="center"/>
              <w:rPr>
                <w:rFonts w:cs="宋体"/>
                <w:color w:val="auto"/>
                <w:sz w:val="24"/>
                <w:szCs w:val="24"/>
                <w:highlight w:val="none"/>
              </w:rPr>
            </w:pPr>
            <w:r>
              <w:rPr>
                <w:rFonts w:hint="eastAsia" w:cs="宋体"/>
                <w:color w:val="auto"/>
                <w:sz w:val="24"/>
                <w:szCs w:val="24"/>
                <w:highlight w:val="none"/>
              </w:rPr>
              <w:t>响应文件响应情况</w:t>
            </w:r>
          </w:p>
        </w:tc>
        <w:tc>
          <w:tcPr>
            <w:tcW w:w="1417" w:type="dxa"/>
            <w:tcBorders>
              <w:top w:val="single" w:color="000000" w:sz="12" w:space="0"/>
              <w:left w:val="single" w:color="000000" w:sz="6" w:space="0"/>
              <w:bottom w:val="single" w:color="000000" w:sz="6" w:space="0"/>
              <w:right w:val="single" w:color="000000" w:sz="12" w:space="0"/>
            </w:tcBorders>
            <w:noWrap w:val="0"/>
            <w:vAlign w:val="center"/>
          </w:tcPr>
          <w:p w14:paraId="61A21FD4">
            <w:pPr>
              <w:spacing w:line="360" w:lineRule="auto"/>
              <w:jc w:val="center"/>
              <w:rPr>
                <w:rFonts w:cs="宋体"/>
                <w:color w:val="auto"/>
                <w:sz w:val="24"/>
                <w:szCs w:val="24"/>
                <w:highlight w:val="none"/>
              </w:rPr>
            </w:pPr>
            <w:r>
              <w:rPr>
                <w:rFonts w:hint="eastAsia" w:cs="宋体"/>
                <w:color w:val="auto"/>
                <w:sz w:val="24"/>
                <w:szCs w:val="24"/>
                <w:highlight w:val="none"/>
              </w:rPr>
              <w:t>偏离说明</w:t>
            </w:r>
          </w:p>
        </w:tc>
      </w:tr>
      <w:tr w14:paraId="567F62C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943" w:type="dxa"/>
            <w:tcBorders>
              <w:top w:val="single" w:color="000000" w:sz="6" w:space="0"/>
              <w:left w:val="single" w:color="000000" w:sz="12" w:space="0"/>
              <w:bottom w:val="single" w:color="000000" w:sz="6" w:space="0"/>
              <w:right w:val="single" w:color="000000" w:sz="6" w:space="0"/>
            </w:tcBorders>
            <w:noWrap w:val="0"/>
            <w:vAlign w:val="center"/>
          </w:tcPr>
          <w:p w14:paraId="4BC2548B">
            <w:pPr>
              <w:spacing w:line="360" w:lineRule="auto"/>
              <w:jc w:val="center"/>
              <w:rPr>
                <w:rFonts w:cs="宋体"/>
                <w:color w:val="auto"/>
                <w:sz w:val="24"/>
                <w:szCs w:val="24"/>
                <w:highlight w:val="none"/>
              </w:rPr>
            </w:pPr>
            <w:r>
              <w:rPr>
                <w:rFonts w:hint="eastAsia" w:cs="宋体"/>
                <w:color w:val="auto"/>
                <w:sz w:val="24"/>
                <w:szCs w:val="24"/>
                <w:highlight w:val="none"/>
              </w:rPr>
              <w:t>1</w:t>
            </w:r>
          </w:p>
        </w:tc>
        <w:tc>
          <w:tcPr>
            <w:tcW w:w="1455" w:type="dxa"/>
            <w:tcBorders>
              <w:top w:val="single" w:color="000000" w:sz="6" w:space="0"/>
              <w:left w:val="single" w:color="000000" w:sz="6" w:space="0"/>
              <w:bottom w:val="single" w:color="000000" w:sz="6" w:space="0"/>
              <w:right w:val="single" w:color="000000" w:sz="6" w:space="0"/>
            </w:tcBorders>
            <w:noWrap w:val="0"/>
            <w:vAlign w:val="center"/>
          </w:tcPr>
          <w:p w14:paraId="475AD751">
            <w:pPr>
              <w:spacing w:line="360" w:lineRule="auto"/>
              <w:ind w:firstLine="480"/>
              <w:jc w:val="center"/>
              <w:rPr>
                <w:rFonts w:cs="宋体"/>
                <w:color w:val="auto"/>
                <w:sz w:val="24"/>
                <w:szCs w:val="24"/>
                <w:highlight w:val="none"/>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424B45A0">
            <w:pPr>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29FAF1DA">
            <w:pPr>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544C003A">
            <w:pPr>
              <w:spacing w:line="360" w:lineRule="auto"/>
              <w:ind w:firstLine="480"/>
              <w:jc w:val="center"/>
              <w:rPr>
                <w:rFonts w:cs="宋体"/>
                <w:color w:val="auto"/>
                <w:sz w:val="24"/>
                <w:szCs w:val="24"/>
                <w:highlight w:val="none"/>
              </w:rPr>
            </w:pPr>
          </w:p>
        </w:tc>
      </w:tr>
      <w:tr w14:paraId="5F606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jc w:val="center"/>
        </w:trPr>
        <w:tc>
          <w:tcPr>
            <w:tcW w:w="943" w:type="dxa"/>
            <w:tcBorders>
              <w:top w:val="single" w:color="000000" w:sz="6" w:space="0"/>
              <w:left w:val="single" w:color="000000" w:sz="12" w:space="0"/>
              <w:bottom w:val="single" w:color="000000" w:sz="6" w:space="0"/>
              <w:right w:val="single" w:color="000000" w:sz="6" w:space="0"/>
            </w:tcBorders>
            <w:noWrap w:val="0"/>
            <w:vAlign w:val="center"/>
          </w:tcPr>
          <w:p w14:paraId="5CA98082">
            <w:pPr>
              <w:spacing w:line="360" w:lineRule="auto"/>
              <w:jc w:val="center"/>
              <w:rPr>
                <w:rFonts w:cs="宋体"/>
                <w:color w:val="auto"/>
                <w:sz w:val="24"/>
                <w:szCs w:val="24"/>
                <w:highlight w:val="none"/>
              </w:rPr>
            </w:pPr>
            <w:r>
              <w:rPr>
                <w:rFonts w:hint="eastAsia" w:cs="宋体"/>
                <w:color w:val="auto"/>
                <w:sz w:val="24"/>
                <w:szCs w:val="24"/>
                <w:highlight w:val="none"/>
              </w:rPr>
              <w:t>2</w:t>
            </w:r>
          </w:p>
        </w:tc>
        <w:tc>
          <w:tcPr>
            <w:tcW w:w="1455" w:type="dxa"/>
            <w:tcBorders>
              <w:top w:val="single" w:color="000000" w:sz="6" w:space="0"/>
              <w:left w:val="single" w:color="000000" w:sz="6" w:space="0"/>
              <w:bottom w:val="single" w:color="000000" w:sz="6" w:space="0"/>
              <w:right w:val="single" w:color="000000" w:sz="6" w:space="0"/>
            </w:tcBorders>
            <w:noWrap w:val="0"/>
            <w:vAlign w:val="center"/>
          </w:tcPr>
          <w:p w14:paraId="0E8C6D23">
            <w:pPr>
              <w:spacing w:line="360" w:lineRule="auto"/>
              <w:ind w:firstLine="480"/>
              <w:jc w:val="center"/>
              <w:rPr>
                <w:rFonts w:cs="宋体"/>
                <w:color w:val="auto"/>
                <w:sz w:val="24"/>
                <w:szCs w:val="24"/>
                <w:highlight w:val="none"/>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798CCAA4">
            <w:pPr>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616C015A">
            <w:pPr>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53E64494">
            <w:pPr>
              <w:spacing w:line="360" w:lineRule="auto"/>
              <w:ind w:firstLine="480"/>
              <w:jc w:val="center"/>
              <w:rPr>
                <w:rFonts w:cs="宋体"/>
                <w:color w:val="auto"/>
                <w:sz w:val="24"/>
                <w:szCs w:val="24"/>
                <w:highlight w:val="none"/>
              </w:rPr>
            </w:pPr>
          </w:p>
        </w:tc>
      </w:tr>
      <w:tr w14:paraId="5B392D6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943" w:type="dxa"/>
            <w:tcBorders>
              <w:top w:val="single" w:color="000000" w:sz="6" w:space="0"/>
              <w:left w:val="single" w:color="000000" w:sz="12" w:space="0"/>
              <w:bottom w:val="single" w:color="000000" w:sz="6" w:space="0"/>
              <w:right w:val="single" w:color="000000" w:sz="6" w:space="0"/>
            </w:tcBorders>
            <w:noWrap w:val="0"/>
            <w:vAlign w:val="center"/>
          </w:tcPr>
          <w:p w14:paraId="2627D793">
            <w:pPr>
              <w:spacing w:line="360" w:lineRule="auto"/>
              <w:jc w:val="center"/>
              <w:rPr>
                <w:rFonts w:cs="宋体"/>
                <w:color w:val="auto"/>
                <w:sz w:val="24"/>
                <w:szCs w:val="24"/>
                <w:highlight w:val="none"/>
              </w:rPr>
            </w:pPr>
            <w:r>
              <w:rPr>
                <w:rFonts w:hint="eastAsia" w:cs="宋体"/>
                <w:color w:val="auto"/>
                <w:sz w:val="24"/>
                <w:szCs w:val="24"/>
                <w:highlight w:val="none"/>
              </w:rPr>
              <w:t>3</w:t>
            </w:r>
          </w:p>
        </w:tc>
        <w:tc>
          <w:tcPr>
            <w:tcW w:w="1455" w:type="dxa"/>
            <w:tcBorders>
              <w:top w:val="single" w:color="000000" w:sz="6" w:space="0"/>
              <w:left w:val="single" w:color="000000" w:sz="6" w:space="0"/>
              <w:bottom w:val="single" w:color="000000" w:sz="6" w:space="0"/>
              <w:right w:val="single" w:color="000000" w:sz="6" w:space="0"/>
            </w:tcBorders>
            <w:noWrap w:val="0"/>
            <w:vAlign w:val="center"/>
          </w:tcPr>
          <w:p w14:paraId="36557D0A">
            <w:pPr>
              <w:spacing w:line="360" w:lineRule="auto"/>
              <w:ind w:firstLine="480"/>
              <w:jc w:val="center"/>
              <w:rPr>
                <w:rFonts w:cs="宋体"/>
                <w:color w:val="auto"/>
                <w:sz w:val="24"/>
                <w:szCs w:val="24"/>
                <w:highlight w:val="none"/>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79430CB1">
            <w:pPr>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6CAED5E8">
            <w:pPr>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633686DD">
            <w:pPr>
              <w:spacing w:line="360" w:lineRule="auto"/>
              <w:ind w:firstLine="480"/>
              <w:jc w:val="center"/>
              <w:rPr>
                <w:rFonts w:cs="宋体"/>
                <w:color w:val="auto"/>
                <w:sz w:val="24"/>
                <w:szCs w:val="24"/>
                <w:highlight w:val="none"/>
              </w:rPr>
            </w:pPr>
          </w:p>
        </w:tc>
      </w:tr>
      <w:tr w14:paraId="4AD4200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943" w:type="dxa"/>
            <w:tcBorders>
              <w:top w:val="single" w:color="000000" w:sz="6" w:space="0"/>
              <w:left w:val="single" w:color="000000" w:sz="12" w:space="0"/>
              <w:bottom w:val="single" w:color="000000" w:sz="6" w:space="0"/>
              <w:right w:val="single" w:color="000000" w:sz="6" w:space="0"/>
            </w:tcBorders>
            <w:noWrap w:val="0"/>
            <w:vAlign w:val="center"/>
          </w:tcPr>
          <w:p w14:paraId="439D7447">
            <w:pPr>
              <w:spacing w:line="360" w:lineRule="auto"/>
              <w:ind w:firstLine="480"/>
              <w:jc w:val="center"/>
              <w:rPr>
                <w:rFonts w:cs="宋体"/>
                <w:color w:val="auto"/>
                <w:sz w:val="24"/>
                <w:szCs w:val="24"/>
                <w:highlight w:val="none"/>
              </w:rPr>
            </w:pPr>
          </w:p>
        </w:tc>
        <w:tc>
          <w:tcPr>
            <w:tcW w:w="1455" w:type="dxa"/>
            <w:tcBorders>
              <w:top w:val="single" w:color="000000" w:sz="6" w:space="0"/>
              <w:left w:val="single" w:color="000000" w:sz="6" w:space="0"/>
              <w:bottom w:val="single" w:color="000000" w:sz="6" w:space="0"/>
              <w:right w:val="single" w:color="000000" w:sz="6" w:space="0"/>
            </w:tcBorders>
            <w:noWrap w:val="0"/>
            <w:vAlign w:val="center"/>
          </w:tcPr>
          <w:p w14:paraId="7FC562E4">
            <w:pPr>
              <w:spacing w:line="360" w:lineRule="auto"/>
              <w:ind w:firstLine="480"/>
              <w:jc w:val="center"/>
              <w:rPr>
                <w:rFonts w:cs="宋体"/>
                <w:color w:val="auto"/>
                <w:sz w:val="24"/>
                <w:szCs w:val="24"/>
                <w:highlight w:val="none"/>
              </w:rPr>
            </w:pPr>
          </w:p>
        </w:tc>
        <w:tc>
          <w:tcPr>
            <w:tcW w:w="2220" w:type="dxa"/>
            <w:tcBorders>
              <w:top w:val="single" w:color="000000" w:sz="6" w:space="0"/>
              <w:left w:val="single" w:color="000000" w:sz="6" w:space="0"/>
              <w:bottom w:val="single" w:color="000000" w:sz="6" w:space="0"/>
              <w:right w:val="single" w:color="000000" w:sz="6" w:space="0"/>
            </w:tcBorders>
            <w:noWrap w:val="0"/>
            <w:vAlign w:val="center"/>
          </w:tcPr>
          <w:p w14:paraId="004D38D5">
            <w:pPr>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1AC42E36">
            <w:pPr>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4F07219D">
            <w:pPr>
              <w:spacing w:line="360" w:lineRule="auto"/>
              <w:ind w:firstLine="480"/>
              <w:jc w:val="center"/>
              <w:rPr>
                <w:rFonts w:cs="宋体"/>
                <w:color w:val="auto"/>
                <w:sz w:val="24"/>
                <w:szCs w:val="24"/>
                <w:highlight w:val="none"/>
              </w:rPr>
            </w:pPr>
          </w:p>
        </w:tc>
      </w:tr>
    </w:tbl>
    <w:p w14:paraId="670C64CB">
      <w:pPr>
        <w:spacing w:line="360" w:lineRule="auto"/>
        <w:rPr>
          <w:rFonts w:ascii="宋体" w:hAnsi="宋体"/>
          <w:color w:val="auto"/>
          <w:sz w:val="24"/>
          <w:szCs w:val="24"/>
          <w:highlight w:val="none"/>
        </w:rPr>
      </w:pPr>
    </w:p>
    <w:p w14:paraId="1CB29C14">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响应供应商：（盖章）             </w:t>
      </w:r>
    </w:p>
    <w:p w14:paraId="66F93DE1">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法定代表人或被授权人（签字或盖章）：</w:t>
      </w:r>
    </w:p>
    <w:p w14:paraId="708E17FE">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日期：</w:t>
      </w:r>
    </w:p>
    <w:p w14:paraId="6BE3E12C">
      <w:pPr>
        <w:spacing w:line="360" w:lineRule="auto"/>
        <w:rPr>
          <w:rFonts w:ascii="宋体" w:hAnsi="宋体"/>
          <w:color w:val="auto"/>
          <w:sz w:val="24"/>
          <w:szCs w:val="24"/>
          <w:highlight w:val="none"/>
        </w:rPr>
      </w:pPr>
    </w:p>
    <w:p w14:paraId="31A1DDC1">
      <w:pPr>
        <w:spacing w:line="360" w:lineRule="auto"/>
        <w:rPr>
          <w:rFonts w:ascii="宋体" w:hAnsi="宋体"/>
          <w:color w:val="auto"/>
          <w:sz w:val="24"/>
          <w:szCs w:val="24"/>
          <w:highlight w:val="none"/>
        </w:rPr>
      </w:pPr>
    </w:p>
    <w:p w14:paraId="099D12AE">
      <w:pPr>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rPr>
        <w:t>注：</w:t>
      </w:r>
      <w:r>
        <w:rPr>
          <w:rFonts w:hint="eastAsia" w:ascii="宋体" w:hAnsi="宋体"/>
          <w:color w:val="auto"/>
          <w:sz w:val="24"/>
          <w:szCs w:val="24"/>
          <w:highlight w:val="none"/>
          <w:lang w:val="zh-CN"/>
        </w:rPr>
        <w:t>1、供应商提交的响应文件中与采购文件第三部分“项目需求说明”中技术部分的要求有不同时，应逐条填列在偏离表中，否则将认为供应商接受采购文件的所有要求。完全响应部分不填到此表中。</w:t>
      </w:r>
    </w:p>
    <w:p w14:paraId="4FEB5B78">
      <w:pPr>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2、“偏离说明”一栏选择“正偏离”、“负偏离”进行填写。正偏离的确认和负偏离的是否响应采购文件，经三分之二评委认定。</w:t>
      </w:r>
    </w:p>
    <w:p w14:paraId="4B0826F3">
      <w:pPr>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3、供应商如果虚假响应，将承担被暂停参加采购人采购活动的风险。</w:t>
      </w:r>
    </w:p>
    <w:p w14:paraId="3EF73CB2">
      <w:pPr>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4、供应商若提供其他增值服务，可以在表中自行据实填写。</w:t>
      </w:r>
    </w:p>
    <w:p w14:paraId="5989D276">
      <w:pPr>
        <w:spacing w:line="360" w:lineRule="auto"/>
        <w:ind w:firstLine="480"/>
        <w:rPr>
          <w:rFonts w:ascii="宋体" w:hAnsi="宋体"/>
          <w:color w:val="auto"/>
          <w:sz w:val="24"/>
          <w:szCs w:val="24"/>
          <w:highlight w:val="none"/>
        </w:rPr>
      </w:pPr>
    </w:p>
    <w:p w14:paraId="1A86F656">
      <w:pPr>
        <w:spacing w:line="360" w:lineRule="auto"/>
        <w:jc w:val="center"/>
        <w:outlineLvl w:val="3"/>
        <w:rPr>
          <w:rFonts w:ascii="宋体" w:hAnsi="宋体"/>
          <w:b/>
          <w:color w:val="auto"/>
          <w:sz w:val="32"/>
          <w:szCs w:val="32"/>
          <w:highlight w:val="none"/>
        </w:rPr>
      </w:pPr>
      <w:r>
        <w:rPr>
          <w:rFonts w:ascii="宋体" w:hAnsi="宋体"/>
          <w:color w:val="auto"/>
          <w:sz w:val="24"/>
          <w:szCs w:val="24"/>
          <w:highlight w:val="none"/>
        </w:rPr>
        <w:br w:type="page" w:clear="all"/>
      </w:r>
      <w:r>
        <w:rPr>
          <w:rFonts w:hint="eastAsia" w:ascii="Times New Roman" w:hAnsi="Times New Roman"/>
          <w:b/>
          <w:bCs/>
          <w:color w:val="auto"/>
          <w:sz w:val="24"/>
          <w:szCs w:val="21"/>
          <w:highlight w:val="none"/>
          <w:lang w:val="en-US" w:eastAsia="zh-CN"/>
        </w:rPr>
        <w:t>9</w:t>
      </w:r>
      <w:r>
        <w:rPr>
          <w:rFonts w:hint="eastAsia" w:ascii="Times New Roman" w:hAnsi="Times New Roman"/>
          <w:b/>
          <w:bCs/>
          <w:color w:val="auto"/>
          <w:sz w:val="24"/>
          <w:szCs w:val="21"/>
          <w:highlight w:val="none"/>
        </w:rPr>
        <w:t>、商务部分正负偏离表</w:t>
      </w:r>
    </w:p>
    <w:tbl>
      <w:tblPr>
        <w:tblStyle w:val="25"/>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959"/>
        <w:gridCol w:w="1496"/>
        <w:gridCol w:w="2163"/>
        <w:gridCol w:w="2720"/>
        <w:gridCol w:w="1417"/>
      </w:tblGrid>
      <w:tr w14:paraId="182910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994" w:hRule="atLeast"/>
          <w:jc w:val="center"/>
        </w:trPr>
        <w:tc>
          <w:tcPr>
            <w:tcW w:w="959" w:type="dxa"/>
            <w:tcBorders>
              <w:top w:val="single" w:color="000000" w:sz="12" w:space="0"/>
              <w:left w:val="single" w:color="000000" w:sz="12" w:space="0"/>
              <w:bottom w:val="single" w:color="000000" w:sz="6" w:space="0"/>
              <w:right w:val="single" w:color="000000" w:sz="6" w:space="0"/>
            </w:tcBorders>
            <w:noWrap w:val="0"/>
            <w:vAlign w:val="center"/>
          </w:tcPr>
          <w:p w14:paraId="7B220D85">
            <w:pPr>
              <w:spacing w:line="360" w:lineRule="auto"/>
              <w:jc w:val="center"/>
              <w:rPr>
                <w:rFonts w:cs="宋体"/>
                <w:color w:val="auto"/>
                <w:sz w:val="24"/>
                <w:szCs w:val="24"/>
                <w:highlight w:val="none"/>
              </w:rPr>
            </w:pPr>
            <w:r>
              <w:rPr>
                <w:rFonts w:hint="eastAsia" w:cs="宋体"/>
                <w:color w:val="auto"/>
                <w:sz w:val="24"/>
                <w:szCs w:val="24"/>
                <w:highlight w:val="none"/>
              </w:rPr>
              <w:t>序号</w:t>
            </w:r>
          </w:p>
        </w:tc>
        <w:tc>
          <w:tcPr>
            <w:tcW w:w="1496" w:type="dxa"/>
            <w:tcBorders>
              <w:top w:val="single" w:color="000000" w:sz="12" w:space="0"/>
              <w:left w:val="single" w:color="000000" w:sz="6" w:space="0"/>
              <w:bottom w:val="single" w:color="000000" w:sz="6" w:space="0"/>
              <w:right w:val="single" w:color="000000" w:sz="6" w:space="0"/>
            </w:tcBorders>
            <w:noWrap w:val="0"/>
            <w:vAlign w:val="center"/>
          </w:tcPr>
          <w:p w14:paraId="329EA446">
            <w:pPr>
              <w:spacing w:line="360" w:lineRule="auto"/>
              <w:jc w:val="center"/>
              <w:rPr>
                <w:rFonts w:cs="宋体"/>
                <w:color w:val="auto"/>
                <w:sz w:val="24"/>
                <w:szCs w:val="24"/>
                <w:highlight w:val="none"/>
              </w:rPr>
            </w:pPr>
            <w:r>
              <w:rPr>
                <w:rFonts w:hint="eastAsia" w:cs="宋体"/>
                <w:color w:val="auto"/>
                <w:sz w:val="24"/>
                <w:szCs w:val="24"/>
                <w:highlight w:val="none"/>
              </w:rPr>
              <w:t>货物或服务名称</w:t>
            </w:r>
          </w:p>
        </w:tc>
        <w:tc>
          <w:tcPr>
            <w:tcW w:w="2163" w:type="dxa"/>
            <w:tcBorders>
              <w:top w:val="single" w:color="000000" w:sz="12" w:space="0"/>
              <w:left w:val="single" w:color="000000" w:sz="6" w:space="0"/>
              <w:bottom w:val="single" w:color="000000" w:sz="6" w:space="0"/>
              <w:right w:val="single" w:color="000000" w:sz="6" w:space="0"/>
            </w:tcBorders>
            <w:noWrap w:val="0"/>
            <w:vAlign w:val="center"/>
          </w:tcPr>
          <w:p w14:paraId="39346240">
            <w:pPr>
              <w:spacing w:line="360" w:lineRule="auto"/>
              <w:ind w:firstLine="480"/>
              <w:jc w:val="center"/>
              <w:rPr>
                <w:rFonts w:cs="宋体"/>
                <w:color w:val="auto"/>
                <w:sz w:val="24"/>
                <w:szCs w:val="24"/>
                <w:highlight w:val="none"/>
              </w:rPr>
            </w:pPr>
            <w:r>
              <w:rPr>
                <w:rFonts w:hint="eastAsia" w:cs="宋体"/>
                <w:color w:val="auto"/>
                <w:sz w:val="24"/>
                <w:szCs w:val="24"/>
                <w:highlight w:val="none"/>
              </w:rPr>
              <w:t>磋商文件要求</w:t>
            </w:r>
          </w:p>
        </w:tc>
        <w:tc>
          <w:tcPr>
            <w:tcW w:w="2720" w:type="dxa"/>
            <w:tcBorders>
              <w:top w:val="single" w:color="000000" w:sz="12" w:space="0"/>
              <w:left w:val="single" w:color="000000" w:sz="6" w:space="0"/>
              <w:bottom w:val="single" w:color="000000" w:sz="6" w:space="0"/>
              <w:right w:val="single" w:color="000000" w:sz="6" w:space="0"/>
            </w:tcBorders>
            <w:noWrap w:val="0"/>
            <w:vAlign w:val="center"/>
          </w:tcPr>
          <w:p w14:paraId="53005CDC">
            <w:pPr>
              <w:spacing w:line="360" w:lineRule="auto"/>
              <w:jc w:val="center"/>
              <w:rPr>
                <w:rFonts w:cs="宋体"/>
                <w:color w:val="auto"/>
                <w:sz w:val="24"/>
                <w:szCs w:val="24"/>
                <w:highlight w:val="none"/>
              </w:rPr>
            </w:pPr>
            <w:r>
              <w:rPr>
                <w:rFonts w:hint="eastAsia" w:cs="宋体"/>
                <w:color w:val="auto"/>
                <w:sz w:val="24"/>
                <w:szCs w:val="24"/>
                <w:highlight w:val="none"/>
              </w:rPr>
              <w:t>响应文件响应情况</w:t>
            </w:r>
          </w:p>
        </w:tc>
        <w:tc>
          <w:tcPr>
            <w:tcW w:w="1417" w:type="dxa"/>
            <w:tcBorders>
              <w:top w:val="single" w:color="000000" w:sz="12" w:space="0"/>
              <w:left w:val="single" w:color="000000" w:sz="6" w:space="0"/>
              <w:bottom w:val="single" w:color="000000" w:sz="6" w:space="0"/>
              <w:right w:val="single" w:color="000000" w:sz="12" w:space="0"/>
            </w:tcBorders>
            <w:noWrap w:val="0"/>
            <w:vAlign w:val="center"/>
          </w:tcPr>
          <w:p w14:paraId="6B65853A">
            <w:pPr>
              <w:spacing w:line="360" w:lineRule="auto"/>
              <w:jc w:val="center"/>
              <w:rPr>
                <w:rFonts w:cs="宋体"/>
                <w:color w:val="auto"/>
                <w:sz w:val="24"/>
                <w:szCs w:val="24"/>
                <w:highlight w:val="none"/>
              </w:rPr>
            </w:pPr>
            <w:r>
              <w:rPr>
                <w:rFonts w:hint="eastAsia" w:cs="宋体"/>
                <w:color w:val="auto"/>
                <w:sz w:val="24"/>
                <w:szCs w:val="24"/>
                <w:highlight w:val="none"/>
              </w:rPr>
              <w:t>偏离说明</w:t>
            </w:r>
          </w:p>
        </w:tc>
      </w:tr>
      <w:tr w14:paraId="540674E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4" w:hRule="atLeast"/>
          <w:jc w:val="center"/>
        </w:trPr>
        <w:tc>
          <w:tcPr>
            <w:tcW w:w="959" w:type="dxa"/>
            <w:tcBorders>
              <w:top w:val="single" w:color="000000" w:sz="6" w:space="0"/>
              <w:left w:val="single" w:color="000000" w:sz="12" w:space="0"/>
              <w:bottom w:val="single" w:color="000000" w:sz="6" w:space="0"/>
              <w:right w:val="single" w:color="000000" w:sz="6" w:space="0"/>
            </w:tcBorders>
            <w:noWrap w:val="0"/>
            <w:vAlign w:val="center"/>
          </w:tcPr>
          <w:p w14:paraId="5B85A2CA">
            <w:pPr>
              <w:spacing w:line="360" w:lineRule="auto"/>
              <w:jc w:val="center"/>
              <w:rPr>
                <w:rFonts w:cs="宋体"/>
                <w:color w:val="auto"/>
                <w:sz w:val="24"/>
                <w:szCs w:val="24"/>
                <w:highlight w:val="none"/>
              </w:rPr>
            </w:pPr>
            <w:r>
              <w:rPr>
                <w:rFonts w:hint="eastAsia" w:cs="宋体"/>
                <w:color w:val="auto"/>
                <w:sz w:val="24"/>
                <w:szCs w:val="24"/>
                <w:highlight w:val="none"/>
              </w:rPr>
              <w:t>1</w:t>
            </w:r>
          </w:p>
        </w:tc>
        <w:tc>
          <w:tcPr>
            <w:tcW w:w="1496" w:type="dxa"/>
            <w:tcBorders>
              <w:top w:val="single" w:color="000000" w:sz="6" w:space="0"/>
              <w:left w:val="single" w:color="000000" w:sz="6" w:space="0"/>
              <w:bottom w:val="single" w:color="000000" w:sz="6" w:space="0"/>
              <w:right w:val="single" w:color="000000" w:sz="6" w:space="0"/>
            </w:tcBorders>
            <w:noWrap w:val="0"/>
            <w:vAlign w:val="center"/>
          </w:tcPr>
          <w:p w14:paraId="45F646A8">
            <w:pPr>
              <w:spacing w:line="360" w:lineRule="auto"/>
              <w:ind w:firstLine="480"/>
              <w:jc w:val="center"/>
              <w:rPr>
                <w:rFonts w:cs="宋体"/>
                <w:color w:val="auto"/>
                <w:sz w:val="24"/>
                <w:szCs w:val="24"/>
                <w:highlight w:val="none"/>
              </w:rPr>
            </w:pPr>
          </w:p>
        </w:tc>
        <w:tc>
          <w:tcPr>
            <w:tcW w:w="2163" w:type="dxa"/>
            <w:tcBorders>
              <w:top w:val="single" w:color="000000" w:sz="6" w:space="0"/>
              <w:left w:val="single" w:color="000000" w:sz="6" w:space="0"/>
              <w:bottom w:val="single" w:color="000000" w:sz="6" w:space="0"/>
              <w:right w:val="single" w:color="000000" w:sz="6" w:space="0"/>
            </w:tcBorders>
            <w:noWrap w:val="0"/>
            <w:vAlign w:val="center"/>
          </w:tcPr>
          <w:p w14:paraId="52E469F1">
            <w:pPr>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35A1AA21">
            <w:pPr>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6AA08621">
            <w:pPr>
              <w:spacing w:line="360" w:lineRule="auto"/>
              <w:ind w:firstLine="480"/>
              <w:jc w:val="center"/>
              <w:rPr>
                <w:rFonts w:cs="宋体"/>
                <w:color w:val="auto"/>
                <w:sz w:val="24"/>
                <w:szCs w:val="24"/>
                <w:highlight w:val="none"/>
              </w:rPr>
            </w:pPr>
          </w:p>
        </w:tc>
      </w:tr>
      <w:tr w14:paraId="29F7526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548" w:hRule="atLeast"/>
          <w:jc w:val="center"/>
        </w:trPr>
        <w:tc>
          <w:tcPr>
            <w:tcW w:w="959" w:type="dxa"/>
            <w:tcBorders>
              <w:top w:val="single" w:color="000000" w:sz="6" w:space="0"/>
              <w:left w:val="single" w:color="000000" w:sz="12" w:space="0"/>
              <w:bottom w:val="single" w:color="000000" w:sz="6" w:space="0"/>
              <w:right w:val="single" w:color="000000" w:sz="6" w:space="0"/>
            </w:tcBorders>
            <w:noWrap w:val="0"/>
            <w:vAlign w:val="center"/>
          </w:tcPr>
          <w:p w14:paraId="788CE1FD">
            <w:pPr>
              <w:spacing w:line="360" w:lineRule="auto"/>
              <w:jc w:val="center"/>
              <w:rPr>
                <w:rFonts w:cs="宋体"/>
                <w:color w:val="auto"/>
                <w:sz w:val="24"/>
                <w:szCs w:val="24"/>
                <w:highlight w:val="none"/>
              </w:rPr>
            </w:pPr>
            <w:r>
              <w:rPr>
                <w:rFonts w:hint="eastAsia" w:cs="宋体"/>
                <w:color w:val="auto"/>
                <w:sz w:val="24"/>
                <w:szCs w:val="24"/>
                <w:highlight w:val="none"/>
              </w:rPr>
              <w:t>2</w:t>
            </w:r>
          </w:p>
        </w:tc>
        <w:tc>
          <w:tcPr>
            <w:tcW w:w="1496" w:type="dxa"/>
            <w:tcBorders>
              <w:top w:val="single" w:color="000000" w:sz="6" w:space="0"/>
              <w:left w:val="single" w:color="000000" w:sz="6" w:space="0"/>
              <w:bottom w:val="single" w:color="000000" w:sz="6" w:space="0"/>
              <w:right w:val="single" w:color="000000" w:sz="6" w:space="0"/>
            </w:tcBorders>
            <w:noWrap w:val="0"/>
            <w:vAlign w:val="center"/>
          </w:tcPr>
          <w:p w14:paraId="46D6321F">
            <w:pPr>
              <w:spacing w:line="360" w:lineRule="auto"/>
              <w:ind w:firstLine="480"/>
              <w:jc w:val="center"/>
              <w:rPr>
                <w:rFonts w:cs="宋体"/>
                <w:color w:val="auto"/>
                <w:sz w:val="24"/>
                <w:szCs w:val="24"/>
                <w:highlight w:val="none"/>
              </w:rPr>
            </w:pPr>
          </w:p>
        </w:tc>
        <w:tc>
          <w:tcPr>
            <w:tcW w:w="2163" w:type="dxa"/>
            <w:tcBorders>
              <w:top w:val="single" w:color="000000" w:sz="6" w:space="0"/>
              <w:left w:val="single" w:color="000000" w:sz="6" w:space="0"/>
              <w:bottom w:val="single" w:color="000000" w:sz="6" w:space="0"/>
              <w:right w:val="single" w:color="000000" w:sz="6" w:space="0"/>
            </w:tcBorders>
            <w:noWrap w:val="0"/>
            <w:vAlign w:val="center"/>
          </w:tcPr>
          <w:p w14:paraId="62AF76A1">
            <w:pPr>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272293B9">
            <w:pPr>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55867ABA">
            <w:pPr>
              <w:spacing w:line="360" w:lineRule="auto"/>
              <w:ind w:firstLine="480"/>
              <w:jc w:val="center"/>
              <w:rPr>
                <w:rFonts w:cs="宋体"/>
                <w:color w:val="auto"/>
                <w:sz w:val="24"/>
                <w:szCs w:val="24"/>
                <w:highlight w:val="none"/>
              </w:rPr>
            </w:pPr>
          </w:p>
        </w:tc>
      </w:tr>
      <w:tr w14:paraId="3B6341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00" w:hRule="atLeast"/>
          <w:jc w:val="center"/>
        </w:trPr>
        <w:tc>
          <w:tcPr>
            <w:tcW w:w="959" w:type="dxa"/>
            <w:tcBorders>
              <w:top w:val="single" w:color="000000" w:sz="6" w:space="0"/>
              <w:left w:val="single" w:color="000000" w:sz="12" w:space="0"/>
              <w:bottom w:val="single" w:color="000000" w:sz="6" w:space="0"/>
              <w:right w:val="single" w:color="000000" w:sz="6" w:space="0"/>
            </w:tcBorders>
            <w:noWrap w:val="0"/>
            <w:vAlign w:val="center"/>
          </w:tcPr>
          <w:p w14:paraId="0BE74EC5">
            <w:pPr>
              <w:spacing w:line="360" w:lineRule="auto"/>
              <w:jc w:val="center"/>
              <w:rPr>
                <w:rFonts w:cs="宋体"/>
                <w:color w:val="auto"/>
                <w:sz w:val="24"/>
                <w:szCs w:val="24"/>
                <w:highlight w:val="none"/>
              </w:rPr>
            </w:pPr>
            <w:r>
              <w:rPr>
                <w:rFonts w:hint="eastAsia" w:cs="宋体"/>
                <w:color w:val="auto"/>
                <w:sz w:val="24"/>
                <w:szCs w:val="24"/>
                <w:highlight w:val="none"/>
              </w:rPr>
              <w:t>3</w:t>
            </w:r>
          </w:p>
        </w:tc>
        <w:tc>
          <w:tcPr>
            <w:tcW w:w="1496" w:type="dxa"/>
            <w:tcBorders>
              <w:top w:val="single" w:color="000000" w:sz="6" w:space="0"/>
              <w:left w:val="single" w:color="000000" w:sz="6" w:space="0"/>
              <w:bottom w:val="single" w:color="000000" w:sz="6" w:space="0"/>
              <w:right w:val="single" w:color="000000" w:sz="6" w:space="0"/>
            </w:tcBorders>
            <w:noWrap w:val="0"/>
            <w:vAlign w:val="center"/>
          </w:tcPr>
          <w:p w14:paraId="7D9F93D4">
            <w:pPr>
              <w:spacing w:line="360" w:lineRule="auto"/>
              <w:ind w:firstLine="480"/>
              <w:jc w:val="center"/>
              <w:rPr>
                <w:rFonts w:cs="宋体"/>
                <w:color w:val="auto"/>
                <w:sz w:val="24"/>
                <w:szCs w:val="24"/>
                <w:highlight w:val="none"/>
              </w:rPr>
            </w:pPr>
          </w:p>
        </w:tc>
        <w:tc>
          <w:tcPr>
            <w:tcW w:w="2163" w:type="dxa"/>
            <w:tcBorders>
              <w:top w:val="single" w:color="000000" w:sz="6" w:space="0"/>
              <w:left w:val="single" w:color="000000" w:sz="6" w:space="0"/>
              <w:bottom w:val="single" w:color="000000" w:sz="6" w:space="0"/>
              <w:right w:val="single" w:color="000000" w:sz="6" w:space="0"/>
            </w:tcBorders>
            <w:noWrap w:val="0"/>
            <w:vAlign w:val="center"/>
          </w:tcPr>
          <w:p w14:paraId="26C08133">
            <w:pPr>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1237EE74">
            <w:pPr>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5871D03E">
            <w:pPr>
              <w:spacing w:line="360" w:lineRule="auto"/>
              <w:ind w:firstLine="480"/>
              <w:jc w:val="center"/>
              <w:rPr>
                <w:rFonts w:cs="宋体"/>
                <w:color w:val="auto"/>
                <w:sz w:val="24"/>
                <w:szCs w:val="24"/>
                <w:highlight w:val="none"/>
              </w:rPr>
            </w:pPr>
          </w:p>
        </w:tc>
      </w:tr>
      <w:tr w14:paraId="7C14A7C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419" w:hRule="atLeast"/>
          <w:jc w:val="center"/>
        </w:trPr>
        <w:tc>
          <w:tcPr>
            <w:tcW w:w="959" w:type="dxa"/>
            <w:tcBorders>
              <w:top w:val="single" w:color="000000" w:sz="6" w:space="0"/>
              <w:left w:val="single" w:color="000000" w:sz="12" w:space="0"/>
              <w:bottom w:val="single" w:color="000000" w:sz="6" w:space="0"/>
              <w:right w:val="single" w:color="000000" w:sz="6" w:space="0"/>
            </w:tcBorders>
            <w:noWrap w:val="0"/>
            <w:vAlign w:val="center"/>
          </w:tcPr>
          <w:p w14:paraId="36D49587">
            <w:pPr>
              <w:spacing w:line="360" w:lineRule="auto"/>
              <w:ind w:firstLine="480"/>
              <w:jc w:val="center"/>
              <w:rPr>
                <w:rFonts w:cs="宋体"/>
                <w:color w:val="auto"/>
                <w:sz w:val="24"/>
                <w:szCs w:val="24"/>
                <w:highlight w:val="none"/>
              </w:rPr>
            </w:pPr>
          </w:p>
        </w:tc>
        <w:tc>
          <w:tcPr>
            <w:tcW w:w="1496" w:type="dxa"/>
            <w:tcBorders>
              <w:top w:val="single" w:color="000000" w:sz="6" w:space="0"/>
              <w:left w:val="single" w:color="000000" w:sz="6" w:space="0"/>
              <w:bottom w:val="single" w:color="000000" w:sz="6" w:space="0"/>
              <w:right w:val="single" w:color="000000" w:sz="6" w:space="0"/>
            </w:tcBorders>
            <w:noWrap w:val="0"/>
            <w:vAlign w:val="center"/>
          </w:tcPr>
          <w:p w14:paraId="1C9F2BC6">
            <w:pPr>
              <w:spacing w:line="360" w:lineRule="auto"/>
              <w:ind w:firstLine="480"/>
              <w:jc w:val="center"/>
              <w:rPr>
                <w:rFonts w:cs="宋体"/>
                <w:color w:val="auto"/>
                <w:sz w:val="24"/>
                <w:szCs w:val="24"/>
                <w:highlight w:val="none"/>
              </w:rPr>
            </w:pPr>
          </w:p>
        </w:tc>
        <w:tc>
          <w:tcPr>
            <w:tcW w:w="2163" w:type="dxa"/>
            <w:tcBorders>
              <w:top w:val="single" w:color="000000" w:sz="6" w:space="0"/>
              <w:left w:val="single" w:color="000000" w:sz="6" w:space="0"/>
              <w:bottom w:val="single" w:color="000000" w:sz="6" w:space="0"/>
              <w:right w:val="single" w:color="000000" w:sz="6" w:space="0"/>
            </w:tcBorders>
            <w:noWrap w:val="0"/>
            <w:vAlign w:val="center"/>
          </w:tcPr>
          <w:p w14:paraId="4E2C6CF4">
            <w:pPr>
              <w:spacing w:line="360" w:lineRule="auto"/>
              <w:ind w:firstLine="480"/>
              <w:jc w:val="center"/>
              <w:rPr>
                <w:rFonts w:cs="宋体"/>
                <w:color w:val="auto"/>
                <w:sz w:val="24"/>
                <w:szCs w:val="24"/>
                <w:highlight w:val="none"/>
              </w:rPr>
            </w:pPr>
          </w:p>
        </w:tc>
        <w:tc>
          <w:tcPr>
            <w:tcW w:w="2720" w:type="dxa"/>
            <w:tcBorders>
              <w:top w:val="single" w:color="000000" w:sz="6" w:space="0"/>
              <w:left w:val="single" w:color="000000" w:sz="6" w:space="0"/>
              <w:bottom w:val="single" w:color="000000" w:sz="6" w:space="0"/>
              <w:right w:val="single" w:color="000000" w:sz="6" w:space="0"/>
            </w:tcBorders>
            <w:noWrap w:val="0"/>
            <w:vAlign w:val="center"/>
          </w:tcPr>
          <w:p w14:paraId="1FFCD54D">
            <w:pPr>
              <w:spacing w:line="360" w:lineRule="auto"/>
              <w:ind w:firstLine="480"/>
              <w:jc w:val="center"/>
              <w:rPr>
                <w:rFonts w:cs="宋体"/>
                <w:color w:val="auto"/>
                <w:sz w:val="24"/>
                <w:szCs w:val="24"/>
                <w:highlight w:val="none"/>
              </w:rPr>
            </w:pPr>
          </w:p>
        </w:tc>
        <w:tc>
          <w:tcPr>
            <w:tcW w:w="1417" w:type="dxa"/>
            <w:tcBorders>
              <w:top w:val="single" w:color="000000" w:sz="6" w:space="0"/>
              <w:left w:val="single" w:color="000000" w:sz="6" w:space="0"/>
              <w:bottom w:val="single" w:color="000000" w:sz="6" w:space="0"/>
              <w:right w:val="single" w:color="000000" w:sz="12" w:space="0"/>
            </w:tcBorders>
            <w:noWrap w:val="0"/>
            <w:vAlign w:val="center"/>
          </w:tcPr>
          <w:p w14:paraId="62943DF1">
            <w:pPr>
              <w:spacing w:line="360" w:lineRule="auto"/>
              <w:ind w:firstLine="480"/>
              <w:jc w:val="center"/>
              <w:rPr>
                <w:rFonts w:cs="宋体"/>
                <w:color w:val="auto"/>
                <w:sz w:val="24"/>
                <w:szCs w:val="24"/>
                <w:highlight w:val="none"/>
              </w:rPr>
            </w:pPr>
          </w:p>
        </w:tc>
      </w:tr>
    </w:tbl>
    <w:p w14:paraId="4270E1BE">
      <w:pPr>
        <w:spacing w:line="360" w:lineRule="auto"/>
        <w:rPr>
          <w:rFonts w:ascii="宋体" w:hAnsi="宋体"/>
          <w:color w:val="auto"/>
          <w:sz w:val="24"/>
          <w:szCs w:val="24"/>
          <w:highlight w:val="none"/>
        </w:rPr>
      </w:pPr>
    </w:p>
    <w:p w14:paraId="4120F7E9">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 xml:space="preserve">响应供应商：（盖章）             </w:t>
      </w:r>
    </w:p>
    <w:p w14:paraId="77B7CFC0">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法定代表人或被授权人（签字或盖章）：</w:t>
      </w:r>
    </w:p>
    <w:p w14:paraId="0729F734">
      <w:pPr>
        <w:spacing w:line="360" w:lineRule="auto"/>
        <w:ind w:firstLine="480"/>
        <w:rPr>
          <w:rFonts w:ascii="宋体" w:hAnsi="宋体"/>
          <w:color w:val="auto"/>
          <w:sz w:val="24"/>
          <w:szCs w:val="24"/>
          <w:highlight w:val="none"/>
        </w:rPr>
      </w:pPr>
      <w:r>
        <w:rPr>
          <w:rFonts w:hint="eastAsia" w:ascii="宋体" w:hAnsi="宋体"/>
          <w:color w:val="auto"/>
          <w:sz w:val="24"/>
          <w:szCs w:val="24"/>
          <w:highlight w:val="none"/>
        </w:rPr>
        <w:t>日期：</w:t>
      </w:r>
    </w:p>
    <w:p w14:paraId="0D7767EF">
      <w:pPr>
        <w:spacing w:line="360" w:lineRule="auto"/>
        <w:ind w:firstLine="482"/>
        <w:rPr>
          <w:rFonts w:ascii="宋体" w:hAnsi="宋体"/>
          <w:b/>
          <w:color w:val="auto"/>
          <w:sz w:val="24"/>
          <w:szCs w:val="24"/>
          <w:highlight w:val="none"/>
        </w:rPr>
      </w:pPr>
    </w:p>
    <w:p w14:paraId="023D9394">
      <w:pPr>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注：1、供应商提交的响应文件中与采购文件第三部分“项目需求说明”中商务部分的要求有不同时，应逐条填列在偏离表中，否则将认为供应商接受采购文件的所有要求。完全响应部分不填到此表中。</w:t>
      </w:r>
    </w:p>
    <w:p w14:paraId="41F6D0B5">
      <w:pPr>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2、“偏离说明”一栏选择“正偏离”、“负偏离”进行填写。正偏离的确认和负偏离的是否响应采购文件，经三分之二评委认定。</w:t>
      </w:r>
    </w:p>
    <w:p w14:paraId="35604A94">
      <w:pPr>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3、供应商如果虚假响应，将承担被暂停参加采购人采购活动的风险。</w:t>
      </w:r>
    </w:p>
    <w:p w14:paraId="15066F08">
      <w:pPr>
        <w:spacing w:line="360" w:lineRule="auto"/>
        <w:ind w:firstLine="480"/>
        <w:rPr>
          <w:rFonts w:ascii="宋体" w:hAnsi="宋体"/>
          <w:color w:val="auto"/>
          <w:sz w:val="24"/>
          <w:szCs w:val="24"/>
          <w:highlight w:val="none"/>
          <w:lang w:val="zh-CN"/>
        </w:rPr>
      </w:pPr>
      <w:r>
        <w:rPr>
          <w:rFonts w:hint="eastAsia" w:ascii="宋体" w:hAnsi="宋体"/>
          <w:color w:val="auto"/>
          <w:sz w:val="24"/>
          <w:szCs w:val="24"/>
          <w:highlight w:val="none"/>
          <w:lang w:val="zh-CN"/>
        </w:rPr>
        <w:t>4、供应商若提供其他增值服务，可以在表中自行据实填写。</w:t>
      </w:r>
    </w:p>
    <w:p w14:paraId="079ECEDB">
      <w:pPr>
        <w:rPr>
          <w:rFonts w:hint="eastAsia" w:ascii="Times New Roman" w:hAnsi="Times New Roman" w:eastAsia="宋体" w:cs="宋体"/>
          <w:b/>
          <w:color w:val="auto"/>
          <w:sz w:val="24"/>
          <w:szCs w:val="24"/>
          <w:highlight w:val="none"/>
          <w:lang w:val="en-US" w:eastAsia="zh-CN"/>
        </w:rPr>
      </w:pPr>
    </w:p>
    <w:p w14:paraId="2B9F3D50">
      <w:pPr>
        <w:rPr>
          <w:rFonts w:hint="eastAsia" w:ascii="Times New Roman" w:hAnsi="Times New Roman" w:eastAsia="宋体" w:cs="宋体"/>
          <w:b/>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br w:type="page"/>
      </w:r>
    </w:p>
    <w:p w14:paraId="458D3AD3">
      <w:pPr>
        <w:keepNext w:val="0"/>
        <w:keepLines w:val="0"/>
        <w:pageBreakBefore w:val="0"/>
        <w:widowControl w:val="0"/>
        <w:kinsoku/>
        <w:wordWrap/>
        <w:topLinePunct w:val="0"/>
        <w:autoSpaceDE/>
        <w:autoSpaceDN/>
        <w:bidi w:val="0"/>
        <w:spacing w:line="360" w:lineRule="auto"/>
        <w:jc w:val="center"/>
        <w:rPr>
          <w:rFonts w:ascii="Times New Roman" w:hAnsi="Times New Roman" w:eastAsia="宋体"/>
          <w:color w:val="auto"/>
          <w:highlight w:val="none"/>
        </w:rPr>
      </w:pPr>
      <w:r>
        <w:rPr>
          <w:rFonts w:hint="eastAsia" w:ascii="Times New Roman" w:hAnsi="Times New Roman" w:eastAsia="宋体" w:cs="宋体"/>
          <w:b/>
          <w:color w:val="auto"/>
          <w:sz w:val="24"/>
          <w:szCs w:val="24"/>
          <w:highlight w:val="none"/>
          <w:lang w:val="en-US" w:eastAsia="zh-CN"/>
        </w:rPr>
        <w:t>10</w:t>
      </w:r>
      <w:r>
        <w:rPr>
          <w:rFonts w:hint="eastAsia" w:ascii="Times New Roman" w:hAnsi="Times New Roman" w:eastAsia="宋体" w:cs="宋体"/>
          <w:b/>
          <w:color w:val="auto"/>
          <w:sz w:val="24"/>
          <w:szCs w:val="24"/>
          <w:highlight w:val="none"/>
        </w:rPr>
        <w:t>、磋商响应报价表</w:t>
      </w:r>
    </w:p>
    <w:p w14:paraId="3CF2F475">
      <w:pPr>
        <w:keepNext w:val="0"/>
        <w:keepLines w:val="0"/>
        <w:pageBreakBefore w:val="0"/>
        <w:widowControl w:val="0"/>
        <w:kinsoku/>
        <w:wordWrap/>
        <w:topLinePunct w:val="0"/>
        <w:autoSpaceDE/>
        <w:autoSpaceDN/>
        <w:bidi w:val="0"/>
        <w:spacing w:line="360" w:lineRule="auto"/>
        <w:ind w:firstLine="241" w:firstLineChars="100"/>
        <w:textAlignment w:val="baseline"/>
        <w:rPr>
          <w:rFonts w:hint="eastAsia" w:ascii="Times New Roman" w:hAnsi="Times New Roman" w:eastAsia="宋体"/>
          <w:b/>
          <w:color w:val="auto"/>
          <w:sz w:val="24"/>
          <w:szCs w:val="24"/>
          <w:highlight w:val="none"/>
          <w:lang w:eastAsia="zh-CN"/>
        </w:rPr>
      </w:pPr>
      <w:r>
        <w:rPr>
          <w:rFonts w:hint="eastAsia" w:ascii="Times New Roman" w:hAnsi="Times New Roman" w:eastAsia="宋体"/>
          <w:b/>
          <w:color w:val="auto"/>
          <w:sz w:val="24"/>
          <w:szCs w:val="24"/>
          <w:highlight w:val="none"/>
        </w:rPr>
        <w:t>项目</w:t>
      </w:r>
      <w:r>
        <w:rPr>
          <w:rFonts w:ascii="Times New Roman" w:hAnsi="Times New Roman" w:eastAsia="宋体"/>
          <w:b/>
          <w:color w:val="auto"/>
          <w:sz w:val="24"/>
          <w:szCs w:val="24"/>
          <w:highlight w:val="none"/>
        </w:rPr>
        <w:t>名称：</w:t>
      </w:r>
      <w:r>
        <w:rPr>
          <w:rFonts w:hint="eastAsia" w:ascii="Times New Roman" w:hAnsi="Times New Roman" w:eastAsia="宋体"/>
          <w:color w:val="auto"/>
          <w:sz w:val="24"/>
          <w:szCs w:val="24"/>
          <w:highlight w:val="none"/>
          <w:lang w:eastAsia="zh-CN"/>
        </w:rPr>
        <w:t>南通市第三人民医院新老中央空调系统管路（二期大楼与4#6#楼）之间增设板式换热机组（第二次）</w:t>
      </w:r>
    </w:p>
    <w:tbl>
      <w:tblPr>
        <w:tblStyle w:val="25"/>
        <w:tblW w:w="934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56"/>
        <w:gridCol w:w="2180"/>
        <w:gridCol w:w="1945"/>
        <w:gridCol w:w="3855"/>
        <w:gridCol w:w="806"/>
      </w:tblGrid>
      <w:tr w14:paraId="621FB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61D7714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序号</w:t>
            </w:r>
          </w:p>
        </w:tc>
        <w:tc>
          <w:tcPr>
            <w:tcW w:w="2180" w:type="dxa"/>
            <w:tcBorders>
              <w:top w:val="single" w:color="auto" w:sz="4" w:space="0"/>
              <w:left w:val="single" w:color="auto" w:sz="4" w:space="0"/>
              <w:bottom w:val="single" w:color="auto" w:sz="4" w:space="0"/>
              <w:right w:val="single" w:color="auto" w:sz="4" w:space="0"/>
            </w:tcBorders>
            <w:vAlign w:val="center"/>
          </w:tcPr>
          <w:p w14:paraId="4F511CAE">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项目内容</w:t>
            </w:r>
          </w:p>
        </w:tc>
        <w:tc>
          <w:tcPr>
            <w:tcW w:w="1945" w:type="dxa"/>
            <w:tcBorders>
              <w:top w:val="single" w:color="auto" w:sz="4" w:space="0"/>
              <w:left w:val="single" w:color="auto" w:sz="4" w:space="0"/>
              <w:bottom w:val="single" w:color="auto" w:sz="4" w:space="0"/>
              <w:right w:val="single" w:color="auto" w:sz="4" w:space="0"/>
            </w:tcBorders>
            <w:vAlign w:val="center"/>
          </w:tcPr>
          <w:p w14:paraId="15FA8238">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报价轮次</w:t>
            </w:r>
          </w:p>
        </w:tc>
        <w:tc>
          <w:tcPr>
            <w:tcW w:w="3855" w:type="dxa"/>
            <w:tcBorders>
              <w:top w:val="single" w:color="auto" w:sz="4" w:space="0"/>
              <w:left w:val="single" w:color="auto" w:sz="4" w:space="0"/>
              <w:bottom w:val="single" w:color="auto" w:sz="4" w:space="0"/>
              <w:right w:val="single" w:color="auto" w:sz="4" w:space="0"/>
            </w:tcBorders>
            <w:vAlign w:val="center"/>
          </w:tcPr>
          <w:p w14:paraId="3EBC2FE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磋商总报价</w:t>
            </w:r>
            <w:r>
              <w:rPr>
                <w:rFonts w:hint="eastAsia" w:ascii="Times New Roman" w:hAnsi="Times New Roman"/>
                <w:b/>
                <w:color w:val="auto"/>
                <w:sz w:val="24"/>
                <w:szCs w:val="24"/>
                <w:highlight w:val="none"/>
              </w:rPr>
              <w:t>（元）</w:t>
            </w:r>
          </w:p>
        </w:tc>
        <w:tc>
          <w:tcPr>
            <w:tcW w:w="806" w:type="dxa"/>
            <w:tcBorders>
              <w:top w:val="single" w:color="auto" w:sz="4" w:space="0"/>
              <w:left w:val="single" w:color="auto" w:sz="4" w:space="0"/>
              <w:bottom w:val="single" w:color="auto" w:sz="4" w:space="0"/>
              <w:right w:val="single" w:color="auto" w:sz="4" w:space="0"/>
            </w:tcBorders>
            <w:vAlign w:val="center"/>
          </w:tcPr>
          <w:p w14:paraId="52D8479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备注</w:t>
            </w:r>
          </w:p>
        </w:tc>
      </w:tr>
      <w:tr w14:paraId="236E95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6"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47E223D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1</w:t>
            </w:r>
          </w:p>
        </w:tc>
        <w:tc>
          <w:tcPr>
            <w:tcW w:w="2180" w:type="dxa"/>
            <w:vMerge w:val="restart"/>
            <w:tcBorders>
              <w:top w:val="single" w:color="auto" w:sz="4" w:space="0"/>
              <w:left w:val="single" w:color="auto" w:sz="4" w:space="0"/>
              <w:right w:val="single" w:color="auto" w:sz="4" w:space="0"/>
            </w:tcBorders>
            <w:vAlign w:val="center"/>
          </w:tcPr>
          <w:p w14:paraId="31FA80EF">
            <w:pPr>
              <w:keepNext w:val="0"/>
              <w:keepLines w:val="0"/>
              <w:pageBreakBefore w:val="0"/>
              <w:widowControl w:val="0"/>
              <w:kinsoku/>
              <w:wordWrap/>
              <w:topLinePunct w:val="0"/>
              <w:autoSpaceDE/>
              <w:autoSpaceDN/>
              <w:bidi w:val="0"/>
              <w:spacing w:line="360" w:lineRule="auto"/>
              <w:textAlignment w:val="baseline"/>
              <w:rPr>
                <w:rFonts w:hint="eastAsia" w:ascii="Times New Roman" w:hAnsi="Times New Roman" w:eastAsia="宋体"/>
                <w:b/>
                <w:bCs/>
                <w:color w:val="auto"/>
                <w:sz w:val="20"/>
                <w:szCs w:val="21"/>
                <w:highlight w:val="none"/>
                <w:lang w:eastAsia="zh-CN"/>
              </w:rPr>
            </w:pPr>
            <w:r>
              <w:rPr>
                <w:rFonts w:hint="eastAsia" w:ascii="Times New Roman" w:hAnsi="Times New Roman" w:eastAsia="宋体"/>
                <w:b/>
                <w:color w:val="auto"/>
                <w:sz w:val="24"/>
                <w:szCs w:val="24"/>
                <w:highlight w:val="none"/>
                <w:lang w:eastAsia="zh-CN"/>
              </w:rPr>
              <w:t>南通市第三人民医院新老中央空调系统管路（二期大楼与4#6#楼）之间增设板式换热机组（第二次）</w:t>
            </w:r>
          </w:p>
        </w:tc>
        <w:tc>
          <w:tcPr>
            <w:tcW w:w="1945" w:type="dxa"/>
            <w:tcBorders>
              <w:top w:val="single" w:color="auto" w:sz="4" w:space="0"/>
              <w:left w:val="single" w:color="auto" w:sz="4" w:space="0"/>
              <w:bottom w:val="single" w:color="auto" w:sz="4" w:space="0"/>
              <w:right w:val="single" w:color="auto" w:sz="4" w:space="0"/>
            </w:tcBorders>
            <w:vAlign w:val="center"/>
          </w:tcPr>
          <w:p w14:paraId="68E8449A">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首次</w:t>
            </w:r>
            <w:r>
              <w:rPr>
                <w:rFonts w:ascii="Times New Roman" w:hAnsi="Times New Roman" w:eastAsia="宋体"/>
                <w:bCs/>
                <w:color w:val="auto"/>
                <w:sz w:val="24"/>
                <w:szCs w:val="24"/>
                <w:highlight w:val="none"/>
              </w:rPr>
              <w:t>报价</w:t>
            </w:r>
          </w:p>
        </w:tc>
        <w:tc>
          <w:tcPr>
            <w:tcW w:w="3855" w:type="dxa"/>
            <w:tcBorders>
              <w:top w:val="single" w:color="auto" w:sz="4" w:space="0"/>
              <w:left w:val="single" w:color="auto" w:sz="4" w:space="0"/>
              <w:bottom w:val="single" w:color="auto" w:sz="4" w:space="0"/>
              <w:right w:val="single" w:color="auto" w:sz="4" w:space="0"/>
            </w:tcBorders>
            <w:vAlign w:val="center"/>
          </w:tcPr>
          <w:p w14:paraId="572A8FB9">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大写（人民币）：</w:t>
            </w:r>
          </w:p>
          <w:p w14:paraId="14360A7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小写（￥）：</w:t>
            </w:r>
          </w:p>
        </w:tc>
        <w:tc>
          <w:tcPr>
            <w:tcW w:w="806" w:type="dxa"/>
            <w:tcBorders>
              <w:top w:val="single" w:color="auto" w:sz="4" w:space="0"/>
              <w:left w:val="single" w:color="auto" w:sz="4" w:space="0"/>
              <w:bottom w:val="single" w:color="auto" w:sz="4" w:space="0"/>
              <w:right w:val="single" w:color="auto" w:sz="4" w:space="0"/>
            </w:tcBorders>
            <w:vAlign w:val="center"/>
          </w:tcPr>
          <w:p w14:paraId="039D7383">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p>
        </w:tc>
      </w:tr>
      <w:tr w14:paraId="58DF0A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08"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14:paraId="2E83C408">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2</w:t>
            </w:r>
          </w:p>
        </w:tc>
        <w:tc>
          <w:tcPr>
            <w:tcW w:w="2180" w:type="dxa"/>
            <w:vMerge w:val="continue"/>
            <w:tcBorders>
              <w:left w:val="single" w:color="auto" w:sz="4" w:space="0"/>
              <w:right w:val="single" w:color="auto" w:sz="4" w:space="0"/>
            </w:tcBorders>
            <w:vAlign w:val="center"/>
          </w:tcPr>
          <w:p w14:paraId="2FB60790">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Cs/>
                <w:color w:val="auto"/>
                <w:sz w:val="24"/>
                <w:szCs w:val="24"/>
                <w:highlight w:val="none"/>
              </w:rPr>
            </w:pPr>
          </w:p>
        </w:tc>
        <w:tc>
          <w:tcPr>
            <w:tcW w:w="1945" w:type="dxa"/>
            <w:tcBorders>
              <w:top w:val="single" w:color="auto" w:sz="4" w:space="0"/>
              <w:left w:val="single" w:color="auto" w:sz="4" w:space="0"/>
              <w:bottom w:val="single" w:color="auto" w:sz="4" w:space="0"/>
              <w:right w:val="single" w:color="auto" w:sz="4" w:space="0"/>
            </w:tcBorders>
            <w:vAlign w:val="center"/>
          </w:tcPr>
          <w:p w14:paraId="70C67EB4">
            <w:pPr>
              <w:keepNext w:val="0"/>
              <w:keepLines w:val="0"/>
              <w:pageBreakBefore w:val="0"/>
              <w:widowControl w:val="0"/>
              <w:kinsoku/>
              <w:wordWrap/>
              <w:topLinePunct w:val="0"/>
              <w:autoSpaceDE/>
              <w:autoSpaceDN/>
              <w:bidi w:val="0"/>
              <w:spacing w:line="360" w:lineRule="auto"/>
              <w:jc w:val="center"/>
              <w:textAlignment w:val="baseline"/>
              <w:rPr>
                <w:rFonts w:ascii="Times New Roman" w:hAnsi="Times New Roman" w:eastAsia="宋体"/>
                <w:bCs/>
                <w:color w:val="auto"/>
                <w:sz w:val="24"/>
                <w:szCs w:val="24"/>
                <w:highlight w:val="none"/>
              </w:rPr>
            </w:pPr>
            <w:r>
              <w:rPr>
                <w:rFonts w:hint="eastAsia" w:ascii="Times New Roman" w:hAnsi="Times New Roman" w:eastAsia="宋体"/>
                <w:bCs/>
                <w:color w:val="auto"/>
                <w:sz w:val="24"/>
                <w:szCs w:val="24"/>
                <w:highlight w:val="none"/>
              </w:rPr>
              <w:t>第二次</w:t>
            </w:r>
            <w:r>
              <w:rPr>
                <w:rFonts w:ascii="Times New Roman" w:hAnsi="Times New Roman" w:eastAsia="宋体"/>
                <w:bCs/>
                <w:color w:val="auto"/>
                <w:sz w:val="24"/>
                <w:szCs w:val="24"/>
                <w:highlight w:val="none"/>
              </w:rPr>
              <w:t>报价</w:t>
            </w:r>
            <w:r>
              <w:rPr>
                <w:rFonts w:hint="eastAsia" w:ascii="Times New Roman" w:hAnsi="Times New Roman" w:eastAsia="宋体"/>
                <w:bCs/>
                <w:color w:val="auto"/>
                <w:sz w:val="24"/>
                <w:szCs w:val="24"/>
                <w:highlight w:val="none"/>
              </w:rPr>
              <w:t>（开标现场填写）</w:t>
            </w:r>
          </w:p>
        </w:tc>
        <w:tc>
          <w:tcPr>
            <w:tcW w:w="3855" w:type="dxa"/>
            <w:tcBorders>
              <w:top w:val="single" w:color="auto" w:sz="4" w:space="0"/>
              <w:left w:val="single" w:color="auto" w:sz="4" w:space="0"/>
              <w:bottom w:val="single" w:color="auto" w:sz="4" w:space="0"/>
              <w:right w:val="single" w:color="auto" w:sz="4" w:space="0"/>
            </w:tcBorders>
            <w:vAlign w:val="center"/>
          </w:tcPr>
          <w:p w14:paraId="4EA88764">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大写（人民币）：</w:t>
            </w:r>
          </w:p>
          <w:p w14:paraId="40BB3A81">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小写（￥）：</w:t>
            </w:r>
          </w:p>
        </w:tc>
        <w:tc>
          <w:tcPr>
            <w:tcW w:w="806" w:type="dxa"/>
            <w:tcBorders>
              <w:top w:val="single" w:color="auto" w:sz="4" w:space="0"/>
              <w:left w:val="single" w:color="auto" w:sz="4" w:space="0"/>
              <w:bottom w:val="single" w:color="auto" w:sz="4" w:space="0"/>
              <w:right w:val="single" w:color="auto" w:sz="4" w:space="0"/>
            </w:tcBorders>
            <w:vAlign w:val="center"/>
          </w:tcPr>
          <w:p w14:paraId="1651A4E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4"/>
                <w:szCs w:val="24"/>
                <w:highlight w:val="none"/>
              </w:rPr>
            </w:pPr>
          </w:p>
        </w:tc>
      </w:tr>
    </w:tbl>
    <w:p w14:paraId="1AE0BD19">
      <w:pPr>
        <w:keepNext w:val="0"/>
        <w:keepLines w:val="0"/>
        <w:pageBreakBefore w:val="0"/>
        <w:widowControl w:val="0"/>
        <w:kinsoku/>
        <w:wordWrap/>
        <w:topLinePunct w:val="0"/>
        <w:autoSpaceDE/>
        <w:autoSpaceDN/>
        <w:bidi w:val="0"/>
        <w:spacing w:line="360" w:lineRule="auto"/>
        <w:ind w:firstLine="2640" w:firstLineChars="110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竞争性磋商响应单位：（加盖公章）</w:t>
      </w:r>
    </w:p>
    <w:p w14:paraId="22CDA91C">
      <w:pPr>
        <w:keepNext w:val="0"/>
        <w:keepLines w:val="0"/>
        <w:pageBreakBefore w:val="0"/>
        <w:widowControl w:val="0"/>
        <w:kinsoku/>
        <w:wordWrap/>
        <w:topLinePunct w:val="0"/>
        <w:autoSpaceDE/>
        <w:autoSpaceDN/>
        <w:bidi w:val="0"/>
        <w:spacing w:line="360" w:lineRule="auto"/>
        <w:ind w:firstLine="3480" w:firstLineChars="1450"/>
        <w:textAlignment w:val="baseline"/>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法定代表人：（签字或盖章）</w:t>
      </w:r>
    </w:p>
    <w:p w14:paraId="313797EE">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olor w:val="auto"/>
          <w:sz w:val="20"/>
          <w:highlight w:val="none"/>
        </w:rPr>
      </w:pPr>
    </w:p>
    <w:p w14:paraId="5E4CED0F">
      <w:pPr>
        <w:pStyle w:val="12"/>
        <w:keepNext w:val="0"/>
        <w:keepLines w:val="0"/>
        <w:pageBreakBefore w:val="0"/>
        <w:widowControl w:val="0"/>
        <w:kinsoku/>
        <w:wordWrap/>
        <w:topLinePunct w:val="0"/>
        <w:autoSpaceDE/>
        <w:autoSpaceDN/>
        <w:bidi w:val="0"/>
        <w:spacing w:line="360" w:lineRule="auto"/>
        <w:ind w:firstLine="5400" w:firstLineChars="2250"/>
        <w:jc w:val="left"/>
        <w:textAlignment w:val="baseline"/>
        <w:rPr>
          <w:rFonts w:ascii="Times New Roman" w:hAnsi="Times New Roman" w:eastAsia="宋体" w:cs="宋体"/>
          <w:b/>
          <w:bCs/>
          <w:color w:val="auto"/>
          <w:sz w:val="24"/>
          <w:szCs w:val="24"/>
          <w:highlight w:val="none"/>
        </w:rPr>
      </w:pPr>
      <w:r>
        <w:rPr>
          <w:rFonts w:hint="eastAsia" w:ascii="Times New Roman" w:hAnsi="Times New Roman" w:eastAsia="宋体" w:cs="宋体"/>
          <w:color w:val="auto"/>
          <w:sz w:val="24"/>
          <w:szCs w:val="24"/>
          <w:highlight w:val="none"/>
        </w:rPr>
        <w:t>年月日</w:t>
      </w:r>
    </w:p>
    <w:p w14:paraId="5938DC34">
      <w:pPr>
        <w:pStyle w:val="12"/>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color w:val="auto"/>
          <w:sz w:val="24"/>
          <w:szCs w:val="24"/>
          <w:highlight w:val="none"/>
        </w:rPr>
      </w:pPr>
    </w:p>
    <w:p w14:paraId="1195DA9F">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cs="宋体"/>
          <w:b/>
          <w:bCs/>
          <w:color w:val="auto"/>
          <w:sz w:val="24"/>
          <w:szCs w:val="24"/>
          <w:highlight w:val="none"/>
        </w:rPr>
      </w:pPr>
    </w:p>
    <w:p w14:paraId="2D7A0F9D">
      <w:pPr>
        <w:keepNext w:val="0"/>
        <w:keepLines w:val="0"/>
        <w:pageBreakBefore w:val="0"/>
        <w:widowControl w:val="0"/>
        <w:kinsoku/>
        <w:wordWrap/>
        <w:topLinePunct w:val="0"/>
        <w:autoSpaceDE/>
        <w:autoSpaceDN/>
        <w:bidi w:val="0"/>
        <w:spacing w:line="360" w:lineRule="auto"/>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注：</w:t>
      </w:r>
    </w:p>
    <w:p w14:paraId="7A591F94">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s="宋体"/>
          <w:color w:val="auto"/>
          <w:sz w:val="24"/>
          <w:szCs w:val="24"/>
          <w:highlight w:val="none"/>
        </w:rPr>
      </w:pPr>
      <w:r>
        <w:rPr>
          <w:rFonts w:hint="eastAsia" w:ascii="Times New Roman" w:hAnsi="Times New Roman" w:eastAsia="宋体"/>
          <w:color w:val="auto"/>
          <w:sz w:val="24"/>
          <w:szCs w:val="24"/>
          <w:highlight w:val="none"/>
        </w:rPr>
        <w:t>（1）</w:t>
      </w:r>
      <w:r>
        <w:rPr>
          <w:rFonts w:ascii="Times New Roman" w:hAnsi="Times New Roman" w:eastAsia="宋体"/>
          <w:color w:val="auto"/>
          <w:sz w:val="24"/>
          <w:szCs w:val="24"/>
          <w:highlight w:val="none"/>
        </w:rPr>
        <w:t>本表</w:t>
      </w:r>
      <w:r>
        <w:rPr>
          <w:rFonts w:hint="eastAsia" w:ascii="Times New Roman" w:hAnsi="Times New Roman" w:eastAsia="宋体"/>
          <w:color w:val="auto"/>
          <w:sz w:val="24"/>
          <w:szCs w:val="24"/>
          <w:highlight w:val="none"/>
        </w:rPr>
        <w:t>为格式表</w:t>
      </w:r>
      <w:r>
        <w:rPr>
          <w:rFonts w:ascii="Times New Roman" w:hAnsi="Times New Roman" w:eastAsia="宋体"/>
          <w:color w:val="auto"/>
          <w:sz w:val="24"/>
          <w:szCs w:val="24"/>
          <w:highlight w:val="none"/>
        </w:rPr>
        <w:t>，</w:t>
      </w:r>
      <w:r>
        <w:rPr>
          <w:rFonts w:hint="eastAsia" w:ascii="Times New Roman" w:hAnsi="Times New Roman" w:eastAsia="宋体"/>
          <w:color w:val="auto"/>
          <w:sz w:val="24"/>
          <w:szCs w:val="24"/>
          <w:highlight w:val="none"/>
        </w:rPr>
        <w:t>不得自行改动，必须提供</w:t>
      </w:r>
      <w:r>
        <w:rPr>
          <w:rFonts w:ascii="Times New Roman" w:hAnsi="Times New Roman" w:eastAsia="宋体"/>
          <w:color w:val="auto"/>
          <w:sz w:val="24"/>
          <w:szCs w:val="24"/>
          <w:highlight w:val="none"/>
        </w:rPr>
        <w:t>。</w:t>
      </w:r>
    </w:p>
    <w:p w14:paraId="1023D427">
      <w:pPr>
        <w:keepNext w:val="0"/>
        <w:keepLines w:val="0"/>
        <w:pageBreakBefore w:val="0"/>
        <w:widowControl w:val="0"/>
        <w:kinsoku/>
        <w:wordWrap/>
        <w:topLinePunct w:val="0"/>
        <w:autoSpaceDE/>
        <w:autoSpaceDN/>
        <w:bidi w:val="0"/>
        <w:spacing w:line="360" w:lineRule="auto"/>
        <w:ind w:firstLine="480" w:firstLineChars="200"/>
        <w:textAlignment w:val="baseline"/>
        <w:rPr>
          <w:rFonts w:ascii="Times New Roman" w:hAnsi="Times New Roman" w:eastAsia="宋体"/>
          <w:color w:val="auto"/>
          <w:sz w:val="24"/>
          <w:szCs w:val="24"/>
          <w:highlight w:val="none"/>
        </w:rPr>
      </w:pPr>
      <w:r>
        <w:rPr>
          <w:rFonts w:hint="eastAsia" w:ascii="Times New Roman" w:hAnsi="Times New Roman" w:eastAsia="宋体" w:cs="宋体"/>
          <w:color w:val="auto"/>
          <w:sz w:val="24"/>
          <w:szCs w:val="24"/>
          <w:highlight w:val="none"/>
        </w:rPr>
        <w:t>（2）磋商报价的总价中应包含：完成本项目所需的一切费用，</w:t>
      </w:r>
      <w:r>
        <w:rPr>
          <w:rFonts w:hint="eastAsia" w:ascii="Times New Roman" w:hAnsi="Times New Roman" w:eastAsia="宋体"/>
          <w:bCs/>
          <w:color w:val="auto"/>
          <w:sz w:val="24"/>
          <w:szCs w:val="24"/>
          <w:highlight w:val="none"/>
          <w:lang w:eastAsia="zh-CN"/>
        </w:rPr>
        <w:t>包含但不限于</w:t>
      </w:r>
      <w:r>
        <w:rPr>
          <w:rFonts w:hint="eastAsia" w:ascii="Times New Roman" w:hAnsi="Times New Roman" w:eastAsia="宋体"/>
          <w:bCs/>
          <w:color w:val="auto"/>
          <w:sz w:val="24"/>
          <w:szCs w:val="24"/>
          <w:highlight w:val="none"/>
        </w:rPr>
        <w:t>成本、利润、税金、开办费、政策性调整风险费等的所有费用；</w:t>
      </w:r>
      <w:r>
        <w:rPr>
          <w:rFonts w:hint="eastAsia" w:ascii="Times New Roman" w:hAnsi="Times New Roman" w:eastAsia="宋体" w:cs="宋体"/>
          <w:color w:val="auto"/>
          <w:sz w:val="24"/>
          <w:szCs w:val="24"/>
          <w:highlight w:val="none"/>
        </w:rPr>
        <w:t>辅材费、</w:t>
      </w:r>
      <w:r>
        <w:rPr>
          <w:rFonts w:hint="eastAsia" w:ascii="Times New Roman" w:hAnsi="Times New Roman" w:eastAsia="宋体"/>
          <w:bCs/>
          <w:color w:val="auto"/>
          <w:sz w:val="24"/>
          <w:szCs w:val="24"/>
          <w:highlight w:val="none"/>
        </w:rPr>
        <w:t>人工费、检测费、管理费；国家税务部门规定的各项税金；相关伴随服务以及售后服务等一切费用</w:t>
      </w:r>
      <w:r>
        <w:rPr>
          <w:rFonts w:hint="eastAsia" w:ascii="Times New Roman" w:hAnsi="Times New Roman" w:eastAsia="宋体" w:cs="宋体"/>
          <w:color w:val="auto"/>
          <w:sz w:val="24"/>
          <w:szCs w:val="24"/>
          <w:highlight w:val="none"/>
        </w:rPr>
        <w:t>。同时，报价也包含了合同履行过程中可能发生的一切风险。</w:t>
      </w:r>
    </w:p>
    <w:p w14:paraId="39B82C56">
      <w:pPr>
        <w:keepNext w:val="0"/>
        <w:keepLines w:val="0"/>
        <w:pageBreakBefore w:val="0"/>
        <w:widowControl w:val="0"/>
        <w:kinsoku/>
        <w:wordWrap/>
        <w:topLinePunct w:val="0"/>
        <w:autoSpaceDE/>
        <w:autoSpaceDN/>
        <w:bidi w:val="0"/>
        <w:spacing w:line="360" w:lineRule="auto"/>
        <w:ind w:firstLine="482" w:firstLineChars="200"/>
        <w:textAlignment w:val="baseline"/>
        <w:rPr>
          <w:rFonts w:ascii="Times New Roman" w:hAnsi="Times New Roman" w:eastAsia="宋体"/>
          <w:b/>
          <w:color w:val="auto"/>
          <w:sz w:val="24"/>
          <w:szCs w:val="24"/>
          <w:highlight w:val="none"/>
        </w:rPr>
      </w:pPr>
      <w:r>
        <w:rPr>
          <w:rFonts w:hint="eastAsia" w:ascii="Times New Roman" w:hAnsi="Times New Roman" w:eastAsia="宋体"/>
          <w:b/>
          <w:color w:val="auto"/>
          <w:sz w:val="24"/>
          <w:szCs w:val="24"/>
          <w:highlight w:val="none"/>
        </w:rPr>
        <w:t>（3）第二次报价将在开标现场填写，响应文件密封提交时只需填写磋商报价总计（首次）。</w:t>
      </w:r>
      <w:r>
        <w:rPr>
          <w:rFonts w:hint="eastAsia" w:ascii="Times New Roman" w:hAnsi="Times New Roman" w:eastAsia="宋体"/>
          <w:b/>
          <w:bCs/>
          <w:color w:val="auto"/>
          <w:sz w:val="24"/>
          <w:szCs w:val="24"/>
          <w:highlight w:val="none"/>
        </w:rPr>
        <w:t>报价明细表总价金额</w:t>
      </w:r>
      <w:r>
        <w:rPr>
          <w:rFonts w:hint="eastAsia" w:ascii="Times New Roman" w:hAnsi="Times New Roman" w:eastAsia="宋体"/>
          <w:b/>
          <w:color w:val="auto"/>
          <w:sz w:val="24"/>
          <w:szCs w:val="24"/>
          <w:highlight w:val="none"/>
        </w:rPr>
        <w:t>应当与首次报价表金额相等，且第二次报价时，磋商响应报价明细表按同比例下浮。</w:t>
      </w:r>
    </w:p>
    <w:p w14:paraId="0D8137EC">
      <w:pPr>
        <w:keepNext w:val="0"/>
        <w:keepLines w:val="0"/>
        <w:pageBreakBefore w:val="0"/>
        <w:widowControl w:val="0"/>
        <w:kinsoku/>
        <w:wordWrap/>
        <w:topLinePunct w:val="0"/>
        <w:autoSpaceDE/>
        <w:autoSpaceDN/>
        <w:bidi w:val="0"/>
        <w:spacing w:line="360" w:lineRule="auto"/>
        <w:jc w:val="left"/>
        <w:rPr>
          <w:rFonts w:ascii="Times New Roman" w:hAnsi="Times New Roman" w:eastAsia="宋体"/>
          <w:b/>
          <w:color w:val="auto"/>
          <w:sz w:val="24"/>
          <w:szCs w:val="24"/>
          <w:highlight w:val="none"/>
        </w:rPr>
      </w:pPr>
      <w:r>
        <w:rPr>
          <w:rFonts w:ascii="Times New Roman" w:hAnsi="Times New Roman" w:eastAsia="宋体"/>
          <w:b/>
          <w:color w:val="auto"/>
          <w:sz w:val="24"/>
          <w:szCs w:val="24"/>
          <w:highlight w:val="none"/>
        </w:rPr>
        <w:br w:type="page"/>
      </w:r>
    </w:p>
    <w:p w14:paraId="7B2CABD5">
      <w:pPr>
        <w:keepNext w:val="0"/>
        <w:keepLines w:val="0"/>
        <w:pageBreakBefore w:val="0"/>
        <w:widowControl w:val="0"/>
        <w:numPr>
          <w:ilvl w:val="0"/>
          <w:numId w:val="0"/>
        </w:numPr>
        <w:kinsoku/>
        <w:wordWrap/>
        <w:topLinePunct w:val="0"/>
        <w:autoSpaceDE/>
        <w:autoSpaceDN/>
        <w:bidi w:val="0"/>
        <w:spacing w:line="360" w:lineRule="auto"/>
        <w:jc w:val="center"/>
        <w:rPr>
          <w:rFonts w:ascii="Times New Roman" w:hAnsi="Times New Roman" w:eastAsia="宋体" w:cs="宋体"/>
          <w:b/>
          <w:color w:val="auto"/>
          <w:sz w:val="24"/>
          <w:szCs w:val="24"/>
          <w:highlight w:val="none"/>
        </w:rPr>
      </w:pPr>
      <w:r>
        <w:rPr>
          <w:rFonts w:hint="eastAsia" w:ascii="Times New Roman" w:hAnsi="Times New Roman" w:eastAsia="宋体" w:cs="宋体"/>
          <w:b/>
          <w:color w:val="auto"/>
          <w:sz w:val="24"/>
          <w:szCs w:val="24"/>
          <w:highlight w:val="none"/>
          <w:lang w:val="en-US" w:eastAsia="zh-CN"/>
        </w:rPr>
        <w:t>11、</w:t>
      </w:r>
      <w:r>
        <w:rPr>
          <w:rFonts w:hint="eastAsia" w:ascii="Times New Roman" w:hAnsi="Times New Roman" w:eastAsia="宋体" w:cs="宋体"/>
          <w:b/>
          <w:color w:val="auto"/>
          <w:sz w:val="24"/>
          <w:szCs w:val="24"/>
          <w:highlight w:val="none"/>
        </w:rPr>
        <w:t>磋商响应报价明细表</w:t>
      </w:r>
    </w:p>
    <w:p w14:paraId="6BA8BFFC">
      <w:pPr>
        <w:spacing w:line="360" w:lineRule="auto"/>
        <w:rPr>
          <w:rFonts w:hint="eastAsia" w:ascii="Times New Roman" w:hAnsi="Times New Roman" w:eastAsia="宋体"/>
          <w:bCs/>
          <w:color w:val="auto"/>
          <w:sz w:val="24"/>
          <w:szCs w:val="24"/>
          <w:highlight w:val="none"/>
        </w:rPr>
      </w:pPr>
      <w:r>
        <w:rPr>
          <w:rFonts w:hint="eastAsia"/>
          <w:color w:val="auto"/>
          <w:sz w:val="24"/>
          <w:szCs w:val="24"/>
          <w:highlight w:val="none"/>
        </w:rPr>
        <w:t>项目名称：</w:t>
      </w:r>
      <w:r>
        <w:rPr>
          <w:rFonts w:hint="eastAsia"/>
          <w:color w:val="auto"/>
          <w:sz w:val="24"/>
          <w:szCs w:val="24"/>
          <w:highlight w:val="none"/>
          <w:lang w:eastAsia="zh-CN"/>
        </w:rPr>
        <w:t>南通市第三人民医院新老中央空调系统管路（二期大楼与4#6#楼）之间增设板式换热机组（第二次）</w:t>
      </w:r>
    </w:p>
    <w:tbl>
      <w:tblPr>
        <w:tblStyle w:val="25"/>
        <w:tblW w:w="95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
        <w:gridCol w:w="1091"/>
        <w:gridCol w:w="1475"/>
        <w:gridCol w:w="915"/>
        <w:gridCol w:w="1065"/>
        <w:gridCol w:w="1110"/>
        <w:gridCol w:w="1095"/>
        <w:gridCol w:w="945"/>
        <w:gridCol w:w="900"/>
      </w:tblGrid>
      <w:tr w14:paraId="735B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927" w:type="dxa"/>
            <w:noWrap w:val="0"/>
            <w:vAlign w:val="center"/>
          </w:tcPr>
          <w:p w14:paraId="3FA88FE9">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序号</w:t>
            </w:r>
          </w:p>
        </w:tc>
        <w:tc>
          <w:tcPr>
            <w:tcW w:w="1091" w:type="dxa"/>
            <w:noWrap w:val="0"/>
            <w:vAlign w:val="center"/>
          </w:tcPr>
          <w:p w14:paraId="4B41B2C7">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产品</w:t>
            </w:r>
          </w:p>
          <w:p w14:paraId="40756DED">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名称</w:t>
            </w:r>
          </w:p>
        </w:tc>
        <w:tc>
          <w:tcPr>
            <w:tcW w:w="1475" w:type="dxa"/>
            <w:noWrap w:val="0"/>
            <w:vAlign w:val="center"/>
          </w:tcPr>
          <w:p w14:paraId="70F0873F">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规格型号</w:t>
            </w:r>
          </w:p>
        </w:tc>
        <w:tc>
          <w:tcPr>
            <w:tcW w:w="915" w:type="dxa"/>
            <w:noWrap w:val="0"/>
            <w:vAlign w:val="center"/>
          </w:tcPr>
          <w:p w14:paraId="743DBA40">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数量</w:t>
            </w:r>
          </w:p>
        </w:tc>
        <w:tc>
          <w:tcPr>
            <w:tcW w:w="1065" w:type="dxa"/>
            <w:noWrap w:val="0"/>
            <w:vAlign w:val="center"/>
          </w:tcPr>
          <w:p w14:paraId="4C758A52">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单位</w:t>
            </w:r>
          </w:p>
        </w:tc>
        <w:tc>
          <w:tcPr>
            <w:tcW w:w="1110" w:type="dxa"/>
            <w:noWrap w:val="0"/>
            <w:vAlign w:val="center"/>
          </w:tcPr>
          <w:p w14:paraId="67AE5074">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品牌</w:t>
            </w:r>
          </w:p>
        </w:tc>
        <w:tc>
          <w:tcPr>
            <w:tcW w:w="1095" w:type="dxa"/>
            <w:noWrap w:val="0"/>
            <w:vAlign w:val="center"/>
          </w:tcPr>
          <w:p w14:paraId="3AB02E90">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含税</w:t>
            </w:r>
          </w:p>
          <w:p w14:paraId="75FB1B90">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单价</w:t>
            </w:r>
          </w:p>
        </w:tc>
        <w:tc>
          <w:tcPr>
            <w:tcW w:w="945" w:type="dxa"/>
            <w:noWrap w:val="0"/>
            <w:vAlign w:val="center"/>
          </w:tcPr>
          <w:p w14:paraId="2442C257">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含税</w:t>
            </w:r>
          </w:p>
          <w:p w14:paraId="1B238FAA">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合价</w:t>
            </w:r>
          </w:p>
        </w:tc>
        <w:tc>
          <w:tcPr>
            <w:tcW w:w="900" w:type="dxa"/>
            <w:noWrap w:val="0"/>
            <w:vAlign w:val="center"/>
          </w:tcPr>
          <w:p w14:paraId="7A201DF4">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备注</w:t>
            </w:r>
          </w:p>
        </w:tc>
      </w:tr>
      <w:tr w14:paraId="73A2B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jc w:val="center"/>
        </w:trPr>
        <w:tc>
          <w:tcPr>
            <w:tcW w:w="927" w:type="dxa"/>
            <w:noWrap w:val="0"/>
            <w:vAlign w:val="center"/>
          </w:tcPr>
          <w:p w14:paraId="025E06EF">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1</w:t>
            </w:r>
          </w:p>
        </w:tc>
        <w:tc>
          <w:tcPr>
            <w:tcW w:w="1091" w:type="dxa"/>
            <w:noWrap w:val="0"/>
            <w:vAlign w:val="center"/>
          </w:tcPr>
          <w:p w14:paraId="42F237BB">
            <w:pPr>
              <w:spacing w:line="360" w:lineRule="auto"/>
              <w:jc w:val="center"/>
              <w:rPr>
                <w:rFonts w:ascii="Times New Roman" w:hAnsi="Times New Roman" w:eastAsia="宋体" w:cs="宋体"/>
                <w:color w:val="auto"/>
                <w:sz w:val="24"/>
                <w:szCs w:val="24"/>
                <w:highlight w:val="none"/>
              </w:rPr>
            </w:pPr>
          </w:p>
        </w:tc>
        <w:tc>
          <w:tcPr>
            <w:tcW w:w="1475" w:type="dxa"/>
            <w:noWrap w:val="0"/>
            <w:vAlign w:val="center"/>
          </w:tcPr>
          <w:p w14:paraId="18ABDF5D">
            <w:pPr>
              <w:spacing w:line="360" w:lineRule="auto"/>
              <w:rPr>
                <w:rFonts w:ascii="Times New Roman" w:hAnsi="Times New Roman" w:eastAsia="宋体"/>
                <w:color w:val="auto"/>
                <w:sz w:val="24"/>
                <w:szCs w:val="24"/>
                <w:highlight w:val="none"/>
              </w:rPr>
            </w:pPr>
          </w:p>
        </w:tc>
        <w:tc>
          <w:tcPr>
            <w:tcW w:w="915" w:type="dxa"/>
            <w:noWrap w:val="0"/>
            <w:vAlign w:val="center"/>
          </w:tcPr>
          <w:p w14:paraId="4361C3F9">
            <w:pPr>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34BF0AA2">
            <w:pPr>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6411F1D0">
            <w:pPr>
              <w:spacing w:line="360" w:lineRule="auto"/>
              <w:rPr>
                <w:rFonts w:ascii="Times New Roman" w:hAnsi="Times New Roman" w:eastAsia="宋体"/>
                <w:color w:val="auto"/>
                <w:sz w:val="24"/>
                <w:szCs w:val="24"/>
                <w:highlight w:val="none"/>
              </w:rPr>
            </w:pPr>
          </w:p>
        </w:tc>
        <w:tc>
          <w:tcPr>
            <w:tcW w:w="1095" w:type="dxa"/>
            <w:noWrap w:val="0"/>
            <w:vAlign w:val="center"/>
          </w:tcPr>
          <w:p w14:paraId="0D497529">
            <w:pPr>
              <w:spacing w:line="360" w:lineRule="auto"/>
              <w:rPr>
                <w:rFonts w:ascii="Times New Roman" w:hAnsi="Times New Roman" w:eastAsia="宋体"/>
                <w:color w:val="auto"/>
                <w:sz w:val="24"/>
                <w:szCs w:val="24"/>
                <w:highlight w:val="none"/>
              </w:rPr>
            </w:pPr>
          </w:p>
        </w:tc>
        <w:tc>
          <w:tcPr>
            <w:tcW w:w="945" w:type="dxa"/>
            <w:noWrap w:val="0"/>
            <w:vAlign w:val="center"/>
          </w:tcPr>
          <w:p w14:paraId="1C5109EE">
            <w:pPr>
              <w:spacing w:line="360" w:lineRule="auto"/>
              <w:rPr>
                <w:rFonts w:ascii="Times New Roman" w:hAnsi="Times New Roman" w:eastAsia="宋体"/>
                <w:color w:val="auto"/>
                <w:sz w:val="24"/>
                <w:szCs w:val="24"/>
                <w:highlight w:val="none"/>
              </w:rPr>
            </w:pPr>
          </w:p>
        </w:tc>
        <w:tc>
          <w:tcPr>
            <w:tcW w:w="900" w:type="dxa"/>
            <w:noWrap w:val="0"/>
            <w:vAlign w:val="top"/>
          </w:tcPr>
          <w:p w14:paraId="25116A65">
            <w:pPr>
              <w:spacing w:line="360" w:lineRule="auto"/>
              <w:rPr>
                <w:rFonts w:ascii="Times New Roman" w:hAnsi="Times New Roman" w:eastAsia="宋体"/>
                <w:color w:val="auto"/>
                <w:sz w:val="24"/>
                <w:szCs w:val="24"/>
                <w:highlight w:val="none"/>
              </w:rPr>
            </w:pPr>
          </w:p>
        </w:tc>
      </w:tr>
      <w:tr w14:paraId="2EEAC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927" w:type="dxa"/>
            <w:noWrap w:val="0"/>
            <w:vAlign w:val="center"/>
          </w:tcPr>
          <w:p w14:paraId="3341AE59">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2</w:t>
            </w:r>
          </w:p>
        </w:tc>
        <w:tc>
          <w:tcPr>
            <w:tcW w:w="1091" w:type="dxa"/>
            <w:noWrap w:val="0"/>
            <w:vAlign w:val="center"/>
          </w:tcPr>
          <w:p w14:paraId="76AA0FC3">
            <w:pPr>
              <w:spacing w:line="360" w:lineRule="auto"/>
              <w:jc w:val="center"/>
              <w:rPr>
                <w:rFonts w:ascii="Times New Roman" w:hAnsi="Times New Roman" w:eastAsia="宋体" w:cs="宋体"/>
                <w:color w:val="auto"/>
                <w:sz w:val="24"/>
                <w:szCs w:val="24"/>
                <w:highlight w:val="none"/>
              </w:rPr>
            </w:pPr>
          </w:p>
        </w:tc>
        <w:tc>
          <w:tcPr>
            <w:tcW w:w="1475" w:type="dxa"/>
            <w:noWrap w:val="0"/>
            <w:vAlign w:val="center"/>
          </w:tcPr>
          <w:p w14:paraId="344A520C">
            <w:pPr>
              <w:spacing w:line="360" w:lineRule="auto"/>
              <w:rPr>
                <w:rFonts w:ascii="Times New Roman" w:hAnsi="Times New Roman" w:eastAsia="宋体"/>
                <w:color w:val="auto"/>
                <w:sz w:val="24"/>
                <w:szCs w:val="24"/>
                <w:highlight w:val="none"/>
              </w:rPr>
            </w:pPr>
          </w:p>
        </w:tc>
        <w:tc>
          <w:tcPr>
            <w:tcW w:w="915" w:type="dxa"/>
            <w:noWrap w:val="0"/>
            <w:vAlign w:val="center"/>
          </w:tcPr>
          <w:p w14:paraId="04DDA457">
            <w:pPr>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70F678E3">
            <w:pPr>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6FE35AA2">
            <w:pPr>
              <w:spacing w:line="360" w:lineRule="auto"/>
              <w:rPr>
                <w:rFonts w:ascii="Times New Roman" w:hAnsi="Times New Roman" w:eastAsia="宋体"/>
                <w:color w:val="auto"/>
                <w:sz w:val="24"/>
                <w:szCs w:val="24"/>
                <w:highlight w:val="none"/>
              </w:rPr>
            </w:pPr>
          </w:p>
        </w:tc>
        <w:tc>
          <w:tcPr>
            <w:tcW w:w="1095" w:type="dxa"/>
            <w:noWrap w:val="0"/>
            <w:vAlign w:val="center"/>
          </w:tcPr>
          <w:p w14:paraId="24A6E6FD">
            <w:pPr>
              <w:spacing w:line="360" w:lineRule="auto"/>
              <w:rPr>
                <w:rFonts w:ascii="Times New Roman" w:hAnsi="Times New Roman" w:eastAsia="宋体"/>
                <w:color w:val="auto"/>
                <w:sz w:val="24"/>
                <w:szCs w:val="24"/>
                <w:highlight w:val="none"/>
              </w:rPr>
            </w:pPr>
          </w:p>
        </w:tc>
        <w:tc>
          <w:tcPr>
            <w:tcW w:w="945" w:type="dxa"/>
            <w:noWrap w:val="0"/>
            <w:vAlign w:val="center"/>
          </w:tcPr>
          <w:p w14:paraId="0DDA2580">
            <w:pPr>
              <w:spacing w:line="360" w:lineRule="auto"/>
              <w:rPr>
                <w:rFonts w:ascii="Times New Roman" w:hAnsi="Times New Roman" w:eastAsia="宋体"/>
                <w:color w:val="auto"/>
                <w:sz w:val="24"/>
                <w:szCs w:val="24"/>
                <w:highlight w:val="none"/>
              </w:rPr>
            </w:pPr>
          </w:p>
        </w:tc>
        <w:tc>
          <w:tcPr>
            <w:tcW w:w="900" w:type="dxa"/>
            <w:noWrap w:val="0"/>
            <w:vAlign w:val="top"/>
          </w:tcPr>
          <w:p w14:paraId="27026EE3">
            <w:pPr>
              <w:spacing w:line="360" w:lineRule="auto"/>
              <w:rPr>
                <w:rFonts w:ascii="Times New Roman" w:hAnsi="Times New Roman" w:eastAsia="宋体"/>
                <w:color w:val="auto"/>
                <w:sz w:val="24"/>
                <w:szCs w:val="24"/>
                <w:highlight w:val="none"/>
              </w:rPr>
            </w:pPr>
          </w:p>
        </w:tc>
      </w:tr>
      <w:tr w14:paraId="68309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927" w:type="dxa"/>
            <w:noWrap w:val="0"/>
            <w:vAlign w:val="center"/>
          </w:tcPr>
          <w:p w14:paraId="4599F780">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3</w:t>
            </w:r>
          </w:p>
        </w:tc>
        <w:tc>
          <w:tcPr>
            <w:tcW w:w="1091" w:type="dxa"/>
            <w:noWrap w:val="0"/>
            <w:vAlign w:val="center"/>
          </w:tcPr>
          <w:p w14:paraId="1F820A7E">
            <w:pPr>
              <w:spacing w:line="360" w:lineRule="auto"/>
              <w:jc w:val="center"/>
              <w:rPr>
                <w:rFonts w:ascii="Times New Roman" w:hAnsi="Times New Roman" w:eastAsia="宋体" w:cs="宋体"/>
                <w:color w:val="auto"/>
                <w:sz w:val="24"/>
                <w:szCs w:val="24"/>
                <w:highlight w:val="none"/>
              </w:rPr>
            </w:pPr>
          </w:p>
        </w:tc>
        <w:tc>
          <w:tcPr>
            <w:tcW w:w="1475" w:type="dxa"/>
            <w:noWrap w:val="0"/>
            <w:vAlign w:val="center"/>
          </w:tcPr>
          <w:p w14:paraId="1D8871F3">
            <w:pPr>
              <w:spacing w:line="360" w:lineRule="auto"/>
              <w:rPr>
                <w:rFonts w:ascii="Times New Roman" w:hAnsi="Times New Roman" w:eastAsia="宋体"/>
                <w:color w:val="auto"/>
                <w:sz w:val="24"/>
                <w:szCs w:val="24"/>
                <w:highlight w:val="none"/>
              </w:rPr>
            </w:pPr>
          </w:p>
        </w:tc>
        <w:tc>
          <w:tcPr>
            <w:tcW w:w="915" w:type="dxa"/>
            <w:noWrap w:val="0"/>
            <w:vAlign w:val="center"/>
          </w:tcPr>
          <w:p w14:paraId="635F53DC">
            <w:pPr>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1CFB070D">
            <w:pPr>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60D4857B">
            <w:pPr>
              <w:spacing w:line="360" w:lineRule="auto"/>
              <w:rPr>
                <w:rFonts w:ascii="Times New Roman" w:hAnsi="Times New Roman" w:eastAsia="宋体"/>
                <w:color w:val="auto"/>
                <w:sz w:val="24"/>
                <w:szCs w:val="24"/>
                <w:highlight w:val="none"/>
              </w:rPr>
            </w:pPr>
          </w:p>
        </w:tc>
        <w:tc>
          <w:tcPr>
            <w:tcW w:w="1095" w:type="dxa"/>
            <w:noWrap w:val="0"/>
            <w:vAlign w:val="center"/>
          </w:tcPr>
          <w:p w14:paraId="3BD6D9FE">
            <w:pPr>
              <w:spacing w:line="360" w:lineRule="auto"/>
              <w:rPr>
                <w:rFonts w:ascii="Times New Roman" w:hAnsi="Times New Roman" w:eastAsia="宋体"/>
                <w:color w:val="auto"/>
                <w:sz w:val="24"/>
                <w:szCs w:val="24"/>
                <w:highlight w:val="none"/>
              </w:rPr>
            </w:pPr>
          </w:p>
        </w:tc>
        <w:tc>
          <w:tcPr>
            <w:tcW w:w="945" w:type="dxa"/>
            <w:noWrap w:val="0"/>
            <w:vAlign w:val="center"/>
          </w:tcPr>
          <w:p w14:paraId="266FA1A1">
            <w:pPr>
              <w:spacing w:line="360" w:lineRule="auto"/>
              <w:rPr>
                <w:rFonts w:ascii="Times New Roman" w:hAnsi="Times New Roman" w:eastAsia="宋体"/>
                <w:color w:val="auto"/>
                <w:sz w:val="24"/>
                <w:szCs w:val="24"/>
                <w:highlight w:val="none"/>
              </w:rPr>
            </w:pPr>
          </w:p>
        </w:tc>
        <w:tc>
          <w:tcPr>
            <w:tcW w:w="900" w:type="dxa"/>
            <w:noWrap w:val="0"/>
            <w:vAlign w:val="top"/>
          </w:tcPr>
          <w:p w14:paraId="4D74FC22">
            <w:pPr>
              <w:spacing w:line="360" w:lineRule="auto"/>
              <w:rPr>
                <w:rFonts w:ascii="Times New Roman" w:hAnsi="Times New Roman" w:eastAsia="宋体"/>
                <w:color w:val="auto"/>
                <w:sz w:val="24"/>
                <w:szCs w:val="24"/>
                <w:highlight w:val="none"/>
              </w:rPr>
            </w:pPr>
          </w:p>
        </w:tc>
      </w:tr>
      <w:tr w14:paraId="5A2CE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927" w:type="dxa"/>
            <w:noWrap w:val="0"/>
            <w:vAlign w:val="center"/>
          </w:tcPr>
          <w:p w14:paraId="2FCCAA1E">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4</w:t>
            </w:r>
          </w:p>
        </w:tc>
        <w:tc>
          <w:tcPr>
            <w:tcW w:w="1091" w:type="dxa"/>
            <w:noWrap w:val="0"/>
            <w:vAlign w:val="center"/>
          </w:tcPr>
          <w:p w14:paraId="4965359C">
            <w:pPr>
              <w:spacing w:line="360" w:lineRule="auto"/>
              <w:jc w:val="center"/>
              <w:rPr>
                <w:rFonts w:ascii="Times New Roman" w:hAnsi="Times New Roman" w:eastAsia="宋体" w:cs="宋体"/>
                <w:color w:val="auto"/>
                <w:sz w:val="24"/>
                <w:szCs w:val="24"/>
                <w:highlight w:val="none"/>
              </w:rPr>
            </w:pPr>
          </w:p>
        </w:tc>
        <w:tc>
          <w:tcPr>
            <w:tcW w:w="1475" w:type="dxa"/>
            <w:noWrap w:val="0"/>
            <w:vAlign w:val="center"/>
          </w:tcPr>
          <w:p w14:paraId="6367EE48">
            <w:pPr>
              <w:spacing w:line="360" w:lineRule="auto"/>
              <w:rPr>
                <w:rFonts w:ascii="Times New Roman" w:hAnsi="Times New Roman" w:eastAsia="宋体"/>
                <w:color w:val="auto"/>
                <w:sz w:val="24"/>
                <w:szCs w:val="24"/>
                <w:highlight w:val="none"/>
              </w:rPr>
            </w:pPr>
          </w:p>
        </w:tc>
        <w:tc>
          <w:tcPr>
            <w:tcW w:w="915" w:type="dxa"/>
            <w:noWrap w:val="0"/>
            <w:vAlign w:val="center"/>
          </w:tcPr>
          <w:p w14:paraId="6E64DC47">
            <w:pPr>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6BD4D9EC">
            <w:pPr>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78F8E342">
            <w:pPr>
              <w:spacing w:line="360" w:lineRule="auto"/>
              <w:rPr>
                <w:rFonts w:ascii="Times New Roman" w:hAnsi="Times New Roman" w:eastAsia="宋体"/>
                <w:color w:val="auto"/>
                <w:sz w:val="24"/>
                <w:szCs w:val="24"/>
                <w:highlight w:val="none"/>
              </w:rPr>
            </w:pPr>
          </w:p>
        </w:tc>
        <w:tc>
          <w:tcPr>
            <w:tcW w:w="1095" w:type="dxa"/>
            <w:noWrap w:val="0"/>
            <w:vAlign w:val="center"/>
          </w:tcPr>
          <w:p w14:paraId="5E5A94A1">
            <w:pPr>
              <w:spacing w:line="360" w:lineRule="auto"/>
              <w:rPr>
                <w:rFonts w:ascii="Times New Roman" w:hAnsi="Times New Roman" w:eastAsia="宋体"/>
                <w:color w:val="auto"/>
                <w:sz w:val="24"/>
                <w:szCs w:val="24"/>
                <w:highlight w:val="none"/>
              </w:rPr>
            </w:pPr>
          </w:p>
        </w:tc>
        <w:tc>
          <w:tcPr>
            <w:tcW w:w="945" w:type="dxa"/>
            <w:noWrap w:val="0"/>
            <w:vAlign w:val="center"/>
          </w:tcPr>
          <w:p w14:paraId="7671AA31">
            <w:pPr>
              <w:spacing w:line="360" w:lineRule="auto"/>
              <w:rPr>
                <w:rFonts w:ascii="Times New Roman" w:hAnsi="Times New Roman" w:eastAsia="宋体"/>
                <w:color w:val="auto"/>
                <w:sz w:val="24"/>
                <w:szCs w:val="24"/>
                <w:highlight w:val="none"/>
              </w:rPr>
            </w:pPr>
          </w:p>
        </w:tc>
        <w:tc>
          <w:tcPr>
            <w:tcW w:w="900" w:type="dxa"/>
            <w:noWrap w:val="0"/>
            <w:vAlign w:val="top"/>
          </w:tcPr>
          <w:p w14:paraId="34FD3D28">
            <w:pPr>
              <w:spacing w:line="360" w:lineRule="auto"/>
              <w:rPr>
                <w:rFonts w:ascii="Times New Roman" w:hAnsi="Times New Roman" w:eastAsia="宋体"/>
                <w:color w:val="auto"/>
                <w:sz w:val="24"/>
                <w:szCs w:val="24"/>
                <w:highlight w:val="none"/>
              </w:rPr>
            </w:pPr>
          </w:p>
        </w:tc>
      </w:tr>
      <w:tr w14:paraId="76287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927" w:type="dxa"/>
            <w:noWrap w:val="0"/>
            <w:vAlign w:val="center"/>
          </w:tcPr>
          <w:p w14:paraId="552119FB">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5</w:t>
            </w:r>
          </w:p>
        </w:tc>
        <w:tc>
          <w:tcPr>
            <w:tcW w:w="1091" w:type="dxa"/>
            <w:noWrap w:val="0"/>
            <w:vAlign w:val="center"/>
          </w:tcPr>
          <w:p w14:paraId="319F4610">
            <w:pPr>
              <w:spacing w:line="360" w:lineRule="auto"/>
              <w:jc w:val="center"/>
              <w:rPr>
                <w:rFonts w:ascii="Times New Roman" w:hAnsi="Times New Roman" w:eastAsia="宋体" w:cs="宋体"/>
                <w:color w:val="auto"/>
                <w:sz w:val="24"/>
                <w:szCs w:val="24"/>
                <w:highlight w:val="none"/>
              </w:rPr>
            </w:pPr>
          </w:p>
        </w:tc>
        <w:tc>
          <w:tcPr>
            <w:tcW w:w="1475" w:type="dxa"/>
            <w:noWrap w:val="0"/>
            <w:vAlign w:val="center"/>
          </w:tcPr>
          <w:p w14:paraId="1342B0E7">
            <w:pPr>
              <w:spacing w:line="360" w:lineRule="auto"/>
              <w:rPr>
                <w:rFonts w:ascii="Times New Roman" w:hAnsi="Times New Roman" w:eastAsia="宋体"/>
                <w:color w:val="auto"/>
                <w:sz w:val="24"/>
                <w:szCs w:val="24"/>
                <w:highlight w:val="none"/>
              </w:rPr>
            </w:pPr>
          </w:p>
        </w:tc>
        <w:tc>
          <w:tcPr>
            <w:tcW w:w="915" w:type="dxa"/>
            <w:noWrap w:val="0"/>
            <w:vAlign w:val="center"/>
          </w:tcPr>
          <w:p w14:paraId="4B70023C">
            <w:pPr>
              <w:spacing w:line="360" w:lineRule="auto"/>
              <w:jc w:val="center"/>
              <w:rPr>
                <w:rFonts w:ascii="Times New Roman" w:hAnsi="Times New Roman" w:eastAsia="宋体" w:cs="宋体"/>
                <w:color w:val="auto"/>
                <w:sz w:val="24"/>
                <w:szCs w:val="24"/>
                <w:highlight w:val="none"/>
              </w:rPr>
            </w:pPr>
          </w:p>
        </w:tc>
        <w:tc>
          <w:tcPr>
            <w:tcW w:w="1065" w:type="dxa"/>
            <w:noWrap w:val="0"/>
            <w:vAlign w:val="center"/>
          </w:tcPr>
          <w:p w14:paraId="6A8732DF">
            <w:pPr>
              <w:spacing w:line="360" w:lineRule="auto"/>
              <w:jc w:val="center"/>
              <w:rPr>
                <w:rFonts w:ascii="Times New Roman" w:hAnsi="Times New Roman" w:eastAsia="宋体" w:cs="宋体"/>
                <w:color w:val="auto"/>
                <w:sz w:val="24"/>
                <w:szCs w:val="24"/>
                <w:highlight w:val="none"/>
              </w:rPr>
            </w:pPr>
          </w:p>
        </w:tc>
        <w:tc>
          <w:tcPr>
            <w:tcW w:w="1110" w:type="dxa"/>
            <w:noWrap w:val="0"/>
            <w:vAlign w:val="center"/>
          </w:tcPr>
          <w:p w14:paraId="31DE27A7">
            <w:pPr>
              <w:spacing w:line="360" w:lineRule="auto"/>
              <w:rPr>
                <w:rFonts w:ascii="Times New Roman" w:hAnsi="Times New Roman" w:eastAsia="宋体"/>
                <w:color w:val="auto"/>
                <w:sz w:val="24"/>
                <w:szCs w:val="24"/>
                <w:highlight w:val="none"/>
              </w:rPr>
            </w:pPr>
          </w:p>
        </w:tc>
        <w:tc>
          <w:tcPr>
            <w:tcW w:w="1095" w:type="dxa"/>
            <w:noWrap w:val="0"/>
            <w:vAlign w:val="center"/>
          </w:tcPr>
          <w:p w14:paraId="124F35D0">
            <w:pPr>
              <w:spacing w:line="360" w:lineRule="auto"/>
              <w:rPr>
                <w:rFonts w:ascii="Times New Roman" w:hAnsi="Times New Roman" w:eastAsia="宋体"/>
                <w:color w:val="auto"/>
                <w:sz w:val="24"/>
                <w:szCs w:val="24"/>
                <w:highlight w:val="none"/>
              </w:rPr>
            </w:pPr>
          </w:p>
        </w:tc>
        <w:tc>
          <w:tcPr>
            <w:tcW w:w="945" w:type="dxa"/>
            <w:noWrap w:val="0"/>
            <w:vAlign w:val="center"/>
          </w:tcPr>
          <w:p w14:paraId="5FCC3948">
            <w:pPr>
              <w:spacing w:line="360" w:lineRule="auto"/>
              <w:rPr>
                <w:rFonts w:ascii="Times New Roman" w:hAnsi="Times New Roman" w:eastAsia="宋体"/>
                <w:color w:val="auto"/>
                <w:sz w:val="24"/>
                <w:szCs w:val="24"/>
                <w:highlight w:val="none"/>
              </w:rPr>
            </w:pPr>
          </w:p>
        </w:tc>
        <w:tc>
          <w:tcPr>
            <w:tcW w:w="900" w:type="dxa"/>
            <w:noWrap w:val="0"/>
            <w:vAlign w:val="top"/>
          </w:tcPr>
          <w:p w14:paraId="1FDE1687">
            <w:pPr>
              <w:spacing w:line="360" w:lineRule="auto"/>
              <w:rPr>
                <w:rFonts w:ascii="Times New Roman" w:hAnsi="Times New Roman" w:eastAsia="宋体"/>
                <w:color w:val="auto"/>
                <w:sz w:val="24"/>
                <w:szCs w:val="24"/>
                <w:highlight w:val="none"/>
              </w:rPr>
            </w:pPr>
          </w:p>
        </w:tc>
      </w:tr>
      <w:tr w14:paraId="10F36F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927" w:type="dxa"/>
            <w:noWrap w:val="0"/>
            <w:vAlign w:val="center"/>
          </w:tcPr>
          <w:p w14:paraId="24A7C95F">
            <w:pPr>
              <w:spacing w:line="360" w:lineRule="auto"/>
              <w:jc w:val="cente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w:t>
            </w:r>
          </w:p>
        </w:tc>
        <w:tc>
          <w:tcPr>
            <w:tcW w:w="1091" w:type="dxa"/>
            <w:noWrap w:val="0"/>
            <w:vAlign w:val="center"/>
          </w:tcPr>
          <w:p w14:paraId="71C667FC">
            <w:pPr>
              <w:spacing w:line="360" w:lineRule="auto"/>
              <w:jc w:val="center"/>
              <w:rPr>
                <w:rFonts w:ascii="Times New Roman" w:hAnsi="Times New Roman" w:eastAsia="宋体"/>
                <w:color w:val="auto"/>
                <w:sz w:val="21"/>
                <w:highlight w:val="none"/>
              </w:rPr>
            </w:pPr>
          </w:p>
        </w:tc>
        <w:tc>
          <w:tcPr>
            <w:tcW w:w="1475" w:type="dxa"/>
            <w:noWrap w:val="0"/>
            <w:vAlign w:val="center"/>
          </w:tcPr>
          <w:p w14:paraId="094E06B4">
            <w:pPr>
              <w:spacing w:line="360" w:lineRule="auto"/>
              <w:rPr>
                <w:rFonts w:ascii="Times New Roman" w:hAnsi="Times New Roman" w:eastAsia="宋体"/>
                <w:color w:val="auto"/>
                <w:sz w:val="24"/>
                <w:szCs w:val="24"/>
                <w:highlight w:val="none"/>
              </w:rPr>
            </w:pPr>
          </w:p>
        </w:tc>
        <w:tc>
          <w:tcPr>
            <w:tcW w:w="915" w:type="dxa"/>
            <w:noWrap w:val="0"/>
            <w:vAlign w:val="center"/>
          </w:tcPr>
          <w:p w14:paraId="3888450B">
            <w:pPr>
              <w:spacing w:line="360" w:lineRule="auto"/>
              <w:jc w:val="center"/>
              <w:rPr>
                <w:rFonts w:ascii="Times New Roman" w:hAnsi="Times New Roman" w:eastAsia="宋体"/>
                <w:color w:val="auto"/>
                <w:sz w:val="21"/>
                <w:highlight w:val="none"/>
              </w:rPr>
            </w:pPr>
          </w:p>
        </w:tc>
        <w:tc>
          <w:tcPr>
            <w:tcW w:w="1065" w:type="dxa"/>
            <w:noWrap w:val="0"/>
            <w:vAlign w:val="center"/>
          </w:tcPr>
          <w:p w14:paraId="2F74F957">
            <w:pPr>
              <w:spacing w:line="360" w:lineRule="auto"/>
              <w:jc w:val="center"/>
              <w:rPr>
                <w:rFonts w:ascii="Times New Roman" w:hAnsi="Times New Roman" w:eastAsia="宋体"/>
                <w:color w:val="auto"/>
                <w:sz w:val="21"/>
                <w:highlight w:val="none"/>
              </w:rPr>
            </w:pPr>
          </w:p>
        </w:tc>
        <w:tc>
          <w:tcPr>
            <w:tcW w:w="1110" w:type="dxa"/>
            <w:noWrap w:val="0"/>
            <w:vAlign w:val="center"/>
          </w:tcPr>
          <w:p w14:paraId="3228FC57">
            <w:pPr>
              <w:spacing w:line="360" w:lineRule="auto"/>
              <w:rPr>
                <w:rFonts w:ascii="Times New Roman" w:hAnsi="Times New Roman" w:eastAsia="宋体"/>
                <w:color w:val="auto"/>
                <w:sz w:val="24"/>
                <w:szCs w:val="24"/>
                <w:highlight w:val="none"/>
              </w:rPr>
            </w:pPr>
          </w:p>
        </w:tc>
        <w:tc>
          <w:tcPr>
            <w:tcW w:w="1095" w:type="dxa"/>
            <w:noWrap w:val="0"/>
            <w:vAlign w:val="center"/>
          </w:tcPr>
          <w:p w14:paraId="7E8107B2">
            <w:pPr>
              <w:spacing w:line="360" w:lineRule="auto"/>
              <w:rPr>
                <w:rFonts w:ascii="Times New Roman" w:hAnsi="Times New Roman" w:eastAsia="宋体"/>
                <w:color w:val="auto"/>
                <w:sz w:val="24"/>
                <w:szCs w:val="24"/>
                <w:highlight w:val="none"/>
              </w:rPr>
            </w:pPr>
          </w:p>
        </w:tc>
        <w:tc>
          <w:tcPr>
            <w:tcW w:w="945" w:type="dxa"/>
            <w:noWrap w:val="0"/>
            <w:vAlign w:val="center"/>
          </w:tcPr>
          <w:p w14:paraId="5A9327D8">
            <w:pPr>
              <w:spacing w:line="360" w:lineRule="auto"/>
              <w:rPr>
                <w:rFonts w:ascii="Times New Roman" w:hAnsi="Times New Roman" w:eastAsia="宋体"/>
                <w:color w:val="auto"/>
                <w:sz w:val="24"/>
                <w:szCs w:val="24"/>
                <w:highlight w:val="none"/>
              </w:rPr>
            </w:pPr>
          </w:p>
        </w:tc>
        <w:tc>
          <w:tcPr>
            <w:tcW w:w="900" w:type="dxa"/>
            <w:noWrap w:val="0"/>
            <w:vAlign w:val="top"/>
          </w:tcPr>
          <w:p w14:paraId="64A20147">
            <w:pPr>
              <w:spacing w:line="360" w:lineRule="auto"/>
              <w:rPr>
                <w:rFonts w:ascii="Times New Roman" w:hAnsi="Times New Roman" w:eastAsia="宋体"/>
                <w:color w:val="auto"/>
                <w:sz w:val="24"/>
                <w:szCs w:val="24"/>
                <w:highlight w:val="none"/>
              </w:rPr>
            </w:pPr>
          </w:p>
        </w:tc>
      </w:tr>
      <w:tr w14:paraId="36742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8623" w:type="dxa"/>
            <w:gridSpan w:val="8"/>
            <w:noWrap w:val="0"/>
            <w:vAlign w:val="center"/>
          </w:tcPr>
          <w:p w14:paraId="3F588196">
            <w:pPr>
              <w:spacing w:line="360" w:lineRule="auto"/>
              <w:jc w:val="center"/>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总计：</w:t>
            </w:r>
            <w:r>
              <w:rPr>
                <w:rFonts w:hint="eastAsia" w:ascii="Times New Roman" w:hAnsi="Times New Roman" w:eastAsia="宋体"/>
                <w:color w:val="auto"/>
                <w:sz w:val="24"/>
                <w:szCs w:val="24"/>
                <w:highlight w:val="none"/>
                <w:lang w:val="en-US" w:eastAsia="zh-CN"/>
              </w:rPr>
              <w:t xml:space="preserve">   </w:t>
            </w:r>
            <w:r>
              <w:rPr>
                <w:rFonts w:hint="eastAsia" w:ascii="Times New Roman" w:hAnsi="Times New Roman" w:eastAsia="宋体"/>
                <w:color w:val="auto"/>
                <w:sz w:val="24"/>
                <w:szCs w:val="24"/>
                <w:highlight w:val="none"/>
              </w:rPr>
              <w:t>元</w:t>
            </w:r>
          </w:p>
        </w:tc>
        <w:tc>
          <w:tcPr>
            <w:tcW w:w="900" w:type="dxa"/>
            <w:noWrap w:val="0"/>
            <w:vAlign w:val="top"/>
          </w:tcPr>
          <w:p w14:paraId="6FDB9207">
            <w:pPr>
              <w:spacing w:line="360" w:lineRule="auto"/>
              <w:rPr>
                <w:rFonts w:ascii="Times New Roman" w:hAnsi="Times New Roman" w:eastAsia="宋体"/>
                <w:color w:val="auto"/>
                <w:sz w:val="24"/>
                <w:szCs w:val="24"/>
                <w:highlight w:val="none"/>
              </w:rPr>
            </w:pPr>
          </w:p>
        </w:tc>
      </w:tr>
    </w:tbl>
    <w:p w14:paraId="0D163AE5">
      <w:pPr>
        <w:pStyle w:val="43"/>
        <w:rPr>
          <w:rFonts w:hint="eastAsia"/>
          <w:color w:val="auto"/>
          <w:highlight w:val="none"/>
        </w:rPr>
      </w:pPr>
    </w:p>
    <w:p w14:paraId="1F65E131">
      <w:pPr>
        <w:spacing w:line="360" w:lineRule="auto"/>
        <w:ind w:firstLine="480" w:firstLineChars="200"/>
        <w:rPr>
          <w:rFonts w:ascii="宋体" w:hAnsi="宋体"/>
          <w:bCs/>
          <w:color w:val="auto"/>
          <w:sz w:val="24"/>
          <w:highlight w:val="none"/>
        </w:rPr>
      </w:pPr>
      <w:r>
        <w:rPr>
          <w:rFonts w:hint="eastAsia" w:ascii="宋体" w:hAnsi="宋体" w:eastAsia="宋体" w:cs="宋体"/>
          <w:color w:val="auto"/>
          <w:sz w:val="24"/>
          <w:szCs w:val="24"/>
          <w:highlight w:val="none"/>
        </w:rPr>
        <w:t>注：</w:t>
      </w:r>
      <w:r>
        <w:rPr>
          <w:rFonts w:hint="eastAsia" w:ascii="宋体" w:hAnsi="宋体"/>
          <w:bCs/>
          <w:color w:val="auto"/>
          <w:sz w:val="24"/>
          <w:highlight w:val="none"/>
        </w:rPr>
        <w:t>1、最终磋商总价报价将在磋商现场填写，响应文件首次提交时只需填写本明细表和首次磋商总价报价。</w:t>
      </w:r>
    </w:p>
    <w:p w14:paraId="4AE4707F">
      <w:pPr>
        <w:pageBreakBefore w:val="0"/>
        <w:kinsoku/>
        <w:wordWrap/>
        <w:overflowPunct/>
        <w:topLinePunct w:val="0"/>
        <w:bidi w:val="0"/>
        <w:spacing w:line="360" w:lineRule="auto"/>
        <w:ind w:firstLine="480"/>
        <w:jc w:val="left"/>
        <w:textAlignment w:val="auto"/>
        <w:rPr>
          <w:rFonts w:hint="eastAsia" w:ascii="宋体" w:hAnsi="宋体"/>
          <w:bCs/>
          <w:color w:val="auto"/>
          <w:sz w:val="24"/>
          <w:highlight w:val="none"/>
        </w:rPr>
      </w:pPr>
      <w:r>
        <w:rPr>
          <w:rFonts w:hint="eastAsia" w:ascii="宋体" w:hAnsi="宋体"/>
          <w:bCs/>
          <w:color w:val="auto"/>
          <w:sz w:val="24"/>
          <w:highlight w:val="none"/>
        </w:rPr>
        <w:t>2、本表格可根据需求自行调整。</w:t>
      </w:r>
    </w:p>
    <w:p w14:paraId="26A8015B">
      <w:pPr>
        <w:pageBreakBefore w:val="0"/>
        <w:kinsoku/>
        <w:wordWrap/>
        <w:overflowPunct/>
        <w:topLinePunct w:val="0"/>
        <w:bidi w:val="0"/>
        <w:spacing w:line="360" w:lineRule="auto"/>
        <w:ind w:firstLine="480"/>
        <w:jc w:val="left"/>
        <w:textAlignment w:val="auto"/>
        <w:rPr>
          <w:rFonts w:hint="eastAsia" w:ascii="宋体" w:hAnsi="宋体"/>
          <w:bCs/>
          <w:color w:val="auto"/>
          <w:sz w:val="24"/>
          <w:highlight w:val="none"/>
        </w:rPr>
      </w:pPr>
      <w:r>
        <w:rPr>
          <w:rFonts w:hint="eastAsia" w:ascii="宋体" w:hAnsi="宋体"/>
          <w:bCs/>
          <w:color w:val="auto"/>
          <w:sz w:val="24"/>
          <w:highlight w:val="none"/>
        </w:rPr>
        <w:t>3、如果不提供本表将视为未实质性响应磋商文件要求。</w:t>
      </w:r>
    </w:p>
    <w:p w14:paraId="2FF97110">
      <w:pPr>
        <w:pageBreakBefore w:val="0"/>
        <w:kinsoku/>
        <w:wordWrap/>
        <w:overflowPunct/>
        <w:topLinePunct w:val="0"/>
        <w:bidi w:val="0"/>
        <w:spacing w:line="360" w:lineRule="auto"/>
        <w:ind w:firstLine="480"/>
        <w:jc w:val="left"/>
        <w:textAlignment w:val="auto"/>
        <w:rPr>
          <w:rFonts w:hint="eastAsia" w:ascii="宋体" w:hAnsi="宋体"/>
          <w:bCs/>
          <w:color w:val="auto"/>
          <w:sz w:val="24"/>
          <w:highlight w:val="none"/>
        </w:rPr>
      </w:pPr>
      <w:r>
        <w:rPr>
          <w:rFonts w:hint="eastAsia" w:ascii="宋体" w:hAnsi="宋体"/>
          <w:bCs/>
          <w:color w:val="auto"/>
          <w:sz w:val="24"/>
          <w:highlight w:val="none"/>
        </w:rPr>
        <w:t>4、如果按各分项报价计算的结果与总价不一致，以各分项报价为准，修正总价。</w:t>
      </w:r>
    </w:p>
    <w:p w14:paraId="243B4004">
      <w:pPr>
        <w:pageBreakBefore w:val="0"/>
        <w:kinsoku/>
        <w:wordWrap/>
        <w:overflowPunct/>
        <w:topLinePunct w:val="0"/>
        <w:bidi w:val="0"/>
        <w:spacing w:line="360" w:lineRule="auto"/>
        <w:ind w:firstLine="480"/>
        <w:jc w:val="left"/>
        <w:textAlignment w:val="auto"/>
        <w:rPr>
          <w:rFonts w:hint="eastAsia" w:ascii="宋体" w:hAnsi="宋体" w:eastAsia="宋体" w:cs="宋体"/>
          <w:bCs/>
          <w:color w:val="auto"/>
          <w:sz w:val="24"/>
          <w:szCs w:val="24"/>
          <w:highlight w:val="none"/>
        </w:rPr>
      </w:pPr>
      <w:r>
        <w:rPr>
          <w:rFonts w:hint="eastAsia" w:ascii="宋体" w:hAnsi="宋体"/>
          <w:bCs/>
          <w:color w:val="auto"/>
          <w:sz w:val="24"/>
          <w:highlight w:val="none"/>
          <w:lang w:val="en-US" w:eastAsia="zh-CN"/>
        </w:rPr>
        <w:t>5</w:t>
      </w:r>
      <w:r>
        <w:rPr>
          <w:rFonts w:hint="eastAsia" w:ascii="宋体" w:hAnsi="宋体"/>
          <w:bCs/>
          <w:color w:val="auto"/>
          <w:sz w:val="24"/>
          <w:highlight w:val="none"/>
          <w:lang w:eastAsia="zh-CN"/>
        </w:rPr>
        <w:t>、</w:t>
      </w:r>
      <w:r>
        <w:rPr>
          <w:rFonts w:hint="eastAsia" w:ascii="宋体" w:hAnsi="宋体"/>
          <w:bCs/>
          <w:color w:val="auto"/>
          <w:sz w:val="24"/>
          <w:highlight w:val="none"/>
        </w:rPr>
        <w:t>本表</w:t>
      </w:r>
      <w:r>
        <w:rPr>
          <w:rFonts w:hint="eastAsia" w:ascii="宋体" w:hAnsi="宋体"/>
          <w:bCs/>
          <w:color w:val="auto"/>
          <w:sz w:val="24"/>
          <w:highlight w:val="none"/>
          <w:lang w:eastAsia="zh-CN"/>
        </w:rPr>
        <w:t>响应</w:t>
      </w:r>
      <w:r>
        <w:rPr>
          <w:rFonts w:hint="eastAsia" w:ascii="宋体" w:hAnsi="宋体"/>
          <w:bCs/>
          <w:color w:val="auto"/>
          <w:sz w:val="24"/>
          <w:highlight w:val="none"/>
        </w:rPr>
        <w:t>总报价（以人民币计价）应</w:t>
      </w:r>
      <w:r>
        <w:rPr>
          <w:rFonts w:hint="eastAsia" w:ascii="宋体" w:hAnsi="宋体"/>
          <w:bCs/>
          <w:color w:val="auto"/>
          <w:sz w:val="24"/>
          <w:highlight w:val="none"/>
          <w:lang w:eastAsia="zh-CN"/>
        </w:rPr>
        <w:t>包含但不限于</w:t>
      </w:r>
      <w:r>
        <w:rPr>
          <w:rFonts w:hint="eastAsia" w:ascii="宋体" w:hAnsi="宋体"/>
          <w:bCs/>
          <w:color w:val="auto"/>
          <w:sz w:val="24"/>
          <w:highlight w:val="none"/>
        </w:rPr>
        <w:t>成本、利润、税金、开办费、政策性调整风险费等的所有费用；辅材费、人工费、检测费、管理费；国家税务部门规定的各项税金；相关伴随服务以及售后服务等一切费用</w:t>
      </w:r>
      <w:r>
        <w:rPr>
          <w:rFonts w:hint="eastAsia" w:ascii="宋体" w:hAnsi="宋体"/>
          <w:bCs/>
          <w:color w:val="auto"/>
          <w:sz w:val="24"/>
          <w:highlight w:val="none"/>
          <w:lang w:eastAsia="zh-CN"/>
        </w:rPr>
        <w:t>；</w:t>
      </w:r>
      <w:r>
        <w:rPr>
          <w:rFonts w:hint="eastAsia" w:ascii="宋体" w:hAnsi="宋体"/>
          <w:bCs/>
          <w:color w:val="auto"/>
          <w:sz w:val="24"/>
          <w:highlight w:val="none"/>
        </w:rPr>
        <w:t>即本项目采购的货物交付使用前的所有费用以及免费质保期内的服务费用等包含响应</w:t>
      </w:r>
      <w:r>
        <w:rPr>
          <w:rFonts w:hint="eastAsia" w:ascii="宋体" w:hAnsi="宋体"/>
          <w:bCs/>
          <w:color w:val="auto"/>
          <w:sz w:val="24"/>
          <w:highlight w:val="none"/>
          <w:lang w:eastAsia="zh-CN"/>
        </w:rPr>
        <w:t>磋商</w:t>
      </w:r>
      <w:r>
        <w:rPr>
          <w:rFonts w:hint="eastAsia" w:ascii="宋体" w:hAnsi="宋体"/>
          <w:bCs/>
          <w:color w:val="auto"/>
          <w:sz w:val="24"/>
          <w:highlight w:val="none"/>
        </w:rPr>
        <w:t>文件采购要求的所有费用。同时，报价也包含了合同履行过程中可能发生的一切风险</w:t>
      </w:r>
      <w:r>
        <w:rPr>
          <w:rFonts w:hint="eastAsia" w:ascii="宋体" w:hAnsi="宋体"/>
          <w:bCs/>
          <w:color w:val="auto"/>
          <w:sz w:val="24"/>
          <w:highlight w:val="none"/>
          <w:lang w:eastAsia="zh-CN"/>
        </w:rPr>
        <w:t>。</w:t>
      </w:r>
    </w:p>
    <w:p w14:paraId="0F7502EF">
      <w:pPr>
        <w:keepNext w:val="0"/>
        <w:keepLines w:val="0"/>
        <w:pageBreakBefore w:val="0"/>
        <w:widowControl w:val="0"/>
        <w:tabs>
          <w:tab w:val="left" w:pos="7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rPr>
      </w:pPr>
    </w:p>
    <w:p w14:paraId="0D46D2CA">
      <w:pPr>
        <w:keepNext w:val="0"/>
        <w:keepLines w:val="0"/>
        <w:pageBreakBefore w:val="0"/>
        <w:widowControl w:val="0"/>
        <w:tabs>
          <w:tab w:val="left" w:pos="7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供应商（盖章）：</w:t>
      </w:r>
      <w:r>
        <w:rPr>
          <w:rFonts w:hint="eastAsia" w:ascii="宋体" w:hAnsi="宋体" w:eastAsia="宋体" w:cs="宋体"/>
          <w:bCs/>
          <w:color w:val="auto"/>
          <w:sz w:val="24"/>
          <w:szCs w:val="24"/>
          <w:highlight w:val="none"/>
          <w:u w:val="single"/>
        </w:rPr>
        <w:t xml:space="preserve">                        </w:t>
      </w:r>
    </w:p>
    <w:p w14:paraId="7EA4319C">
      <w:pPr>
        <w:keepNext w:val="0"/>
        <w:keepLines w:val="0"/>
        <w:pageBreakBefore w:val="0"/>
        <w:widowControl w:val="0"/>
        <w:tabs>
          <w:tab w:val="left" w:pos="720"/>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供应商代表签字或盖章：</w:t>
      </w:r>
      <w:r>
        <w:rPr>
          <w:rFonts w:hint="eastAsia" w:ascii="宋体" w:hAnsi="宋体" w:eastAsia="宋体" w:cs="宋体"/>
          <w:bCs/>
          <w:color w:val="auto"/>
          <w:sz w:val="24"/>
          <w:szCs w:val="24"/>
          <w:highlight w:val="none"/>
          <w:u w:val="single"/>
        </w:rPr>
        <w:t xml:space="preserve">                       </w:t>
      </w:r>
    </w:p>
    <w:p w14:paraId="19D0271E">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rPr>
        <w:t xml:space="preserve">日  期： </w:t>
      </w:r>
      <w:r>
        <w:rPr>
          <w:rFonts w:hint="eastAsia" w:ascii="宋体" w:hAnsi="宋体" w:eastAsia="宋体" w:cs="宋体"/>
          <w:bCs/>
          <w:color w:val="auto"/>
          <w:sz w:val="24"/>
          <w:szCs w:val="24"/>
          <w:highlight w:val="none"/>
          <w:u w:val="single"/>
        </w:rPr>
        <w:t xml:space="preserve">                            </w:t>
      </w:r>
    </w:p>
    <w:sectPr>
      <w:footerReference r:id="rId3" w:type="default"/>
      <w:pgSz w:w="11906" w:h="16838"/>
      <w:pgMar w:top="1418" w:right="1588" w:bottom="1418" w:left="1588" w:header="851" w:footer="850"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F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华文仿宋">
    <w:altName w:val="仿宋"/>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PingFangSC-Regular-Identity-H">
    <w:altName w:val="Segoe Print"/>
    <w:panose1 w:val="00000000000000000000"/>
    <w:charset w:val="00"/>
    <w:family w:val="roman"/>
    <w:pitch w:val="default"/>
    <w:sig w:usb0="00000000" w:usb1="00000000" w:usb2="00000000" w:usb3="00000000" w:csb0="00000000" w:csb1="00000000"/>
  </w:font>
  <w:font w:name="TimesNewRomanPSMT">
    <w:altName w:val="Times New Roman"/>
    <w:panose1 w:val="00000000000000000000"/>
    <w:charset w:val="86"/>
    <w:family w:val="auto"/>
    <w:pitch w:val="default"/>
    <w:sig w:usb0="00000000" w:usb1="00000000" w:usb2="00000001" w:usb3="00000000" w:csb0="400001BF" w:csb1="DFF7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BE2BF">
    <w:pPr>
      <w:pStyle w:val="16"/>
      <w:jc w:val="center"/>
    </w:pPr>
    <w:r>
      <w:fldChar w:fldCharType="begin"/>
    </w:r>
    <w:r>
      <w:instrText xml:space="preserve"> PAGE   \* MERGEFORMAT </w:instrText>
    </w:r>
    <w:r>
      <w:fldChar w:fldCharType="separate"/>
    </w:r>
    <w:r>
      <w:rPr>
        <w:lang w:val="zh-CN"/>
      </w:rPr>
      <w:t>1</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337C95"/>
    <w:multiLevelType w:val="singleLevel"/>
    <w:tmpl w:val="3C337C9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wZTQyNGY3NWY0ZTVkMDMxMDUwZGIwMTYzYTM2NTkifQ=="/>
  </w:docVars>
  <w:rsids>
    <w:rsidRoot w:val="0042773D"/>
    <w:rsid w:val="00005621"/>
    <w:rsid w:val="000105F3"/>
    <w:rsid w:val="000116CF"/>
    <w:rsid w:val="00011718"/>
    <w:rsid w:val="00030656"/>
    <w:rsid w:val="0004233B"/>
    <w:rsid w:val="00042E68"/>
    <w:rsid w:val="00045AD0"/>
    <w:rsid w:val="00045B8C"/>
    <w:rsid w:val="00062F66"/>
    <w:rsid w:val="000633EC"/>
    <w:rsid w:val="00066F50"/>
    <w:rsid w:val="0007689C"/>
    <w:rsid w:val="00076D60"/>
    <w:rsid w:val="0009698F"/>
    <w:rsid w:val="000B6C99"/>
    <w:rsid w:val="000D0AEE"/>
    <w:rsid w:val="000D3147"/>
    <w:rsid w:val="000D7335"/>
    <w:rsid w:val="000E2EB7"/>
    <w:rsid w:val="000F0E95"/>
    <w:rsid w:val="000F2D8B"/>
    <w:rsid w:val="000F3E59"/>
    <w:rsid w:val="000F42CA"/>
    <w:rsid w:val="00105B86"/>
    <w:rsid w:val="00111B21"/>
    <w:rsid w:val="00150A42"/>
    <w:rsid w:val="0015616E"/>
    <w:rsid w:val="0015754E"/>
    <w:rsid w:val="0018047F"/>
    <w:rsid w:val="0019545C"/>
    <w:rsid w:val="0019651E"/>
    <w:rsid w:val="001A75C8"/>
    <w:rsid w:val="001B56D8"/>
    <w:rsid w:val="001B7B5D"/>
    <w:rsid w:val="001F4D5A"/>
    <w:rsid w:val="002034D1"/>
    <w:rsid w:val="00203F3E"/>
    <w:rsid w:val="00205384"/>
    <w:rsid w:val="002063EF"/>
    <w:rsid w:val="002064EC"/>
    <w:rsid w:val="00210D4E"/>
    <w:rsid w:val="002219C9"/>
    <w:rsid w:val="00225C90"/>
    <w:rsid w:val="00231ACD"/>
    <w:rsid w:val="00234A6B"/>
    <w:rsid w:val="00236FC4"/>
    <w:rsid w:val="002375BD"/>
    <w:rsid w:val="00240734"/>
    <w:rsid w:val="0024626E"/>
    <w:rsid w:val="002468A6"/>
    <w:rsid w:val="00255AB3"/>
    <w:rsid w:val="002707F5"/>
    <w:rsid w:val="00271A2C"/>
    <w:rsid w:val="00285BC2"/>
    <w:rsid w:val="00286641"/>
    <w:rsid w:val="002A1341"/>
    <w:rsid w:val="002A415D"/>
    <w:rsid w:val="002A6A48"/>
    <w:rsid w:val="002B6511"/>
    <w:rsid w:val="002B7853"/>
    <w:rsid w:val="002C01E3"/>
    <w:rsid w:val="002E0B7C"/>
    <w:rsid w:val="002E1BA8"/>
    <w:rsid w:val="002E40A5"/>
    <w:rsid w:val="002F64D4"/>
    <w:rsid w:val="002F6EFE"/>
    <w:rsid w:val="002F7C52"/>
    <w:rsid w:val="002F7F56"/>
    <w:rsid w:val="003050C3"/>
    <w:rsid w:val="00307FF6"/>
    <w:rsid w:val="00315628"/>
    <w:rsid w:val="003229B8"/>
    <w:rsid w:val="00331324"/>
    <w:rsid w:val="00335864"/>
    <w:rsid w:val="00362918"/>
    <w:rsid w:val="00363D22"/>
    <w:rsid w:val="00364AB1"/>
    <w:rsid w:val="00367528"/>
    <w:rsid w:val="003702B5"/>
    <w:rsid w:val="00370501"/>
    <w:rsid w:val="00384F42"/>
    <w:rsid w:val="003A3B0E"/>
    <w:rsid w:val="003A55F0"/>
    <w:rsid w:val="003B571B"/>
    <w:rsid w:val="003C18C2"/>
    <w:rsid w:val="003C3D48"/>
    <w:rsid w:val="003C6028"/>
    <w:rsid w:val="003D4871"/>
    <w:rsid w:val="003D6A6B"/>
    <w:rsid w:val="003E584E"/>
    <w:rsid w:val="003F2A3F"/>
    <w:rsid w:val="00403F33"/>
    <w:rsid w:val="004069DE"/>
    <w:rsid w:val="00414EA1"/>
    <w:rsid w:val="004254FC"/>
    <w:rsid w:val="0042773D"/>
    <w:rsid w:val="00433AC8"/>
    <w:rsid w:val="004413CE"/>
    <w:rsid w:val="00447FFB"/>
    <w:rsid w:val="004527FC"/>
    <w:rsid w:val="00454AC9"/>
    <w:rsid w:val="00462B1F"/>
    <w:rsid w:val="00475EA1"/>
    <w:rsid w:val="004867BB"/>
    <w:rsid w:val="00490ACC"/>
    <w:rsid w:val="004A2D24"/>
    <w:rsid w:val="004A2F36"/>
    <w:rsid w:val="004B122F"/>
    <w:rsid w:val="004B496E"/>
    <w:rsid w:val="004D117D"/>
    <w:rsid w:val="004D5E42"/>
    <w:rsid w:val="005078ED"/>
    <w:rsid w:val="005113A5"/>
    <w:rsid w:val="00576289"/>
    <w:rsid w:val="005841A4"/>
    <w:rsid w:val="005A31EB"/>
    <w:rsid w:val="005C3634"/>
    <w:rsid w:val="005C5B61"/>
    <w:rsid w:val="005D1282"/>
    <w:rsid w:val="005D22F2"/>
    <w:rsid w:val="005D73C6"/>
    <w:rsid w:val="00603E35"/>
    <w:rsid w:val="00606BF2"/>
    <w:rsid w:val="00633A81"/>
    <w:rsid w:val="00645528"/>
    <w:rsid w:val="006543CA"/>
    <w:rsid w:val="006741C9"/>
    <w:rsid w:val="006822D2"/>
    <w:rsid w:val="006902A0"/>
    <w:rsid w:val="00693857"/>
    <w:rsid w:val="00694D70"/>
    <w:rsid w:val="00695A9F"/>
    <w:rsid w:val="006A5E64"/>
    <w:rsid w:val="006B4338"/>
    <w:rsid w:val="006C59BF"/>
    <w:rsid w:val="006D3A4D"/>
    <w:rsid w:val="006D5C68"/>
    <w:rsid w:val="006D7BE8"/>
    <w:rsid w:val="007172D8"/>
    <w:rsid w:val="00734530"/>
    <w:rsid w:val="00744D06"/>
    <w:rsid w:val="00751266"/>
    <w:rsid w:val="0077451C"/>
    <w:rsid w:val="007755C4"/>
    <w:rsid w:val="00777BDC"/>
    <w:rsid w:val="00785C7E"/>
    <w:rsid w:val="007B5ED6"/>
    <w:rsid w:val="007C0266"/>
    <w:rsid w:val="007C52C4"/>
    <w:rsid w:val="007D447F"/>
    <w:rsid w:val="007D4AD9"/>
    <w:rsid w:val="007D501E"/>
    <w:rsid w:val="007D7533"/>
    <w:rsid w:val="007E4882"/>
    <w:rsid w:val="007F782E"/>
    <w:rsid w:val="0082282D"/>
    <w:rsid w:val="008324DA"/>
    <w:rsid w:val="008369E9"/>
    <w:rsid w:val="00881F22"/>
    <w:rsid w:val="00884AF5"/>
    <w:rsid w:val="00891163"/>
    <w:rsid w:val="008913C5"/>
    <w:rsid w:val="008B1772"/>
    <w:rsid w:val="008B53C9"/>
    <w:rsid w:val="008C0188"/>
    <w:rsid w:val="008D5C8C"/>
    <w:rsid w:val="008D7EBD"/>
    <w:rsid w:val="008F46B1"/>
    <w:rsid w:val="008F79F2"/>
    <w:rsid w:val="00905A18"/>
    <w:rsid w:val="00910A22"/>
    <w:rsid w:val="00911A50"/>
    <w:rsid w:val="00927F05"/>
    <w:rsid w:val="009301FE"/>
    <w:rsid w:val="009317AE"/>
    <w:rsid w:val="0094400C"/>
    <w:rsid w:val="00945E72"/>
    <w:rsid w:val="00947D39"/>
    <w:rsid w:val="00951E5B"/>
    <w:rsid w:val="00956F45"/>
    <w:rsid w:val="00967875"/>
    <w:rsid w:val="00975BB0"/>
    <w:rsid w:val="009823DF"/>
    <w:rsid w:val="009948AB"/>
    <w:rsid w:val="0099591F"/>
    <w:rsid w:val="009A4AAF"/>
    <w:rsid w:val="009B0414"/>
    <w:rsid w:val="009D17F8"/>
    <w:rsid w:val="009D3858"/>
    <w:rsid w:val="009D3B57"/>
    <w:rsid w:val="009E025D"/>
    <w:rsid w:val="009F3280"/>
    <w:rsid w:val="00A00280"/>
    <w:rsid w:val="00A00693"/>
    <w:rsid w:val="00A25E3A"/>
    <w:rsid w:val="00A46B05"/>
    <w:rsid w:val="00A65118"/>
    <w:rsid w:val="00A75D59"/>
    <w:rsid w:val="00A775B1"/>
    <w:rsid w:val="00AA53A1"/>
    <w:rsid w:val="00AB3858"/>
    <w:rsid w:val="00AB397A"/>
    <w:rsid w:val="00AC0645"/>
    <w:rsid w:val="00AC1356"/>
    <w:rsid w:val="00AC167D"/>
    <w:rsid w:val="00AD0E54"/>
    <w:rsid w:val="00AD3170"/>
    <w:rsid w:val="00AE32E5"/>
    <w:rsid w:val="00AF67B7"/>
    <w:rsid w:val="00B06015"/>
    <w:rsid w:val="00B1621D"/>
    <w:rsid w:val="00B24F83"/>
    <w:rsid w:val="00B36A38"/>
    <w:rsid w:val="00B50963"/>
    <w:rsid w:val="00B5131F"/>
    <w:rsid w:val="00B523EC"/>
    <w:rsid w:val="00B54D9A"/>
    <w:rsid w:val="00B555BD"/>
    <w:rsid w:val="00B65DE5"/>
    <w:rsid w:val="00B76D85"/>
    <w:rsid w:val="00B97CDB"/>
    <w:rsid w:val="00BA0DE5"/>
    <w:rsid w:val="00BA502C"/>
    <w:rsid w:val="00BB48A3"/>
    <w:rsid w:val="00BC3246"/>
    <w:rsid w:val="00BC6EEB"/>
    <w:rsid w:val="00C02F17"/>
    <w:rsid w:val="00C047C7"/>
    <w:rsid w:val="00C16047"/>
    <w:rsid w:val="00C4189B"/>
    <w:rsid w:val="00C514FC"/>
    <w:rsid w:val="00C74113"/>
    <w:rsid w:val="00C74551"/>
    <w:rsid w:val="00C87961"/>
    <w:rsid w:val="00C96A7A"/>
    <w:rsid w:val="00CA125B"/>
    <w:rsid w:val="00CA3A6E"/>
    <w:rsid w:val="00CB2559"/>
    <w:rsid w:val="00CC7436"/>
    <w:rsid w:val="00CD1E8F"/>
    <w:rsid w:val="00CF0C61"/>
    <w:rsid w:val="00CF19FE"/>
    <w:rsid w:val="00CF4BAE"/>
    <w:rsid w:val="00D1283C"/>
    <w:rsid w:val="00D14736"/>
    <w:rsid w:val="00D160B0"/>
    <w:rsid w:val="00D259AD"/>
    <w:rsid w:val="00D31ACC"/>
    <w:rsid w:val="00D37953"/>
    <w:rsid w:val="00D520F7"/>
    <w:rsid w:val="00D56C3B"/>
    <w:rsid w:val="00D66756"/>
    <w:rsid w:val="00D82A58"/>
    <w:rsid w:val="00D8401B"/>
    <w:rsid w:val="00D93C52"/>
    <w:rsid w:val="00D977B3"/>
    <w:rsid w:val="00DB6573"/>
    <w:rsid w:val="00DC04E7"/>
    <w:rsid w:val="00DC24D0"/>
    <w:rsid w:val="00DC7ABA"/>
    <w:rsid w:val="00DD1D76"/>
    <w:rsid w:val="00E03D8E"/>
    <w:rsid w:val="00E07EEE"/>
    <w:rsid w:val="00E27373"/>
    <w:rsid w:val="00E86D63"/>
    <w:rsid w:val="00E90F14"/>
    <w:rsid w:val="00E91EDF"/>
    <w:rsid w:val="00EF525C"/>
    <w:rsid w:val="00F02280"/>
    <w:rsid w:val="00F04F82"/>
    <w:rsid w:val="00F1322E"/>
    <w:rsid w:val="00F16606"/>
    <w:rsid w:val="00F357CB"/>
    <w:rsid w:val="00F5137C"/>
    <w:rsid w:val="00F5357B"/>
    <w:rsid w:val="00F5462E"/>
    <w:rsid w:val="00F574E3"/>
    <w:rsid w:val="00F63459"/>
    <w:rsid w:val="00F63B31"/>
    <w:rsid w:val="00F825EC"/>
    <w:rsid w:val="00FA0374"/>
    <w:rsid w:val="00FB003F"/>
    <w:rsid w:val="00FC398C"/>
    <w:rsid w:val="00FD3CFD"/>
    <w:rsid w:val="00FD532E"/>
    <w:rsid w:val="00FD737A"/>
    <w:rsid w:val="00FE35B6"/>
    <w:rsid w:val="00FF3681"/>
    <w:rsid w:val="015C4CBF"/>
    <w:rsid w:val="01FE34D3"/>
    <w:rsid w:val="02117D9A"/>
    <w:rsid w:val="0232372D"/>
    <w:rsid w:val="02F619EC"/>
    <w:rsid w:val="031A3274"/>
    <w:rsid w:val="032341C5"/>
    <w:rsid w:val="03A83A42"/>
    <w:rsid w:val="03E379A2"/>
    <w:rsid w:val="041E22FB"/>
    <w:rsid w:val="0475016D"/>
    <w:rsid w:val="05D721F2"/>
    <w:rsid w:val="08D1180B"/>
    <w:rsid w:val="0A2543E3"/>
    <w:rsid w:val="0A2830AC"/>
    <w:rsid w:val="0A5D1C72"/>
    <w:rsid w:val="0A727010"/>
    <w:rsid w:val="0B462863"/>
    <w:rsid w:val="0BE5207C"/>
    <w:rsid w:val="0CD77836"/>
    <w:rsid w:val="0DEA1BCB"/>
    <w:rsid w:val="0E6C4D9F"/>
    <w:rsid w:val="0FB9436E"/>
    <w:rsid w:val="10E548CC"/>
    <w:rsid w:val="10EF15A7"/>
    <w:rsid w:val="115B540E"/>
    <w:rsid w:val="122D2FC9"/>
    <w:rsid w:val="133E3283"/>
    <w:rsid w:val="139A7BF0"/>
    <w:rsid w:val="14EA7E81"/>
    <w:rsid w:val="151421A8"/>
    <w:rsid w:val="15253159"/>
    <w:rsid w:val="155F3D53"/>
    <w:rsid w:val="157C1E87"/>
    <w:rsid w:val="159468C1"/>
    <w:rsid w:val="15C2217E"/>
    <w:rsid w:val="15D63BCC"/>
    <w:rsid w:val="15F6320B"/>
    <w:rsid w:val="16593DC0"/>
    <w:rsid w:val="17BF578A"/>
    <w:rsid w:val="17F32EE2"/>
    <w:rsid w:val="18117D55"/>
    <w:rsid w:val="18263421"/>
    <w:rsid w:val="197308CB"/>
    <w:rsid w:val="197565C6"/>
    <w:rsid w:val="1A18186E"/>
    <w:rsid w:val="1B4F155D"/>
    <w:rsid w:val="1C503906"/>
    <w:rsid w:val="1DE432AC"/>
    <w:rsid w:val="1E163551"/>
    <w:rsid w:val="1F0C4400"/>
    <w:rsid w:val="1F8E2FE8"/>
    <w:rsid w:val="203A77C4"/>
    <w:rsid w:val="21404558"/>
    <w:rsid w:val="21450846"/>
    <w:rsid w:val="21B43D41"/>
    <w:rsid w:val="224E366C"/>
    <w:rsid w:val="22D402FC"/>
    <w:rsid w:val="2335285B"/>
    <w:rsid w:val="252E676F"/>
    <w:rsid w:val="272A0E68"/>
    <w:rsid w:val="274D0351"/>
    <w:rsid w:val="27DE22E9"/>
    <w:rsid w:val="286D194F"/>
    <w:rsid w:val="28885E11"/>
    <w:rsid w:val="28F53B49"/>
    <w:rsid w:val="29C97C61"/>
    <w:rsid w:val="2B9F25ED"/>
    <w:rsid w:val="2BD6675A"/>
    <w:rsid w:val="2C5A6960"/>
    <w:rsid w:val="2C6E5A4D"/>
    <w:rsid w:val="2CC8252C"/>
    <w:rsid w:val="2CCE28B7"/>
    <w:rsid w:val="2D0068BE"/>
    <w:rsid w:val="2D547055"/>
    <w:rsid w:val="2DD824AC"/>
    <w:rsid w:val="2E672C1C"/>
    <w:rsid w:val="2F837332"/>
    <w:rsid w:val="30A401EF"/>
    <w:rsid w:val="322E658F"/>
    <w:rsid w:val="32347FCD"/>
    <w:rsid w:val="32593CE2"/>
    <w:rsid w:val="32D85BE7"/>
    <w:rsid w:val="3329796B"/>
    <w:rsid w:val="34700A2F"/>
    <w:rsid w:val="34C5163B"/>
    <w:rsid w:val="358D4A67"/>
    <w:rsid w:val="35947F61"/>
    <w:rsid w:val="35CA34F6"/>
    <w:rsid w:val="35CB4299"/>
    <w:rsid w:val="35EB4569"/>
    <w:rsid w:val="36161DCC"/>
    <w:rsid w:val="366867C2"/>
    <w:rsid w:val="37092C7D"/>
    <w:rsid w:val="38594DC9"/>
    <w:rsid w:val="388D2136"/>
    <w:rsid w:val="396E11A3"/>
    <w:rsid w:val="39780A9F"/>
    <w:rsid w:val="3A3E6499"/>
    <w:rsid w:val="3AAB1168"/>
    <w:rsid w:val="3C2C44E9"/>
    <w:rsid w:val="3CA14B12"/>
    <w:rsid w:val="3DA05553"/>
    <w:rsid w:val="3DBB06FA"/>
    <w:rsid w:val="3DEA6E32"/>
    <w:rsid w:val="3DF31169"/>
    <w:rsid w:val="3E246184"/>
    <w:rsid w:val="3EF274D2"/>
    <w:rsid w:val="3F13120C"/>
    <w:rsid w:val="3FBC10C9"/>
    <w:rsid w:val="401C35B7"/>
    <w:rsid w:val="40423602"/>
    <w:rsid w:val="4080750E"/>
    <w:rsid w:val="42024E02"/>
    <w:rsid w:val="420764B5"/>
    <w:rsid w:val="422B5D33"/>
    <w:rsid w:val="425D1C65"/>
    <w:rsid w:val="42672AE3"/>
    <w:rsid w:val="440A15A0"/>
    <w:rsid w:val="442B555F"/>
    <w:rsid w:val="448734FB"/>
    <w:rsid w:val="44972DA7"/>
    <w:rsid w:val="44D468AC"/>
    <w:rsid w:val="4561465A"/>
    <w:rsid w:val="45983BDF"/>
    <w:rsid w:val="459E47A7"/>
    <w:rsid w:val="46CD07F9"/>
    <w:rsid w:val="47693BAF"/>
    <w:rsid w:val="482C45B3"/>
    <w:rsid w:val="486E3206"/>
    <w:rsid w:val="48FE0BAD"/>
    <w:rsid w:val="49111B67"/>
    <w:rsid w:val="49727F94"/>
    <w:rsid w:val="49DC3654"/>
    <w:rsid w:val="4A324B44"/>
    <w:rsid w:val="4ACD5C5A"/>
    <w:rsid w:val="4B840262"/>
    <w:rsid w:val="4BE75A2A"/>
    <w:rsid w:val="4C510AF8"/>
    <w:rsid w:val="4E46218F"/>
    <w:rsid w:val="4EBA73A4"/>
    <w:rsid w:val="4FA520EA"/>
    <w:rsid w:val="4FC139BA"/>
    <w:rsid w:val="502E6EFE"/>
    <w:rsid w:val="5035522F"/>
    <w:rsid w:val="515F3303"/>
    <w:rsid w:val="53A23A14"/>
    <w:rsid w:val="54120D39"/>
    <w:rsid w:val="542A6B2C"/>
    <w:rsid w:val="544F229E"/>
    <w:rsid w:val="55385BD7"/>
    <w:rsid w:val="56400311"/>
    <w:rsid w:val="56E5418D"/>
    <w:rsid w:val="57AE0777"/>
    <w:rsid w:val="584274DB"/>
    <w:rsid w:val="585A4B1B"/>
    <w:rsid w:val="599B1D79"/>
    <w:rsid w:val="5A4C01FF"/>
    <w:rsid w:val="5A8F2AFB"/>
    <w:rsid w:val="5A91106B"/>
    <w:rsid w:val="5AD25AC4"/>
    <w:rsid w:val="5B02520C"/>
    <w:rsid w:val="5BD838E7"/>
    <w:rsid w:val="5BD91F04"/>
    <w:rsid w:val="5C855626"/>
    <w:rsid w:val="5EE01142"/>
    <w:rsid w:val="60032852"/>
    <w:rsid w:val="60480F23"/>
    <w:rsid w:val="61946007"/>
    <w:rsid w:val="61BD1D0E"/>
    <w:rsid w:val="633D4A8B"/>
    <w:rsid w:val="640E3A9F"/>
    <w:rsid w:val="64191A38"/>
    <w:rsid w:val="64ED5461"/>
    <w:rsid w:val="64FB113D"/>
    <w:rsid w:val="658F2EA6"/>
    <w:rsid w:val="659772A6"/>
    <w:rsid w:val="6742329A"/>
    <w:rsid w:val="675F7512"/>
    <w:rsid w:val="683A4AF4"/>
    <w:rsid w:val="68A31FFC"/>
    <w:rsid w:val="68A84122"/>
    <w:rsid w:val="68AD6BF3"/>
    <w:rsid w:val="696E2E35"/>
    <w:rsid w:val="6A585565"/>
    <w:rsid w:val="6A721EA2"/>
    <w:rsid w:val="6AB53F04"/>
    <w:rsid w:val="6AE32C8B"/>
    <w:rsid w:val="6C1132E7"/>
    <w:rsid w:val="6D600F61"/>
    <w:rsid w:val="6D632A3D"/>
    <w:rsid w:val="6E9616EC"/>
    <w:rsid w:val="6F1F4B5D"/>
    <w:rsid w:val="6F3A3EBA"/>
    <w:rsid w:val="700D0A38"/>
    <w:rsid w:val="70541114"/>
    <w:rsid w:val="707A560C"/>
    <w:rsid w:val="70B054D2"/>
    <w:rsid w:val="70BF4A36"/>
    <w:rsid w:val="712D5BF6"/>
    <w:rsid w:val="71AD12AD"/>
    <w:rsid w:val="71EA5EF0"/>
    <w:rsid w:val="720C2DA1"/>
    <w:rsid w:val="72BC7378"/>
    <w:rsid w:val="72BF1288"/>
    <w:rsid w:val="73392B0C"/>
    <w:rsid w:val="74266144"/>
    <w:rsid w:val="75363ACC"/>
    <w:rsid w:val="75652356"/>
    <w:rsid w:val="762F76F3"/>
    <w:rsid w:val="76876CD5"/>
    <w:rsid w:val="76B22FC1"/>
    <w:rsid w:val="76DF48EB"/>
    <w:rsid w:val="787C19CC"/>
    <w:rsid w:val="79173AC2"/>
    <w:rsid w:val="79691823"/>
    <w:rsid w:val="798C7570"/>
    <w:rsid w:val="7A0B19CB"/>
    <w:rsid w:val="7B0A1E99"/>
    <w:rsid w:val="7B85422E"/>
    <w:rsid w:val="7C1A2204"/>
    <w:rsid w:val="7C462374"/>
    <w:rsid w:val="7D5A2578"/>
    <w:rsid w:val="7DFB122D"/>
    <w:rsid w:val="7E633C7C"/>
    <w:rsid w:val="7EFD3971"/>
    <w:rsid w:val="7F4A091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nhideWhenUsed="0"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99"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0"/>
    <w:autoRedefine/>
    <w:qFormat/>
    <w:uiPriority w:val="0"/>
    <w:pPr>
      <w:keepNext/>
      <w:keepLines/>
      <w:spacing w:before="340" w:after="330" w:line="578" w:lineRule="auto"/>
      <w:outlineLvl w:val="0"/>
    </w:pPr>
    <w:rPr>
      <w:rFonts w:ascii="Calibri" w:hAnsi="Calibri" w:eastAsia="楷体_GB2312" w:cs="Times New Roman"/>
      <w:b/>
      <w:kern w:val="44"/>
      <w:sz w:val="44"/>
      <w:szCs w:val="20"/>
    </w:rPr>
  </w:style>
  <w:style w:type="paragraph" w:styleId="3">
    <w:name w:val="heading 2"/>
    <w:basedOn w:val="1"/>
    <w:next w:val="1"/>
    <w:link w:val="51"/>
    <w:autoRedefine/>
    <w:unhideWhenUsed/>
    <w:qFormat/>
    <w:uiPriority w:val="9"/>
    <w:pPr>
      <w:keepNext/>
      <w:keepLines/>
      <w:spacing w:line="360" w:lineRule="auto"/>
      <w:outlineLvl w:val="1"/>
    </w:pPr>
    <w:rPr>
      <w:rFonts w:asciiTheme="majorHAnsi" w:hAnsiTheme="majorHAnsi" w:eastAsiaTheme="majorEastAsia" w:cstheme="majorBidi"/>
      <w:b/>
      <w:bCs/>
      <w:sz w:val="32"/>
      <w:szCs w:val="32"/>
    </w:rPr>
  </w:style>
  <w:style w:type="paragraph" w:styleId="4">
    <w:name w:val="heading 4"/>
    <w:basedOn w:val="1"/>
    <w:next w:val="1"/>
    <w:autoRedefine/>
    <w:semiHidden/>
    <w:qFormat/>
    <w:uiPriority w:val="9"/>
    <w:pPr>
      <w:keepNext/>
      <w:keepLines/>
      <w:spacing w:before="280" w:after="290" w:line="372" w:lineRule="auto"/>
      <w:outlineLvl w:val="3"/>
    </w:pPr>
    <w:rPr>
      <w:rFonts w:ascii="Cambria" w:hAnsi="Cambria"/>
      <w:b/>
      <w:bCs/>
      <w:sz w:val="28"/>
      <w:szCs w:val="28"/>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link w:val="49"/>
    <w:autoRedefine/>
    <w:qFormat/>
    <w:uiPriority w:val="0"/>
    <w:pPr>
      <w:adjustRightInd w:val="0"/>
      <w:ind w:firstLine="420"/>
      <w:jc w:val="left"/>
      <w:textAlignment w:val="baseline"/>
    </w:pPr>
    <w:rPr>
      <w:rFonts w:ascii="Calibri" w:hAnsi="Calibri" w:eastAsia="楷体_GB2312" w:cs="Times New Roman"/>
      <w:kern w:val="0"/>
      <w:sz w:val="24"/>
      <w:szCs w:val="20"/>
    </w:rPr>
  </w:style>
  <w:style w:type="paragraph" w:styleId="6">
    <w:name w:val="Document Map"/>
    <w:basedOn w:val="1"/>
    <w:link w:val="52"/>
    <w:autoRedefine/>
    <w:semiHidden/>
    <w:unhideWhenUsed/>
    <w:qFormat/>
    <w:uiPriority w:val="99"/>
    <w:rPr>
      <w:rFonts w:ascii="宋体" w:eastAsia="宋体"/>
      <w:sz w:val="18"/>
      <w:szCs w:val="18"/>
    </w:rPr>
  </w:style>
  <w:style w:type="paragraph" w:styleId="7">
    <w:name w:val="toa heading"/>
    <w:basedOn w:val="1"/>
    <w:next w:val="1"/>
    <w:autoRedefine/>
    <w:qFormat/>
    <w:uiPriority w:val="0"/>
    <w:rPr>
      <w:rFonts w:ascii="Arial" w:hAnsi="Arial" w:eastAsia="宋体" w:cs="Times New Roman"/>
      <w:sz w:val="24"/>
      <w:szCs w:val="21"/>
    </w:rPr>
  </w:style>
  <w:style w:type="paragraph" w:styleId="8">
    <w:name w:val="annotation text"/>
    <w:basedOn w:val="1"/>
    <w:link w:val="55"/>
    <w:autoRedefine/>
    <w:semiHidden/>
    <w:unhideWhenUsed/>
    <w:qFormat/>
    <w:uiPriority w:val="99"/>
    <w:pPr>
      <w:jc w:val="left"/>
    </w:pPr>
  </w:style>
  <w:style w:type="paragraph" w:styleId="9">
    <w:name w:val="Body Text"/>
    <w:basedOn w:val="1"/>
    <w:autoRedefine/>
    <w:qFormat/>
    <w:uiPriority w:val="0"/>
    <w:rPr>
      <w:rFonts w:ascii="楷体_GB2312" w:hAnsi="Arial" w:eastAsia="楷体_GB2312"/>
      <w:sz w:val="28"/>
      <w:szCs w:val="28"/>
    </w:rPr>
  </w:style>
  <w:style w:type="paragraph" w:styleId="10">
    <w:name w:val="Body Text Indent"/>
    <w:basedOn w:val="1"/>
    <w:next w:val="11"/>
    <w:autoRedefine/>
    <w:semiHidden/>
    <w:unhideWhenUsed/>
    <w:qFormat/>
    <w:uiPriority w:val="99"/>
    <w:pPr>
      <w:spacing w:after="120"/>
      <w:ind w:left="420" w:leftChars="200"/>
    </w:pPr>
  </w:style>
  <w:style w:type="paragraph" w:styleId="11">
    <w:name w:val="envelope return"/>
    <w:basedOn w:val="1"/>
    <w:autoRedefine/>
    <w:unhideWhenUsed/>
    <w:qFormat/>
    <w:uiPriority w:val="99"/>
    <w:pPr>
      <w:snapToGrid w:val="0"/>
    </w:pPr>
    <w:rPr>
      <w:rFonts w:ascii="Arial" w:hAnsi="Arial" w:eastAsia="楷体_GB2312" w:cs="Times New Roman"/>
      <w:sz w:val="26"/>
      <w:szCs w:val="20"/>
    </w:rPr>
  </w:style>
  <w:style w:type="paragraph" w:styleId="12">
    <w:name w:val="index 4"/>
    <w:basedOn w:val="1"/>
    <w:next w:val="1"/>
    <w:autoRedefine/>
    <w:qFormat/>
    <w:uiPriority w:val="0"/>
    <w:pPr>
      <w:ind w:left="1260"/>
    </w:pPr>
    <w:rPr>
      <w:rFonts w:ascii="Calibri" w:hAnsi="Calibri" w:eastAsia="宋体" w:cs="Times New Roman"/>
      <w:szCs w:val="20"/>
    </w:rPr>
  </w:style>
  <w:style w:type="paragraph" w:styleId="13">
    <w:name w:val="toc 3"/>
    <w:basedOn w:val="1"/>
    <w:next w:val="1"/>
    <w:autoRedefine/>
    <w:qFormat/>
    <w:uiPriority w:val="0"/>
    <w:pPr>
      <w:ind w:left="840" w:leftChars="400"/>
    </w:pPr>
    <w:rPr>
      <w:rFonts w:ascii="Calibri" w:hAnsi="Calibri" w:eastAsia="宋体" w:cs="Times New Roman"/>
      <w:szCs w:val="20"/>
    </w:rPr>
  </w:style>
  <w:style w:type="paragraph" w:styleId="14">
    <w:name w:val="Plain Text"/>
    <w:basedOn w:val="1"/>
    <w:link w:val="61"/>
    <w:autoRedefine/>
    <w:qFormat/>
    <w:uiPriority w:val="99"/>
    <w:rPr>
      <w:rFonts w:ascii="宋体" w:hAnsi="Courier New" w:eastAsia="宋体" w:cs="Times New Roman"/>
      <w:szCs w:val="20"/>
    </w:rPr>
  </w:style>
  <w:style w:type="paragraph" w:styleId="15">
    <w:name w:val="Balloon Text"/>
    <w:basedOn w:val="1"/>
    <w:link w:val="54"/>
    <w:autoRedefine/>
    <w:semiHidden/>
    <w:unhideWhenUsed/>
    <w:qFormat/>
    <w:uiPriority w:val="99"/>
    <w:rPr>
      <w:sz w:val="18"/>
      <w:szCs w:val="18"/>
    </w:rPr>
  </w:style>
  <w:style w:type="paragraph" w:styleId="16">
    <w:name w:val="footer"/>
    <w:basedOn w:val="1"/>
    <w:link w:val="48"/>
    <w:autoRedefine/>
    <w:unhideWhenUsed/>
    <w:qFormat/>
    <w:uiPriority w:val="99"/>
    <w:pPr>
      <w:tabs>
        <w:tab w:val="center" w:pos="4153"/>
        <w:tab w:val="right" w:pos="8306"/>
      </w:tabs>
      <w:snapToGrid w:val="0"/>
      <w:jc w:val="left"/>
    </w:pPr>
    <w:rPr>
      <w:sz w:val="18"/>
      <w:szCs w:val="18"/>
    </w:rPr>
  </w:style>
  <w:style w:type="paragraph" w:styleId="17">
    <w:name w:val="header"/>
    <w:basedOn w:val="1"/>
    <w:link w:val="4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pPr>
      <w:adjustRightInd w:val="0"/>
      <w:jc w:val="left"/>
      <w:textAlignment w:val="baseline"/>
    </w:pPr>
    <w:rPr>
      <w:rFonts w:ascii="Calibri" w:hAnsi="Calibri" w:eastAsia="楷体_GB2312" w:cs="Times New Roman"/>
      <w:sz w:val="24"/>
      <w:szCs w:val="20"/>
    </w:rPr>
  </w:style>
  <w:style w:type="paragraph" w:styleId="19">
    <w:name w:val="Body Text Indent 3"/>
    <w:basedOn w:val="1"/>
    <w:qFormat/>
    <w:uiPriority w:val="99"/>
    <w:pPr>
      <w:ind w:left="645" w:firstLine="645"/>
    </w:pPr>
    <w:rPr>
      <w:sz w:val="16"/>
      <w:szCs w:val="16"/>
    </w:rPr>
  </w:style>
  <w:style w:type="paragraph" w:styleId="20">
    <w:name w:val="Normal (Web)"/>
    <w:basedOn w:val="1"/>
    <w:autoRedefine/>
    <w:unhideWhenUsed/>
    <w:qFormat/>
    <w:uiPriority w:val="99"/>
    <w:pPr>
      <w:spacing w:before="100" w:beforeAutospacing="1" w:after="100" w:afterAutospacing="1"/>
      <w:jc w:val="left"/>
    </w:pPr>
    <w:rPr>
      <w:rFonts w:ascii="Calibri" w:hAnsi="Calibri" w:eastAsia="宋体" w:cs="Times New Roman"/>
      <w:kern w:val="0"/>
      <w:sz w:val="24"/>
      <w:szCs w:val="20"/>
    </w:rPr>
  </w:style>
  <w:style w:type="paragraph" w:styleId="21">
    <w:name w:val="Title"/>
    <w:basedOn w:val="1"/>
    <w:next w:val="1"/>
    <w:autoRedefine/>
    <w:qFormat/>
    <w:uiPriority w:val="10"/>
    <w:pPr>
      <w:autoSpaceDE/>
      <w:autoSpaceDN/>
      <w:adjustRightInd/>
      <w:spacing w:before="240" w:beforeLines="0" w:after="60" w:afterLines="0" w:line="360" w:lineRule="auto"/>
      <w:ind w:firstLine="643"/>
      <w:jc w:val="center"/>
      <w:outlineLvl w:val="0"/>
    </w:pPr>
    <w:rPr>
      <w:rFonts w:hint="eastAsia" w:ascii="Cambria" w:hAnsi="Cambria" w:cs="Times New Roman"/>
      <w:b/>
      <w:kern w:val="2"/>
      <w:sz w:val="44"/>
      <w:szCs w:val="32"/>
    </w:rPr>
  </w:style>
  <w:style w:type="paragraph" w:styleId="22">
    <w:name w:val="annotation subject"/>
    <w:basedOn w:val="8"/>
    <w:next w:val="8"/>
    <w:link w:val="56"/>
    <w:autoRedefine/>
    <w:semiHidden/>
    <w:unhideWhenUsed/>
    <w:qFormat/>
    <w:uiPriority w:val="99"/>
    <w:rPr>
      <w:b/>
      <w:bCs/>
    </w:rPr>
  </w:style>
  <w:style w:type="paragraph" w:styleId="23">
    <w:name w:val="Body Text First Indent"/>
    <w:basedOn w:val="1"/>
    <w:next w:val="1"/>
    <w:autoRedefine/>
    <w:unhideWhenUsed/>
    <w:qFormat/>
    <w:uiPriority w:val="99"/>
    <w:pPr>
      <w:ind w:firstLine="420" w:firstLineChars="100"/>
    </w:pPr>
  </w:style>
  <w:style w:type="paragraph" w:styleId="24">
    <w:name w:val="Body Text First Indent 2"/>
    <w:basedOn w:val="10"/>
    <w:next w:val="19"/>
    <w:autoRedefine/>
    <w:unhideWhenUsed/>
    <w:qFormat/>
    <w:uiPriority w:val="99"/>
    <w:pPr>
      <w:ind w:firstLine="420" w:firstLineChars="200"/>
    </w:pPr>
  </w:style>
  <w:style w:type="table" w:styleId="26">
    <w:name w:val="Table Grid"/>
    <w:basedOn w:val="25"/>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qFormat/>
    <w:uiPriority w:val="0"/>
  </w:style>
  <w:style w:type="character" w:styleId="29">
    <w:name w:val="FollowedHyperlink"/>
    <w:basedOn w:val="27"/>
    <w:autoRedefine/>
    <w:semiHidden/>
    <w:unhideWhenUsed/>
    <w:qFormat/>
    <w:uiPriority w:val="99"/>
    <w:rPr>
      <w:color w:val="800080"/>
      <w:u w:val="none"/>
    </w:rPr>
  </w:style>
  <w:style w:type="character" w:styleId="30">
    <w:name w:val="HTML Definition"/>
    <w:basedOn w:val="27"/>
    <w:autoRedefine/>
    <w:semiHidden/>
    <w:unhideWhenUsed/>
    <w:qFormat/>
    <w:uiPriority w:val="99"/>
  </w:style>
  <w:style w:type="character" w:styleId="31">
    <w:name w:val="HTML Typewriter"/>
    <w:basedOn w:val="27"/>
    <w:autoRedefine/>
    <w:semiHidden/>
    <w:unhideWhenUsed/>
    <w:qFormat/>
    <w:uiPriority w:val="99"/>
    <w:rPr>
      <w:rFonts w:ascii="monospace" w:hAnsi="monospace" w:eastAsia="monospace" w:cs="monospace"/>
      <w:sz w:val="20"/>
    </w:rPr>
  </w:style>
  <w:style w:type="character" w:styleId="32">
    <w:name w:val="HTML Acronym"/>
    <w:basedOn w:val="27"/>
    <w:autoRedefine/>
    <w:semiHidden/>
    <w:unhideWhenUsed/>
    <w:qFormat/>
    <w:uiPriority w:val="99"/>
  </w:style>
  <w:style w:type="character" w:styleId="33">
    <w:name w:val="HTML Variable"/>
    <w:basedOn w:val="27"/>
    <w:autoRedefine/>
    <w:semiHidden/>
    <w:unhideWhenUsed/>
    <w:qFormat/>
    <w:uiPriority w:val="99"/>
  </w:style>
  <w:style w:type="character" w:styleId="34">
    <w:name w:val="Hyperlink"/>
    <w:basedOn w:val="27"/>
    <w:autoRedefine/>
    <w:unhideWhenUsed/>
    <w:qFormat/>
    <w:uiPriority w:val="99"/>
    <w:rPr>
      <w:color w:val="0000FF" w:themeColor="hyperlink"/>
      <w:u w:val="single"/>
      <w14:textFill>
        <w14:solidFill>
          <w14:schemeClr w14:val="hlink"/>
        </w14:solidFill>
      </w14:textFill>
    </w:rPr>
  </w:style>
  <w:style w:type="character" w:styleId="35">
    <w:name w:val="HTML Code"/>
    <w:basedOn w:val="27"/>
    <w:autoRedefine/>
    <w:semiHidden/>
    <w:unhideWhenUsed/>
    <w:qFormat/>
    <w:uiPriority w:val="99"/>
    <w:rPr>
      <w:rFonts w:hint="default" w:ascii="monospace" w:hAnsi="monospace" w:eastAsia="monospace" w:cs="monospace"/>
      <w:sz w:val="20"/>
    </w:rPr>
  </w:style>
  <w:style w:type="character" w:styleId="36">
    <w:name w:val="annotation reference"/>
    <w:basedOn w:val="27"/>
    <w:autoRedefine/>
    <w:semiHidden/>
    <w:unhideWhenUsed/>
    <w:qFormat/>
    <w:uiPriority w:val="99"/>
    <w:rPr>
      <w:sz w:val="21"/>
      <w:szCs w:val="21"/>
    </w:rPr>
  </w:style>
  <w:style w:type="character" w:styleId="37">
    <w:name w:val="HTML Cite"/>
    <w:basedOn w:val="27"/>
    <w:autoRedefine/>
    <w:semiHidden/>
    <w:unhideWhenUsed/>
    <w:qFormat/>
    <w:uiPriority w:val="99"/>
  </w:style>
  <w:style w:type="character" w:styleId="38">
    <w:name w:val="HTML Keyboard"/>
    <w:basedOn w:val="27"/>
    <w:autoRedefine/>
    <w:semiHidden/>
    <w:unhideWhenUsed/>
    <w:qFormat/>
    <w:uiPriority w:val="99"/>
    <w:rPr>
      <w:rFonts w:hint="default" w:ascii="monospace" w:hAnsi="monospace" w:eastAsia="monospace" w:cs="monospace"/>
      <w:sz w:val="20"/>
    </w:rPr>
  </w:style>
  <w:style w:type="character" w:styleId="39">
    <w:name w:val="HTML Sample"/>
    <w:basedOn w:val="27"/>
    <w:autoRedefine/>
    <w:semiHidden/>
    <w:unhideWhenUsed/>
    <w:qFormat/>
    <w:uiPriority w:val="99"/>
    <w:rPr>
      <w:rFonts w:hint="default" w:ascii="monospace" w:hAnsi="monospace" w:eastAsia="monospace" w:cs="monospace"/>
    </w:rPr>
  </w:style>
  <w:style w:type="paragraph" w:customStyle="1" w:styleId="40">
    <w:name w:val="正文文本1"/>
    <w:basedOn w:val="1"/>
    <w:qFormat/>
    <w:uiPriority w:val="0"/>
    <w:pPr>
      <w:spacing w:line="400" w:lineRule="exact"/>
    </w:pPr>
    <w:rPr>
      <w:rFonts w:ascii="楷体_GB2312"/>
      <w:sz w:val="28"/>
      <w:lang w:val="en-US" w:eastAsia="en-US"/>
    </w:rPr>
  </w:style>
  <w:style w:type="paragraph" w:customStyle="1" w:styleId="41">
    <w:name w:val="正文首行缩进 21"/>
    <w:basedOn w:val="10"/>
    <w:autoRedefine/>
    <w:unhideWhenUsed/>
    <w:qFormat/>
    <w:uiPriority w:val="0"/>
    <w:pPr>
      <w:ind w:firstLine="420"/>
    </w:pPr>
    <w:rPr>
      <w:lang w:val="en-US" w:eastAsia="en-US"/>
    </w:rPr>
  </w:style>
  <w:style w:type="paragraph" w:customStyle="1" w:styleId="42">
    <w:name w:val="首行缩进"/>
    <w:basedOn w:val="1"/>
    <w:qFormat/>
    <w:uiPriority w:val="0"/>
    <w:pPr>
      <w:ind w:firstLine="480" w:firstLineChars="200"/>
    </w:pPr>
    <w:rPr>
      <w:lang w:val="zh-CN"/>
    </w:rPr>
  </w:style>
  <w:style w:type="paragraph" w:customStyle="1" w:styleId="43">
    <w:name w:val="无间隔1"/>
    <w:qFormat/>
    <w:uiPriority w:val="0"/>
    <w:pPr>
      <w:spacing w:line="300" w:lineRule="auto"/>
    </w:pPr>
    <w:rPr>
      <w:rFonts w:ascii="Times New Roman" w:hAnsi="Times New Roman" w:eastAsia="华文仿宋" w:cs="Times New Roman"/>
      <w:sz w:val="24"/>
      <w:szCs w:val="24"/>
      <w:lang w:val="en-US" w:eastAsia="zh-CN" w:bidi="ar-SA"/>
    </w:rPr>
  </w:style>
  <w:style w:type="paragraph" w:customStyle="1" w:styleId="44">
    <w:name w:val="Default"/>
    <w:autoRedefine/>
    <w:qFormat/>
    <w:uiPriority w:val="0"/>
    <w:pPr>
      <w:widowControl w:val="0"/>
      <w:autoSpaceDE w:val="0"/>
      <w:autoSpaceDN w:val="0"/>
      <w:adjustRightInd w:val="0"/>
    </w:pPr>
    <w:rPr>
      <w:rFonts w:ascii="等线" w:hAnsi="等线" w:eastAsia="等线" w:cs="Times New Roman"/>
      <w:color w:val="000000"/>
      <w:sz w:val="24"/>
      <w:szCs w:val="24"/>
      <w:lang w:val="en-US" w:eastAsia="zh-CN" w:bidi="ar-SA"/>
    </w:rPr>
  </w:style>
  <w:style w:type="paragraph" w:customStyle="1" w:styleId="45">
    <w:name w:val="正文文本缩进1"/>
    <w:basedOn w:val="1"/>
    <w:next w:val="46"/>
    <w:autoRedefine/>
    <w:unhideWhenUsed/>
    <w:qFormat/>
    <w:uiPriority w:val="0"/>
    <w:pPr>
      <w:spacing w:after="120"/>
      <w:ind w:left="420"/>
    </w:pPr>
    <w:rPr>
      <w:rFonts w:ascii="Times New Roman" w:hAnsi="Times New Roman"/>
      <w:lang w:val="en-US" w:eastAsia="en-US"/>
    </w:rPr>
  </w:style>
  <w:style w:type="paragraph" w:customStyle="1" w:styleId="46">
    <w:name w:val="寄信人地址1"/>
    <w:basedOn w:val="1"/>
    <w:autoRedefine/>
    <w:unhideWhenUsed/>
    <w:qFormat/>
    <w:uiPriority w:val="99"/>
    <w:rPr>
      <w:rFonts w:ascii="Arial" w:hAnsi="Arial" w:eastAsia="楷体_GB2312" w:cs="Times New Roman"/>
      <w:sz w:val="26"/>
      <w:szCs w:val="20"/>
    </w:rPr>
  </w:style>
  <w:style w:type="character" w:customStyle="1" w:styleId="47">
    <w:name w:val="页眉 Char"/>
    <w:basedOn w:val="27"/>
    <w:link w:val="17"/>
    <w:autoRedefine/>
    <w:qFormat/>
    <w:uiPriority w:val="99"/>
    <w:rPr>
      <w:sz w:val="18"/>
      <w:szCs w:val="18"/>
    </w:rPr>
  </w:style>
  <w:style w:type="character" w:customStyle="1" w:styleId="48">
    <w:name w:val="页脚 Char"/>
    <w:basedOn w:val="27"/>
    <w:link w:val="16"/>
    <w:autoRedefine/>
    <w:qFormat/>
    <w:uiPriority w:val="99"/>
    <w:rPr>
      <w:sz w:val="18"/>
      <w:szCs w:val="18"/>
    </w:rPr>
  </w:style>
  <w:style w:type="character" w:customStyle="1" w:styleId="49">
    <w:name w:val="正文缩进 Char"/>
    <w:link w:val="5"/>
    <w:autoRedefine/>
    <w:qFormat/>
    <w:uiPriority w:val="0"/>
    <w:rPr>
      <w:rFonts w:ascii="Calibri" w:hAnsi="Calibri" w:eastAsia="楷体_GB2312" w:cs="Times New Roman"/>
      <w:kern w:val="0"/>
      <w:sz w:val="24"/>
      <w:szCs w:val="20"/>
    </w:rPr>
  </w:style>
  <w:style w:type="character" w:customStyle="1" w:styleId="50">
    <w:name w:val="标题 1 Char"/>
    <w:basedOn w:val="27"/>
    <w:link w:val="2"/>
    <w:autoRedefine/>
    <w:qFormat/>
    <w:uiPriority w:val="0"/>
    <w:rPr>
      <w:rFonts w:ascii="Calibri" w:hAnsi="Calibri" w:eastAsia="楷体_GB2312" w:cs="Times New Roman"/>
      <w:b/>
      <w:kern w:val="44"/>
      <w:sz w:val="44"/>
      <w:szCs w:val="20"/>
    </w:rPr>
  </w:style>
  <w:style w:type="character" w:customStyle="1" w:styleId="51">
    <w:name w:val="标题 2 Char"/>
    <w:basedOn w:val="27"/>
    <w:link w:val="3"/>
    <w:autoRedefine/>
    <w:qFormat/>
    <w:uiPriority w:val="9"/>
    <w:rPr>
      <w:rFonts w:asciiTheme="majorHAnsi" w:hAnsiTheme="majorHAnsi" w:eastAsiaTheme="majorEastAsia" w:cstheme="majorBidi"/>
      <w:b/>
      <w:bCs/>
      <w:sz w:val="32"/>
      <w:szCs w:val="32"/>
    </w:rPr>
  </w:style>
  <w:style w:type="character" w:customStyle="1" w:styleId="52">
    <w:name w:val="文档结构图 Char"/>
    <w:basedOn w:val="27"/>
    <w:link w:val="6"/>
    <w:autoRedefine/>
    <w:semiHidden/>
    <w:qFormat/>
    <w:uiPriority w:val="99"/>
    <w:rPr>
      <w:rFonts w:ascii="宋体" w:eastAsia="宋体"/>
      <w:sz w:val="18"/>
      <w:szCs w:val="18"/>
    </w:rPr>
  </w:style>
  <w:style w:type="character" w:customStyle="1" w:styleId="53">
    <w:name w:val="NormalCharacter"/>
    <w:autoRedefine/>
    <w:qFormat/>
    <w:uiPriority w:val="0"/>
    <w:rPr>
      <w:rFonts w:ascii="Times New Roman" w:hAnsi="Times New Roman" w:eastAsia="宋体" w:cs="Times New Roman"/>
    </w:rPr>
  </w:style>
  <w:style w:type="character" w:customStyle="1" w:styleId="54">
    <w:name w:val="批注框文本 Char"/>
    <w:basedOn w:val="27"/>
    <w:link w:val="15"/>
    <w:autoRedefine/>
    <w:semiHidden/>
    <w:qFormat/>
    <w:uiPriority w:val="99"/>
    <w:rPr>
      <w:kern w:val="2"/>
      <w:sz w:val="18"/>
      <w:szCs w:val="18"/>
    </w:rPr>
  </w:style>
  <w:style w:type="character" w:customStyle="1" w:styleId="55">
    <w:name w:val="批注文字 Char"/>
    <w:basedOn w:val="27"/>
    <w:link w:val="8"/>
    <w:autoRedefine/>
    <w:semiHidden/>
    <w:qFormat/>
    <w:uiPriority w:val="99"/>
    <w:rPr>
      <w:kern w:val="2"/>
      <w:sz w:val="21"/>
      <w:szCs w:val="22"/>
    </w:rPr>
  </w:style>
  <w:style w:type="character" w:customStyle="1" w:styleId="56">
    <w:name w:val="批注主题 Char"/>
    <w:basedOn w:val="55"/>
    <w:link w:val="22"/>
    <w:autoRedefine/>
    <w:semiHidden/>
    <w:qFormat/>
    <w:uiPriority w:val="99"/>
    <w:rPr>
      <w:b/>
      <w:bCs/>
      <w:kern w:val="2"/>
      <w:sz w:val="21"/>
      <w:szCs w:val="22"/>
    </w:rPr>
  </w:style>
  <w:style w:type="character" w:customStyle="1" w:styleId="57">
    <w:name w:val="普通正文 Char"/>
    <w:link w:val="58"/>
    <w:autoRedefine/>
    <w:qFormat/>
    <w:uiPriority w:val="0"/>
    <w:rPr>
      <w:rFonts w:ascii="Arial" w:hAnsi="Arial"/>
      <w:sz w:val="24"/>
      <w:szCs w:val="24"/>
    </w:rPr>
  </w:style>
  <w:style w:type="paragraph" w:customStyle="1" w:styleId="58">
    <w:name w:val="普通正文"/>
    <w:basedOn w:val="1"/>
    <w:link w:val="57"/>
    <w:autoRedefine/>
    <w:qFormat/>
    <w:uiPriority w:val="99"/>
    <w:pPr>
      <w:adjustRightInd w:val="0"/>
      <w:spacing w:before="120" w:after="120" w:line="360" w:lineRule="auto"/>
      <w:ind w:left="-2" w:right="120" w:firstLine="480"/>
      <w:jc w:val="center"/>
      <w:textAlignment w:val="baseline"/>
    </w:pPr>
    <w:rPr>
      <w:rFonts w:ascii="Arial" w:hAnsi="Arial"/>
      <w:kern w:val="0"/>
      <w:sz w:val="24"/>
      <w:szCs w:val="24"/>
    </w:rPr>
  </w:style>
  <w:style w:type="paragraph" w:customStyle="1" w:styleId="59">
    <w:name w:val="Normal_6"/>
    <w:autoRedefine/>
    <w:qFormat/>
    <w:uiPriority w:val="0"/>
    <w:rPr>
      <w:rFonts w:ascii="Times New Roman" w:hAnsi="Times New Roman" w:eastAsia="Times New Roman" w:cs="Times New Roman"/>
      <w:sz w:val="24"/>
      <w:szCs w:val="24"/>
      <w:lang w:val="en-US" w:eastAsia="zh-CN" w:bidi="ar-SA"/>
    </w:rPr>
  </w:style>
  <w:style w:type="paragraph" w:customStyle="1" w:styleId="60">
    <w:name w:val="Normal_5"/>
    <w:autoRedefine/>
    <w:qFormat/>
    <w:uiPriority w:val="0"/>
    <w:rPr>
      <w:rFonts w:ascii="Times New Roman" w:hAnsi="Times New Roman" w:eastAsia="Times New Roman" w:cs="Times New Roman"/>
      <w:sz w:val="24"/>
      <w:szCs w:val="24"/>
      <w:lang w:val="en-US" w:eastAsia="zh-CN" w:bidi="ar-SA"/>
    </w:rPr>
  </w:style>
  <w:style w:type="character" w:customStyle="1" w:styleId="61">
    <w:name w:val="纯文本 Char"/>
    <w:basedOn w:val="27"/>
    <w:link w:val="14"/>
    <w:autoRedefine/>
    <w:qFormat/>
    <w:locked/>
    <w:uiPriority w:val="0"/>
    <w:rPr>
      <w:rFonts w:ascii="宋体" w:hAnsi="Courier New" w:eastAsia="宋体" w:cs="Times New Roman"/>
      <w:kern w:val="2"/>
      <w:sz w:val="21"/>
    </w:rPr>
  </w:style>
  <w:style w:type="paragraph" w:styleId="62">
    <w:name w:val="List Paragraph"/>
    <w:basedOn w:val="1"/>
    <w:autoRedefine/>
    <w:qFormat/>
    <w:uiPriority w:val="34"/>
    <w:pPr>
      <w:ind w:firstLine="420" w:firstLineChars="200"/>
    </w:pPr>
    <w:rPr>
      <w:rFonts w:ascii="Times New Roman" w:hAnsi="Times New Roman" w:eastAsia="宋体" w:cs="Times New Roman"/>
      <w:szCs w:val="21"/>
    </w:rPr>
  </w:style>
  <w:style w:type="paragraph" w:customStyle="1" w:styleId="63">
    <w:name w:val="正文1"/>
    <w:autoRedefine/>
    <w:qFormat/>
    <w:uiPriority w:val="0"/>
    <w:pPr>
      <w:widowControl w:val="0"/>
      <w:adjustRightInd w:val="0"/>
      <w:spacing w:line="360" w:lineRule="atLeast"/>
    </w:pPr>
    <w:rPr>
      <w:rFonts w:hint="eastAsia" w:ascii="宋体" w:hAnsi="Times New Roman" w:eastAsia="宋体" w:cs="Times New Roman"/>
      <w:sz w:val="34"/>
      <w:lang w:val="en-US" w:eastAsia="zh-CN" w:bidi="ar-SA"/>
    </w:rPr>
  </w:style>
  <w:style w:type="paragraph" w:customStyle="1" w:styleId="64">
    <w:name w:val="列出段落2"/>
    <w:basedOn w:val="1"/>
    <w:autoRedefine/>
    <w:qFormat/>
    <w:uiPriority w:val="99"/>
    <w:pPr>
      <w:ind w:firstLine="420" w:firstLineChars="200"/>
    </w:pPr>
    <w:rPr>
      <w:rFonts w:ascii="Times New Roman" w:hAnsi="Times New Roman"/>
      <w:szCs w:val="24"/>
    </w:rPr>
  </w:style>
  <w:style w:type="character" w:customStyle="1" w:styleId="65">
    <w:name w:val="样式 小四 加粗"/>
    <w:basedOn w:val="27"/>
    <w:autoRedefine/>
    <w:qFormat/>
    <w:uiPriority w:val="0"/>
    <w:rPr>
      <w:rFonts w:eastAsia="黑体"/>
      <w:b/>
      <w:bCs/>
      <w:sz w:val="24"/>
    </w:rPr>
  </w:style>
  <w:style w:type="character" w:customStyle="1" w:styleId="66">
    <w:name w:val="first-child"/>
    <w:basedOn w:val="27"/>
    <w:autoRedefine/>
    <w:qFormat/>
    <w:uiPriority w:val="0"/>
  </w:style>
  <w:style w:type="character" w:customStyle="1" w:styleId="67">
    <w:name w:val="hover3"/>
    <w:basedOn w:val="27"/>
    <w:autoRedefine/>
    <w:qFormat/>
    <w:uiPriority w:val="0"/>
    <w:rPr>
      <w:color w:val="5FB878"/>
    </w:rPr>
  </w:style>
  <w:style w:type="character" w:customStyle="1" w:styleId="68">
    <w:name w:val="hover4"/>
    <w:basedOn w:val="27"/>
    <w:autoRedefine/>
    <w:qFormat/>
    <w:uiPriority w:val="0"/>
    <w:rPr>
      <w:color w:val="5FB878"/>
    </w:rPr>
  </w:style>
  <w:style w:type="character" w:customStyle="1" w:styleId="69">
    <w:name w:val="hover5"/>
    <w:basedOn w:val="27"/>
    <w:autoRedefine/>
    <w:qFormat/>
    <w:uiPriority w:val="0"/>
    <w:rPr>
      <w:color w:val="FFFFFF"/>
    </w:rPr>
  </w:style>
  <w:style w:type="character" w:customStyle="1" w:styleId="70">
    <w:name w:val="layui-this"/>
    <w:basedOn w:val="27"/>
    <w:autoRedefine/>
    <w:qFormat/>
    <w:uiPriority w:val="0"/>
    <w:rPr>
      <w:bdr w:val="single" w:color="EEEEEE" w:sz="6" w:space="0"/>
      <w:shd w:val="clear" w:fill="FFFFFF"/>
    </w:rPr>
  </w:style>
  <w:style w:type="paragraph" w:customStyle="1" w:styleId="71">
    <w:name w:val="正文缩进2格"/>
    <w:basedOn w:val="1"/>
    <w:qFormat/>
    <w:uiPriority w:val="0"/>
    <w:pPr>
      <w:spacing w:line="600" w:lineRule="exact"/>
      <w:ind w:firstLine="206"/>
    </w:pPr>
    <w:rPr>
      <w:rFonts w:ascii="仿宋_GB2312" w:hAnsi="宋体" w:eastAsia="仿宋_GB2312"/>
      <w:sz w:val="31"/>
      <w:szCs w:val="31"/>
    </w:rPr>
  </w:style>
  <w:style w:type="character" w:customStyle="1" w:styleId="72">
    <w:name w:val="font51"/>
    <w:qFormat/>
    <w:uiPriority w:val="0"/>
    <w:rPr>
      <w:rFonts w:hint="eastAsia" w:ascii="宋体" w:hAnsi="宋体" w:eastAsia="宋体" w:cs="宋体"/>
      <w:color w:val="000000"/>
      <w:sz w:val="20"/>
      <w:szCs w:val="20"/>
      <w:u w:val="none"/>
    </w:rPr>
  </w:style>
  <w:style w:type="character" w:customStyle="1" w:styleId="73">
    <w:name w:val="fontstyle01"/>
    <w:basedOn w:val="27"/>
    <w:autoRedefine/>
    <w:qFormat/>
    <w:uiPriority w:val="0"/>
    <w:rPr>
      <w:rFonts w:hint="default" w:ascii="PingFangSC-Regular-Identity-H" w:hAnsi="PingFangSC-Regular-Identity-H"/>
      <w:color w:val="000008"/>
      <w:sz w:val="24"/>
      <w:szCs w:val="24"/>
    </w:rPr>
  </w:style>
  <w:style w:type="character" w:customStyle="1" w:styleId="74">
    <w:name w:val="fontstyle21"/>
    <w:basedOn w:val="27"/>
    <w:autoRedefine/>
    <w:qFormat/>
    <w:uiPriority w:val="0"/>
    <w:rPr>
      <w:rFonts w:hint="default" w:ascii="TimesNewRomanPSMT" w:hAnsi="TimesNewRomanPSMT"/>
      <w:color w:val="000008"/>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0DD749-82EB-4CF5-A9C1-4770C2D46910}">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37</Pages>
  <Words>17659</Words>
  <Characters>18092</Characters>
  <Lines>120</Lines>
  <Paragraphs>33</Paragraphs>
  <TotalTime>4</TotalTime>
  <ScaleCrop>false</ScaleCrop>
  <LinksUpToDate>false</LinksUpToDate>
  <CharactersWithSpaces>18355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2023-06-15T08:52:00Z</dcterms:created>
  <dc:creator>Administrator</dc:creator>
  <cp:lastModifiedBy>Administrator</cp:lastModifiedBy>
  <dcterms:modified xsi:type="dcterms:W3CDTF">2024-10-19T01:53:23Z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079A696EDF02486BB848DA2AE0392408_13</vt:lpwstr>
  </property>
</Properties>
</file>