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rPr>
          <w:rFonts w:ascii="Times New Roman" w:hAnsi="Times New Roman" w:eastAsia="宋体"/>
          <w:b/>
          <w:sz w:val="56"/>
          <w:szCs w:val="72"/>
        </w:rPr>
      </w:pPr>
    </w:p>
    <w:p>
      <w:pPr>
        <w:spacing w:line="360" w:lineRule="auto"/>
        <w:jc w:val="center"/>
        <w:textAlignment w:val="baseline"/>
        <w:rPr>
          <w:rFonts w:ascii="Times New Roman" w:hAnsi="Times New Roman" w:eastAsia="宋体"/>
          <w:b/>
          <w:sz w:val="56"/>
          <w:szCs w:val="72"/>
        </w:rPr>
      </w:pPr>
      <w:r>
        <w:rPr>
          <w:rFonts w:hint="eastAsia" w:ascii="Times New Roman" w:hAnsi="Times New Roman" w:eastAsia="宋体"/>
          <w:b/>
          <w:sz w:val="56"/>
          <w:szCs w:val="72"/>
        </w:rPr>
        <w:t>南通市第三人民医院</w:t>
      </w:r>
    </w:p>
    <w:p>
      <w:pPr>
        <w:spacing w:line="360" w:lineRule="auto"/>
        <w:jc w:val="center"/>
        <w:textAlignment w:val="baseline"/>
        <w:rPr>
          <w:rFonts w:ascii="Times New Roman" w:hAnsi="Times New Roman" w:eastAsia="宋体"/>
          <w:b/>
          <w:sz w:val="52"/>
          <w:szCs w:val="56"/>
        </w:rPr>
      </w:pPr>
      <w:r>
        <w:rPr>
          <w:rFonts w:hint="eastAsia" w:ascii="Times New Roman" w:hAnsi="Times New Roman" w:eastAsia="宋体"/>
          <w:b/>
          <w:sz w:val="56"/>
          <w:szCs w:val="72"/>
        </w:rPr>
        <w:t>住院患者生活陪护服务委托管理项目</w:t>
      </w: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r>
        <w:rPr>
          <w:rFonts w:hint="eastAsia" w:ascii="Times New Roman" w:hAnsi="Times New Roman" w:eastAsia="宋体"/>
          <w:b/>
          <w:sz w:val="56"/>
          <w:szCs w:val="56"/>
        </w:rPr>
        <w:t>公开招标</w:t>
      </w:r>
      <w:r>
        <w:rPr>
          <w:rFonts w:ascii="Times New Roman" w:hAnsi="Times New Roman" w:eastAsia="宋体"/>
          <w:b/>
          <w:sz w:val="56"/>
          <w:szCs w:val="56"/>
        </w:rPr>
        <w:t>文件</w:t>
      </w:r>
    </w:p>
    <w:p>
      <w:pPr>
        <w:spacing w:line="360" w:lineRule="auto"/>
        <w:jc w:val="center"/>
        <w:textAlignment w:val="baseline"/>
        <w:rPr>
          <w:rFonts w:ascii="Times New Roman" w:hAnsi="Times New Roman" w:eastAsia="宋体"/>
          <w:b/>
          <w:sz w:val="36"/>
        </w:rPr>
      </w:pPr>
    </w:p>
    <w:p>
      <w:pPr>
        <w:spacing w:line="360" w:lineRule="auto"/>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pStyle w:val="2"/>
        <w:rPr>
          <w:rFonts w:ascii="Times New Roman" w:hAnsi="Times New Roman"/>
          <w:b/>
          <w:sz w:val="36"/>
        </w:rPr>
      </w:pP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w:t>
      </w:r>
      <w:r>
        <w:rPr>
          <w:rFonts w:hint="eastAsia" w:ascii="Times New Roman" w:hAnsi="Times New Roman" w:eastAsia="宋体" w:cs="宋体"/>
          <w:b/>
          <w:bCs/>
          <w:sz w:val="32"/>
          <w:szCs w:val="32"/>
        </w:rPr>
        <w:t>南通市第三人民医院</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2022年03月23日</w:t>
      </w:r>
    </w:p>
    <w:p>
      <w:pPr>
        <w:jc w:val="center"/>
        <w:textAlignment w:val="baseline"/>
        <w:rPr>
          <w:rFonts w:ascii="Times New Roman" w:hAnsi="Times New Roman" w:eastAsia="宋体" w:cs="宋体"/>
          <w:b/>
          <w:sz w:val="24"/>
        </w:rPr>
      </w:pPr>
      <w:r>
        <w:rPr>
          <w:rFonts w:hint="eastAsia" w:ascii="Times New Roman" w:hAnsi="Times New Roman" w:eastAsia="宋体" w:cs="宋体"/>
          <w:b/>
          <w:bCs/>
          <w:sz w:val="44"/>
          <w:szCs w:val="44"/>
        </w:rPr>
        <w:t>目录</w:t>
      </w:r>
    </w:p>
    <w:p>
      <w:pPr>
        <w:pStyle w:val="4"/>
        <w:spacing w:line="360" w:lineRule="auto"/>
        <w:ind w:firstLine="0"/>
        <w:jc w:val="center"/>
        <w:rPr>
          <w:rFonts w:eastAsia="宋体" w:cs="宋体"/>
          <w:sz w:val="30"/>
          <w:szCs w:val="30"/>
        </w:rPr>
      </w:pPr>
    </w:p>
    <w:p>
      <w:pPr>
        <w:pStyle w:val="12"/>
        <w:tabs>
          <w:tab w:val="right" w:leader="dot" w:pos="9528"/>
        </w:tabs>
        <w:spacing w:line="720" w:lineRule="auto"/>
        <w:rPr>
          <w:rFonts w:eastAsia="宋体" w:cs="宋体"/>
          <w:sz w:val="28"/>
          <w:szCs w:val="28"/>
        </w:rPr>
      </w:pPr>
      <w:r>
        <w:rPr>
          <w:rFonts w:eastAsia="宋体"/>
        </w:rPr>
        <w:fldChar w:fldCharType="begin"/>
      </w:r>
      <w:r>
        <w:rPr>
          <w:rFonts w:eastAsia="宋体"/>
        </w:rPr>
        <w:instrText xml:space="preserve"> TOC \o "1-1" </w:instrText>
      </w:r>
      <w:r>
        <w:rPr>
          <w:rFonts w:eastAsia="宋体"/>
        </w:rPr>
        <w:fldChar w:fldCharType="separate"/>
      </w:r>
      <w:r>
        <w:rPr>
          <w:rFonts w:hint="eastAsia" w:eastAsia="宋体" w:cs="宋体"/>
          <w:sz w:val="28"/>
          <w:szCs w:val="28"/>
        </w:rPr>
        <w:t>第一章招标公告</w:t>
      </w:r>
    </w:p>
    <w:p>
      <w:pPr>
        <w:pStyle w:val="12"/>
        <w:tabs>
          <w:tab w:val="right" w:leader="dot" w:pos="9528"/>
        </w:tabs>
        <w:spacing w:line="720" w:lineRule="auto"/>
        <w:rPr>
          <w:rFonts w:eastAsia="宋体" w:cs="宋体"/>
          <w:sz w:val="28"/>
          <w:szCs w:val="28"/>
        </w:rPr>
      </w:pPr>
      <w:r>
        <w:rPr>
          <w:rFonts w:hint="eastAsia" w:eastAsia="宋体" w:cs="宋体"/>
          <w:sz w:val="28"/>
          <w:szCs w:val="28"/>
        </w:rPr>
        <w:t>第二章供应商须知</w:t>
      </w:r>
    </w:p>
    <w:p>
      <w:pPr>
        <w:pStyle w:val="12"/>
        <w:tabs>
          <w:tab w:val="right" w:leader="dot" w:pos="9528"/>
        </w:tabs>
        <w:spacing w:line="720" w:lineRule="auto"/>
        <w:rPr>
          <w:rFonts w:eastAsia="宋体" w:cs="宋体"/>
          <w:sz w:val="28"/>
          <w:szCs w:val="28"/>
        </w:rPr>
      </w:pPr>
      <w:r>
        <w:rPr>
          <w:rFonts w:hint="eastAsia" w:eastAsia="宋体" w:cs="宋体"/>
          <w:sz w:val="28"/>
          <w:szCs w:val="28"/>
        </w:rPr>
        <w:t>第三章项目需求</w:t>
      </w:r>
    </w:p>
    <w:p>
      <w:pPr>
        <w:pStyle w:val="12"/>
        <w:tabs>
          <w:tab w:val="right" w:leader="dot" w:pos="9528"/>
        </w:tabs>
        <w:spacing w:line="720" w:lineRule="auto"/>
        <w:rPr>
          <w:rFonts w:eastAsia="宋体" w:cs="宋体"/>
          <w:sz w:val="28"/>
          <w:szCs w:val="28"/>
        </w:rPr>
      </w:pPr>
      <w:r>
        <w:rPr>
          <w:rFonts w:hint="eastAsia" w:eastAsia="宋体" w:cs="宋体"/>
          <w:sz w:val="28"/>
          <w:szCs w:val="28"/>
        </w:rPr>
        <w:t>第四章评审方法和程序</w:t>
      </w:r>
    </w:p>
    <w:p>
      <w:pPr>
        <w:pStyle w:val="12"/>
        <w:tabs>
          <w:tab w:val="right" w:leader="dot" w:pos="9528"/>
        </w:tabs>
        <w:spacing w:line="720" w:lineRule="auto"/>
        <w:rPr>
          <w:rFonts w:eastAsia="宋体" w:cs="宋体"/>
          <w:sz w:val="28"/>
          <w:szCs w:val="28"/>
        </w:rPr>
      </w:pPr>
      <w:r>
        <w:rPr>
          <w:rFonts w:hint="eastAsia" w:eastAsia="宋体" w:cs="宋体"/>
          <w:sz w:val="28"/>
          <w:szCs w:val="28"/>
        </w:rPr>
        <w:t>第五章合同授予</w:t>
      </w:r>
    </w:p>
    <w:p>
      <w:pPr>
        <w:pStyle w:val="12"/>
        <w:tabs>
          <w:tab w:val="right" w:leader="dot" w:pos="9528"/>
        </w:tabs>
        <w:spacing w:line="720" w:lineRule="auto"/>
        <w:rPr>
          <w:rFonts w:eastAsia="宋体" w:cs="宋体"/>
          <w:sz w:val="28"/>
          <w:szCs w:val="28"/>
        </w:rPr>
      </w:pPr>
      <w:r>
        <w:rPr>
          <w:rFonts w:hint="eastAsia" w:eastAsia="宋体" w:cs="宋体"/>
          <w:sz w:val="28"/>
          <w:szCs w:val="28"/>
        </w:rPr>
        <w:t>第六章质疑提出与处理</w:t>
      </w:r>
    </w:p>
    <w:p>
      <w:pPr>
        <w:pStyle w:val="12"/>
        <w:tabs>
          <w:tab w:val="right" w:leader="dot" w:pos="9528"/>
        </w:tabs>
        <w:spacing w:line="720" w:lineRule="auto"/>
        <w:rPr>
          <w:rFonts w:eastAsia="宋体" w:cs="宋体"/>
          <w:sz w:val="28"/>
          <w:szCs w:val="28"/>
        </w:rPr>
      </w:pPr>
      <w:r>
        <w:rPr>
          <w:rFonts w:hint="eastAsia" w:eastAsia="宋体" w:cs="宋体"/>
          <w:sz w:val="28"/>
          <w:szCs w:val="28"/>
        </w:rPr>
        <w:t>第七章响应文件组成及格式</w:t>
      </w:r>
    </w:p>
    <w:p>
      <w:pPr>
        <w:spacing w:line="720" w:lineRule="auto"/>
        <w:textAlignment w:val="baseline"/>
        <w:rPr>
          <w:rFonts w:ascii="Times New Roman" w:hAnsi="Times New Roman" w:eastAsia="宋体" w:cs="宋体"/>
          <w:sz w:val="36"/>
          <w:szCs w:val="36"/>
        </w:rPr>
      </w:pPr>
    </w:p>
    <w:p>
      <w:pPr>
        <w:widowControl/>
        <w:jc w:val="left"/>
        <w:textAlignment w:val="baseline"/>
        <w:rPr>
          <w:rFonts w:ascii="Times New Roman" w:hAnsi="Times New Roman" w:eastAsia="宋体" w:cs="宋体"/>
          <w:b/>
          <w:sz w:val="24"/>
          <w:szCs w:val="24"/>
        </w:rPr>
      </w:pPr>
      <w:r>
        <w:rPr>
          <w:rFonts w:ascii="Times New Roman" w:hAnsi="Times New Roman" w:eastAsia="宋体"/>
        </w:rPr>
        <w:fldChar w:fldCharType="end"/>
      </w:r>
    </w:p>
    <w:p>
      <w:pPr>
        <w:widowControl/>
        <w:jc w:val="left"/>
        <w:textAlignment w:val="baseline"/>
        <w:rPr>
          <w:rFonts w:ascii="Times New Roman" w:hAnsi="Times New Roman" w:eastAsia="宋体" w:cs="宋体"/>
          <w:b/>
          <w:sz w:val="24"/>
          <w:szCs w:val="24"/>
        </w:rPr>
      </w:pPr>
    </w:p>
    <w:p>
      <w:pPr>
        <w:pStyle w:val="2"/>
      </w:pPr>
    </w:p>
    <w:p>
      <w:pPr>
        <w:widowControl/>
        <w:ind w:firstLine="482" w:firstLineChars="200"/>
        <w:jc w:val="left"/>
        <w:rPr>
          <w:rFonts w:ascii="Times New Roman" w:hAnsi="Times New Roman" w:eastAsia="宋体" w:cs="宋体"/>
          <w:b/>
          <w:sz w:val="24"/>
          <w:szCs w:val="24"/>
        </w:rPr>
      </w:pPr>
      <w:r>
        <w:rPr>
          <w:rFonts w:ascii="Times New Roman" w:hAnsi="Times New Roman" w:eastAsia="宋体" w:cs="宋体"/>
          <w:b/>
          <w:sz w:val="24"/>
          <w:szCs w:val="24"/>
        </w:rPr>
        <w:br w:type="page"/>
      </w: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第一章 招标公告</w:t>
      </w:r>
    </w:p>
    <w:p>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cs="宋体"/>
          <w:b/>
          <w:sz w:val="24"/>
          <w:szCs w:val="24"/>
          <w:u w:val="single" w:color="000000"/>
        </w:rPr>
        <w:t>宏信天德工程顾问有限公司</w:t>
      </w:r>
      <w:r>
        <w:rPr>
          <w:rFonts w:hint="eastAsia" w:ascii="Times New Roman" w:hAnsi="Times New Roman" w:eastAsia="宋体"/>
          <w:sz w:val="24"/>
          <w:szCs w:val="24"/>
        </w:rPr>
        <w:t>（以下简称代理机构）受</w:t>
      </w:r>
      <w:r>
        <w:rPr>
          <w:rFonts w:hint="eastAsia" w:ascii="Times New Roman" w:hAnsi="Times New Roman" w:eastAsia="宋体" w:cs="宋体"/>
          <w:b/>
          <w:sz w:val="24"/>
          <w:szCs w:val="24"/>
          <w:u w:val="single" w:color="000000"/>
        </w:rPr>
        <w:t>南通市第三人民医院</w:t>
      </w:r>
      <w:r>
        <w:rPr>
          <w:rFonts w:hint="eastAsia" w:ascii="Times New Roman" w:hAnsi="Times New Roman" w:eastAsia="宋体"/>
          <w:sz w:val="24"/>
          <w:szCs w:val="24"/>
        </w:rPr>
        <w:t>（以下简称采购单位）的委托，对</w:t>
      </w:r>
      <w:r>
        <w:rPr>
          <w:rFonts w:hint="eastAsia" w:ascii="Times New Roman" w:hAnsi="Times New Roman" w:eastAsia="宋体" w:cs="宋体"/>
          <w:b/>
          <w:sz w:val="24"/>
          <w:szCs w:val="24"/>
          <w:u w:val="single" w:color="000000"/>
        </w:rPr>
        <w:t>南通市第三人民医院住院患者生活陪护服务委托管理项目</w:t>
      </w:r>
      <w:r>
        <w:rPr>
          <w:rFonts w:hint="eastAsia" w:ascii="Times New Roman" w:hAnsi="Times New Roman" w:eastAsia="宋体"/>
          <w:sz w:val="24"/>
          <w:szCs w:val="24"/>
        </w:rPr>
        <w:t>组织招标采购，诚邀符合条件的潜在供应商参加该项目的招标。</w:t>
      </w:r>
    </w:p>
    <w:p>
      <w:pPr>
        <w:spacing w:line="360" w:lineRule="auto"/>
        <w:ind w:left="480"/>
        <w:textAlignment w:val="baseline"/>
        <w:rPr>
          <w:rFonts w:ascii="Times New Roman" w:hAnsi="Times New Roman" w:eastAsia="宋体"/>
          <w:sz w:val="20"/>
        </w:rPr>
      </w:pPr>
      <w:r>
        <w:rPr>
          <w:rFonts w:hint="eastAsia" w:ascii="Times New Roman" w:hAnsi="Times New Roman" w:eastAsia="宋体"/>
          <w:b/>
          <w:sz w:val="24"/>
          <w:szCs w:val="24"/>
        </w:rPr>
        <w:t>一、项目名称：</w:t>
      </w:r>
      <w:r>
        <w:rPr>
          <w:rFonts w:hint="eastAsia" w:ascii="Times New Roman" w:hAnsi="Times New Roman" w:eastAsia="宋体"/>
          <w:sz w:val="24"/>
          <w:szCs w:val="24"/>
        </w:rPr>
        <w:t>南通市第三人民医院住院患者生活陪护服务委托管理项目</w:t>
      </w:r>
    </w:p>
    <w:p>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sz w:val="24"/>
          <w:szCs w:val="24"/>
        </w:rPr>
        <w:t>二、项目控制价：</w:t>
      </w:r>
      <w:r>
        <w:rPr>
          <w:rFonts w:hint="eastAsia" w:ascii="Times New Roman" w:hAnsi="Times New Roman" w:eastAsia="宋体"/>
          <w:sz w:val="24"/>
          <w:szCs w:val="24"/>
        </w:rPr>
        <w:t>成交供应商</w:t>
      </w:r>
      <w:r>
        <w:rPr>
          <w:rFonts w:hint="eastAsia" w:ascii="Times New Roman" w:hAnsi="Times New Roman" w:eastAsia="宋体"/>
          <w:bCs/>
          <w:sz w:val="24"/>
        </w:rPr>
        <w:t>支付管理费用给采购单位，</w:t>
      </w:r>
      <w:r>
        <w:rPr>
          <w:rFonts w:hint="eastAsia" w:ascii="Times New Roman" w:hAnsi="Times New Roman" w:eastAsia="宋体"/>
          <w:sz w:val="24"/>
          <w:szCs w:val="24"/>
        </w:rPr>
        <w:t>陪护管理费（病人</w:t>
      </w:r>
      <w:r>
        <w:rPr>
          <w:rFonts w:hint="eastAsia" w:ascii="Times New Roman" w:hAnsi="Times New Roman" w:eastAsia="宋体"/>
          <w:b/>
          <w:bCs/>
          <w:sz w:val="24"/>
          <w:szCs w:val="24"/>
        </w:rPr>
        <w:t>）最低5元/人/天。</w:t>
      </w:r>
    </w:p>
    <w:p>
      <w:pPr>
        <w:spacing w:line="360" w:lineRule="auto"/>
        <w:ind w:firstLine="482" w:firstLineChars="200"/>
        <w:textAlignment w:val="baseline"/>
        <w:rPr>
          <w:rFonts w:ascii="Times New Roman" w:hAnsi="Times New Roman" w:eastAsia="宋体"/>
          <w:sz w:val="24"/>
          <w:szCs w:val="24"/>
        </w:rPr>
      </w:pPr>
      <w:r>
        <w:rPr>
          <w:rFonts w:hint="eastAsia" w:ascii="Times New Roman" w:hAnsi="Times New Roman" w:eastAsia="宋体"/>
          <w:b/>
          <w:sz w:val="24"/>
          <w:szCs w:val="24"/>
        </w:rPr>
        <w:t>三、项目服务期限：</w:t>
      </w:r>
      <w:r>
        <w:rPr>
          <w:rFonts w:hint="eastAsia" w:ascii="Times New Roman" w:hAnsi="Times New Roman" w:eastAsia="宋体"/>
          <w:bCs/>
          <w:sz w:val="24"/>
          <w:szCs w:val="24"/>
        </w:rPr>
        <w:t>3年，合同一年一签（每年经考核合格后可续签下一年度合同）。</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四、供应商资格要求</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1、满足《中华人民共和国政府采购法》第二十二条规定：</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（1）具有独立承担民事责任的能力；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（2）具有良好的商业信誉和健全的财务会计制度；</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（3）具有履行合同所必需的设备和专业技术能力；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（4）有依法缴纳税收和社会保障资金的良好记录；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（5）参加政府采购活动前三年内，在经营活动中没有重大违法记录；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（6）法律、行政法规规定的其他条件。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2、落实政府采购政策需满足的资格要求：</w:t>
      </w:r>
      <w:r>
        <w:rPr>
          <w:rFonts w:hint="eastAsia" w:ascii="Times New Roman" w:hAnsi="Times New Roman" w:eastAsia="宋体" w:cs="宋体"/>
          <w:sz w:val="24"/>
          <w:szCs w:val="24"/>
          <w:u w:val="single" w:color="000000"/>
        </w:rPr>
        <w:t>无</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3、本项目的特定资格要求：</w:t>
      </w:r>
    </w:p>
    <w:p>
      <w:pPr>
        <w:spacing w:line="360" w:lineRule="auto"/>
        <w:ind w:firstLine="480" w:firstLineChars="200"/>
        <w:textAlignment w:val="baseline"/>
        <w:rPr>
          <w:rFonts w:ascii="Times New Roman" w:hAnsi="Times New Roman" w:eastAsia="宋体"/>
          <w:color w:val="000000"/>
          <w:sz w:val="24"/>
          <w:szCs w:val="24"/>
        </w:rPr>
      </w:pPr>
      <w:r>
        <w:rPr>
          <w:rFonts w:hint="eastAsia" w:ascii="Times New Roman" w:hAnsi="Times New Roman" w:eastAsia="宋体"/>
          <w:color w:val="000000"/>
          <w:sz w:val="24"/>
          <w:szCs w:val="24"/>
        </w:rPr>
        <w:t>（1）供应商须具有独立法人资格，具有有效的三证合一的营业执照，有能力按本招标文件规定的要求提供相关服务。</w:t>
      </w:r>
    </w:p>
    <w:p>
      <w:pPr>
        <w:spacing w:line="360" w:lineRule="auto"/>
        <w:ind w:firstLine="480" w:firstLineChars="200"/>
        <w:textAlignment w:val="baseline"/>
        <w:rPr>
          <w:rFonts w:ascii="Times New Roman" w:hAnsi="Times New Roman" w:eastAsia="宋体"/>
          <w:color w:val="000000"/>
          <w:sz w:val="24"/>
          <w:szCs w:val="24"/>
        </w:rPr>
      </w:pPr>
      <w:r>
        <w:rPr>
          <w:rFonts w:hint="eastAsia" w:ascii="Times New Roman" w:hAnsi="Times New Roman" w:eastAsia="宋体"/>
          <w:color w:val="000000"/>
          <w:sz w:val="24"/>
          <w:szCs w:val="24"/>
        </w:rPr>
        <w:t>（2）法定代表人参加招标的，必须提供法定代表人身份证明及法定代表人本人身份证复印件；非法定代表人参加招标的，必须提供法定代表人签字或盖章的授权委托书、法定代表人本人身份证复印件及被授权人本人身份证复印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4、未被“信用中国”等媒体列入失信被执行人、企业经营异常名录、重大税收违法案件当事人名单、政府采购严重违法失信名单、没有因违反招投标规定被行政处罚且在公示期内。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5、本项目不接受任何形式的联合体投标。</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五、获取采购文件</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获取时间：自</w:t>
      </w:r>
      <w:r>
        <w:rPr>
          <w:rFonts w:hint="eastAsia" w:ascii="Times New Roman" w:hAnsi="Times New Roman" w:eastAsia="宋体"/>
          <w:sz w:val="24"/>
          <w:szCs w:val="24"/>
        </w:rPr>
        <w:t>本公告通知</w:t>
      </w:r>
      <w:r>
        <w:rPr>
          <w:rFonts w:ascii="Times New Roman" w:hAnsi="Times New Roman" w:eastAsia="宋体"/>
          <w:sz w:val="24"/>
          <w:szCs w:val="24"/>
        </w:rPr>
        <w:t>发布之日起</w:t>
      </w:r>
      <w:r>
        <w:rPr>
          <w:rFonts w:hint="eastAsia" w:ascii="Times New Roman" w:hAnsi="Times New Roman" w:eastAsia="宋体"/>
          <w:sz w:val="24"/>
          <w:szCs w:val="24"/>
        </w:rPr>
        <w:t>至</w:t>
      </w:r>
      <w:r>
        <w:rPr>
          <w:rFonts w:hint="eastAsia" w:ascii="Times New Roman" w:hAnsi="Times New Roman" w:eastAsia="宋体"/>
          <w:sz w:val="24"/>
          <w:szCs w:val="24"/>
          <w:u w:val="single"/>
        </w:rPr>
        <w:t>2022年3月30日9时30分</w:t>
      </w:r>
      <w:r>
        <w:rPr>
          <w:rFonts w:ascii="Times New Roman" w:hAnsi="Times New Roman" w:eastAsia="宋体"/>
          <w:sz w:val="24"/>
          <w:szCs w:val="24"/>
          <w:u w:val="single"/>
        </w:rPr>
        <w:t>。</w:t>
      </w:r>
    </w:p>
    <w:p>
      <w:pPr>
        <w:spacing w:line="360" w:lineRule="auto"/>
        <w:ind w:firstLine="480" w:firstLineChars="200"/>
        <w:textAlignment w:val="baseline"/>
        <w:rPr>
          <w:rFonts w:ascii="Times New Roman" w:hAnsi="Times New Roman" w:eastAsia="宋体"/>
          <w:sz w:val="24"/>
          <w:szCs w:val="24"/>
        </w:rPr>
      </w:pPr>
      <w:bookmarkStart w:id="0" w:name="_Toc387526277"/>
      <w:bookmarkStart w:id="1" w:name="_Toc387526369"/>
      <w:bookmarkStart w:id="2" w:name="_Toc387526173"/>
      <w:r>
        <w:rPr>
          <w:rFonts w:hint="eastAsia" w:ascii="Times New Roman" w:hAnsi="Times New Roman" w:eastAsia="宋体"/>
          <w:sz w:val="24"/>
          <w:szCs w:val="24"/>
        </w:rPr>
        <w:t>2、</w:t>
      </w:r>
      <w:r>
        <w:rPr>
          <w:rFonts w:ascii="Times New Roman" w:hAnsi="Times New Roman" w:eastAsia="宋体"/>
          <w:sz w:val="24"/>
          <w:szCs w:val="24"/>
        </w:rPr>
        <w:t>获取方式：</w:t>
      </w:r>
      <w:bookmarkEnd w:id="0"/>
      <w:bookmarkEnd w:id="1"/>
      <w:bookmarkEnd w:id="2"/>
      <w:r>
        <w:rPr>
          <w:rFonts w:hint="eastAsia" w:ascii="Times New Roman" w:hAnsi="Times New Roman" w:eastAsia="宋体"/>
          <w:sz w:val="24"/>
          <w:szCs w:val="24"/>
        </w:rPr>
        <w:t>南通市第三人民医院官网（http://www.ntdsyy.com/）自行下载。</w:t>
      </w:r>
    </w:p>
    <w:p>
      <w:pPr>
        <w:spacing w:line="360" w:lineRule="auto"/>
        <w:ind w:firstLine="480" w:firstLineChars="200"/>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3、售价：300元，递交响应文件时同时递交，售后不退。</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六、响应文件提交</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文件接受截止及开标时间：</w:t>
      </w:r>
      <w:r>
        <w:rPr>
          <w:rFonts w:hint="eastAsia" w:ascii="Times New Roman" w:hAnsi="Times New Roman" w:eastAsia="宋体" w:cs="宋体"/>
          <w:b/>
          <w:bCs/>
          <w:sz w:val="24"/>
          <w:szCs w:val="24"/>
          <w:u w:val="single"/>
        </w:rPr>
        <w:t>2022年03月30日14时00分</w:t>
      </w:r>
      <w:r>
        <w:rPr>
          <w:rFonts w:hint="eastAsia" w:ascii="Times New Roman" w:hAnsi="Times New Roman" w:eastAsia="宋体" w:cs="宋体"/>
          <w:b/>
          <w:bCs/>
          <w:sz w:val="24"/>
          <w:szCs w:val="24"/>
        </w:rPr>
        <w:t>。</w:t>
      </w:r>
    </w:p>
    <w:p>
      <w:pPr>
        <w:spacing w:line="360" w:lineRule="auto"/>
        <w:ind w:firstLine="482" w:firstLineChars="200"/>
        <w:textAlignment w:val="baseline"/>
        <w:rPr>
          <w:rFonts w:ascii="Times New Roman" w:hAnsi="Times New Roman" w:eastAsia="宋体"/>
          <w:color w:val="000000"/>
          <w:kern w:val="0"/>
          <w:sz w:val="24"/>
          <w:szCs w:val="24"/>
          <w:shd w:val="clear" w:color="auto" w:fill="FFFFFF"/>
        </w:rPr>
      </w:pPr>
      <w:r>
        <w:rPr>
          <w:rFonts w:hint="eastAsia" w:ascii="Times New Roman" w:hAnsi="Times New Roman" w:eastAsia="宋体" w:cs="宋体"/>
          <w:b/>
          <w:bCs/>
          <w:sz w:val="24"/>
          <w:szCs w:val="24"/>
        </w:rPr>
        <w:t>响应文件递交地点：</w:t>
      </w:r>
      <w:r>
        <w:rPr>
          <w:rFonts w:hint="eastAsia" w:ascii="Times New Roman" w:hAnsi="Times New Roman" w:eastAsia="宋体" w:cs="宋体"/>
          <w:color w:val="000000"/>
          <w:sz w:val="24"/>
          <w:szCs w:val="24"/>
          <w:u w:val="single"/>
        </w:rPr>
        <w:t>南通市崇川区金贸国际25楼宏信天德工程顾问有限公司会议室</w:t>
      </w:r>
      <w:r>
        <w:rPr>
          <w:rFonts w:hint="eastAsia" w:ascii="Times New Roman" w:hAnsi="Times New Roman" w:eastAsia="宋体" w:cs="宋体"/>
          <w:color w:val="000000"/>
          <w:sz w:val="24"/>
          <w:szCs w:val="24"/>
        </w:rPr>
        <w:t>，如有变动另行通知</w:t>
      </w:r>
      <w:r>
        <w:rPr>
          <w:rFonts w:hint="eastAsia" w:ascii="Times New Roman" w:hAnsi="Times New Roman" w:eastAsia="宋体"/>
          <w:color w:val="000000"/>
          <w:kern w:val="0"/>
          <w:sz w:val="24"/>
          <w:szCs w:val="24"/>
          <w:shd w:val="clear" w:color="auto" w:fill="FFFFFF"/>
        </w:rPr>
        <w:t>。</w:t>
      </w:r>
    </w:p>
    <w:p>
      <w:pPr>
        <w:spacing w:line="360" w:lineRule="auto"/>
        <w:ind w:firstLine="482" w:firstLineChars="200"/>
        <w:textAlignment w:val="baseline"/>
        <w:rPr>
          <w:rFonts w:ascii="Times New Roman" w:hAnsi="Times New Roman" w:eastAsia="宋体"/>
          <w:b/>
          <w:sz w:val="24"/>
          <w:szCs w:val="24"/>
          <w:lang w:val="zh-CN"/>
        </w:rPr>
      </w:pPr>
      <w:r>
        <w:rPr>
          <w:rFonts w:hint="eastAsia" w:ascii="Times New Roman" w:hAnsi="Times New Roman" w:eastAsia="宋体"/>
          <w:b/>
          <w:sz w:val="24"/>
          <w:szCs w:val="24"/>
          <w:lang w:val="zh-CN"/>
        </w:rPr>
        <w:t>七、报名方式</w:t>
      </w:r>
    </w:p>
    <w:p>
      <w:pPr>
        <w:spacing w:line="360" w:lineRule="auto"/>
        <w:ind w:firstLine="480" w:firstLineChars="200"/>
        <w:textAlignment w:val="baseline"/>
        <w:rPr>
          <w:rFonts w:ascii="Times New Roman" w:hAnsi="Times New Roman" w:eastAsia="宋体"/>
          <w:bCs/>
          <w:sz w:val="24"/>
          <w:szCs w:val="24"/>
          <w:lang w:val="zh-CN"/>
        </w:rPr>
      </w:pPr>
      <w:r>
        <w:rPr>
          <w:rFonts w:hint="eastAsia" w:ascii="Times New Roman" w:hAnsi="Times New Roman" w:eastAsia="宋体"/>
          <w:bCs/>
          <w:sz w:val="24"/>
          <w:szCs w:val="24"/>
          <w:lang w:val="zh-CN"/>
        </w:rPr>
        <w:t>请有意参与（报名）本项目投标的供应商于2022年0</w:t>
      </w:r>
      <w:r>
        <w:rPr>
          <w:rFonts w:hint="eastAsia" w:ascii="Times New Roman" w:hAnsi="Times New Roman" w:eastAsia="宋体"/>
          <w:bCs/>
          <w:sz w:val="24"/>
          <w:szCs w:val="24"/>
        </w:rPr>
        <w:t>3</w:t>
      </w:r>
      <w:r>
        <w:rPr>
          <w:rFonts w:hint="eastAsia" w:ascii="Times New Roman" w:hAnsi="Times New Roman" w:eastAsia="宋体"/>
          <w:bCs/>
          <w:sz w:val="24"/>
          <w:szCs w:val="24"/>
          <w:lang w:val="zh-CN"/>
        </w:rPr>
        <w:t>月</w:t>
      </w:r>
      <w:r>
        <w:rPr>
          <w:rFonts w:hint="eastAsia" w:ascii="Times New Roman" w:hAnsi="Times New Roman" w:eastAsia="宋体"/>
          <w:bCs/>
          <w:sz w:val="24"/>
          <w:szCs w:val="24"/>
        </w:rPr>
        <w:t>30</w:t>
      </w:r>
      <w:r>
        <w:rPr>
          <w:rFonts w:hint="eastAsia" w:ascii="Times New Roman" w:hAnsi="Times New Roman" w:eastAsia="宋体"/>
          <w:bCs/>
          <w:sz w:val="24"/>
          <w:szCs w:val="24"/>
          <w:lang w:val="zh-CN"/>
        </w:rPr>
        <w:t>日</w:t>
      </w:r>
      <w:r>
        <w:rPr>
          <w:rFonts w:hint="eastAsia" w:ascii="Times New Roman" w:hAnsi="Times New Roman" w:eastAsia="宋体"/>
          <w:bCs/>
          <w:sz w:val="24"/>
          <w:szCs w:val="24"/>
        </w:rPr>
        <w:t>9</w:t>
      </w:r>
      <w:r>
        <w:rPr>
          <w:rFonts w:hint="eastAsia" w:ascii="Times New Roman" w:hAnsi="Times New Roman" w:eastAsia="宋体"/>
          <w:bCs/>
          <w:sz w:val="24"/>
          <w:szCs w:val="24"/>
          <w:lang w:val="zh-CN"/>
        </w:rPr>
        <w:t>时</w:t>
      </w:r>
      <w:r>
        <w:rPr>
          <w:rFonts w:hint="eastAsia" w:ascii="Times New Roman" w:hAnsi="Times New Roman" w:eastAsia="宋体"/>
          <w:bCs/>
          <w:sz w:val="24"/>
          <w:szCs w:val="24"/>
        </w:rPr>
        <w:t>3</w:t>
      </w:r>
      <w:r>
        <w:rPr>
          <w:rFonts w:hint="eastAsia" w:ascii="Times New Roman" w:hAnsi="Times New Roman" w:eastAsia="宋体"/>
          <w:bCs/>
          <w:sz w:val="24"/>
          <w:szCs w:val="24"/>
          <w:lang w:val="zh-CN"/>
        </w:rPr>
        <w:t>0分前至代理机构处报名；未报名单位不得参加本项目的投标。</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八、公告期限</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自本公告发布之日起5个工作日。</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九、其他补充事宜</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在疫情防控期间严格执行登记问询制度，请参与交易活动的人员，携带有效身份证件，规范佩戴口罩，接受体温检测和轨迹问询，自觉服从和配合现场工作人员调度安排，并在交易活动现场注意与他人保持安全距离、减少逗留时间。</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cs="宋体"/>
          <w:b/>
          <w:sz w:val="24"/>
          <w:szCs w:val="24"/>
        </w:rPr>
        <w:t>十、凡对本次采购提出询问，请按以下方式联系</w:t>
      </w:r>
    </w:p>
    <w:p>
      <w:pPr>
        <w:widowControl/>
        <w:spacing w:line="50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采购单位：</w:t>
      </w:r>
      <w:r>
        <w:rPr>
          <w:rFonts w:hint="eastAsia" w:ascii="Times New Roman" w:hAnsi="Times New Roman" w:eastAsia="宋体" w:cs="宋体"/>
          <w:sz w:val="24"/>
          <w:szCs w:val="24"/>
        </w:rPr>
        <w:t xml:space="preserve">南通市第三人民医院  </w:t>
      </w:r>
    </w:p>
    <w:p>
      <w:pPr>
        <w:widowControl/>
        <w:spacing w:line="500" w:lineRule="exact"/>
        <w:ind w:firstLine="480" w:firstLineChars="200"/>
        <w:jc w:val="left"/>
        <w:rPr>
          <w:rFonts w:ascii="Times New Roman" w:hAnsi="Times New Roman" w:eastAsia="宋体" w:cs="宋体"/>
          <w:sz w:val="24"/>
          <w:szCs w:val="24"/>
        </w:rPr>
      </w:pPr>
      <w:r>
        <w:rPr>
          <w:rFonts w:hint="eastAsia" w:ascii="Times New Roman" w:hAnsi="Times New Roman" w:eastAsia="宋体" w:cs="宋体"/>
          <w:kern w:val="0"/>
          <w:sz w:val="24"/>
          <w:szCs w:val="24"/>
        </w:rPr>
        <w:t>采购单位联系人：钱老师</w:t>
      </w:r>
      <w:r>
        <w:rPr>
          <w:rFonts w:hint="eastAsia" w:ascii="Times New Roman" w:hAnsi="Times New Roman" w:eastAsia="宋体" w:cs="宋体"/>
          <w:sz w:val="24"/>
          <w:szCs w:val="24"/>
        </w:rPr>
        <w:t xml:space="preserve"> </w:t>
      </w:r>
    </w:p>
    <w:p>
      <w:pPr>
        <w:widowControl/>
        <w:spacing w:line="500" w:lineRule="exact"/>
        <w:ind w:firstLine="480" w:firstLineChars="200"/>
        <w:jc w:val="left"/>
        <w:rPr>
          <w:rFonts w:ascii="Times New Roman" w:hAnsi="Times New Roman" w:eastAsia="宋体" w:cs="宋体"/>
          <w:sz w:val="24"/>
          <w:szCs w:val="24"/>
        </w:rPr>
      </w:pPr>
      <w:r>
        <w:rPr>
          <w:rFonts w:hint="eastAsia" w:ascii="Times New Roman" w:hAnsi="Times New Roman" w:eastAsia="宋体" w:cs="宋体"/>
          <w:sz w:val="24"/>
          <w:szCs w:val="24"/>
        </w:rPr>
        <w:t>联系电话：13626278398</w:t>
      </w:r>
    </w:p>
    <w:p>
      <w:pPr>
        <w:widowControl/>
        <w:spacing w:line="50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代理机构：宏信天德工程顾问有限公司</w:t>
      </w:r>
    </w:p>
    <w:p>
      <w:pPr>
        <w:widowControl/>
        <w:spacing w:line="50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地址：南通市崇川区江海大道488号金贸国际25楼</w:t>
      </w:r>
    </w:p>
    <w:p>
      <w:pPr>
        <w:widowControl/>
        <w:spacing w:line="50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联系人：董安国 </w:t>
      </w:r>
    </w:p>
    <w:p>
      <w:pPr>
        <w:widowControl/>
        <w:spacing w:line="50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联系电话：</w:t>
      </w:r>
      <w:r>
        <w:rPr>
          <w:rFonts w:ascii="Times New Roman" w:hAnsi="Times New Roman" w:eastAsia="宋体" w:cs="宋体"/>
          <w:kern w:val="0"/>
          <w:sz w:val="24"/>
          <w:szCs w:val="24"/>
        </w:rPr>
        <w:t>18912299056</w:t>
      </w:r>
    </w:p>
    <w:p>
      <w:pPr>
        <w:widowControl/>
        <w:spacing w:line="5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邮    箱：</w:t>
      </w:r>
      <w:r>
        <w:rPr>
          <w:rFonts w:ascii="Times New Roman" w:hAnsi="Times New Roman" w:eastAsia="宋体" w:cs="宋体"/>
          <w:kern w:val="0"/>
          <w:sz w:val="24"/>
          <w:szCs w:val="24"/>
        </w:rPr>
        <w:t>812298892@qq.com</w:t>
      </w:r>
      <w:r>
        <w:rPr>
          <w:rFonts w:hint="eastAsia" w:ascii="Times New Roman" w:hAnsi="Times New Roman" w:eastAsia="宋体" w:cs="宋体"/>
          <w:kern w:val="0"/>
          <w:sz w:val="24"/>
          <w:szCs w:val="24"/>
        </w:rPr>
        <w:t xml:space="preserve"> </w:t>
      </w:r>
    </w:p>
    <w:p>
      <w:pPr>
        <w:pStyle w:val="2"/>
        <w:rPr>
          <w:rFonts w:hint="eastAsia" w:ascii="Times New Roman" w:hAnsi="Times New Roman" w:eastAsia="宋体" w:cs="宋体"/>
          <w:kern w:val="0"/>
          <w:sz w:val="24"/>
          <w:szCs w:val="24"/>
        </w:rPr>
      </w:pPr>
    </w:p>
    <w:p>
      <w:pPr>
        <w:pStyle w:val="2"/>
        <w:rPr>
          <w:rFonts w:hint="eastAsia" w:ascii="Times New Roman" w:hAnsi="Times New Roman" w:eastAsia="宋体" w:cs="宋体"/>
          <w:kern w:val="0"/>
          <w:sz w:val="24"/>
          <w:szCs w:val="24"/>
        </w:rPr>
      </w:pPr>
    </w:p>
    <w:p>
      <w:pPr>
        <w:widowControl/>
        <w:spacing w:line="500" w:lineRule="exact"/>
        <w:ind w:firstLine="480" w:firstLineChars="200"/>
        <w:jc w:val="right"/>
        <w:rPr>
          <w:rFonts w:hint="eastAsia" w:ascii="Times New Roman" w:hAnsi="Times New Roman" w:eastAsia="宋体" w:cs="宋体"/>
          <w:sz w:val="24"/>
          <w:szCs w:val="24"/>
          <w:lang w:val="zh-CN"/>
        </w:rPr>
      </w:pPr>
      <w:bookmarkStart w:id="12" w:name="_GoBack"/>
      <w:bookmarkEnd w:id="12"/>
      <w:r>
        <w:rPr>
          <w:rFonts w:hint="eastAsia" w:ascii="Times New Roman" w:hAnsi="Times New Roman" w:eastAsia="宋体" w:cs="宋体"/>
          <w:sz w:val="24"/>
          <w:szCs w:val="24"/>
        </w:rPr>
        <w:t>南通市第三人民医院</w:t>
      </w:r>
    </w:p>
    <w:p>
      <w:pPr>
        <w:widowControl/>
        <w:jc w:val="right"/>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202</w:t>
      </w:r>
      <w:r>
        <w:rPr>
          <w:rFonts w:hint="eastAsia" w:ascii="Times New Roman" w:hAnsi="Times New Roman" w:eastAsia="宋体" w:cs="宋体"/>
          <w:sz w:val="24"/>
          <w:szCs w:val="24"/>
        </w:rPr>
        <w:t>2</w:t>
      </w:r>
      <w:r>
        <w:rPr>
          <w:rFonts w:hint="eastAsia" w:ascii="Times New Roman" w:hAnsi="Times New Roman" w:eastAsia="宋体" w:cs="宋体"/>
          <w:sz w:val="24"/>
          <w:szCs w:val="24"/>
          <w:lang w:val="zh-CN"/>
        </w:rPr>
        <w:t>年</w:t>
      </w:r>
      <w:r>
        <w:rPr>
          <w:rFonts w:hint="eastAsia" w:ascii="Times New Roman" w:hAnsi="Times New Roman" w:eastAsia="宋体" w:cs="宋体"/>
          <w:sz w:val="24"/>
          <w:szCs w:val="24"/>
        </w:rPr>
        <w:t>03</w:t>
      </w:r>
      <w:r>
        <w:rPr>
          <w:rFonts w:hint="eastAsia" w:ascii="Times New Roman" w:hAnsi="Times New Roman" w:eastAsia="宋体" w:cs="宋体"/>
          <w:sz w:val="24"/>
          <w:szCs w:val="24"/>
          <w:lang w:val="zh-CN"/>
        </w:rPr>
        <w:t>月</w:t>
      </w:r>
      <w:r>
        <w:rPr>
          <w:rFonts w:hint="eastAsia" w:ascii="Times New Roman" w:hAnsi="Times New Roman" w:eastAsia="宋体" w:cs="宋体"/>
          <w:sz w:val="24"/>
          <w:szCs w:val="24"/>
          <w:lang w:val="en-US" w:eastAsia="zh-CN"/>
        </w:rPr>
        <w:t>23</w:t>
      </w:r>
      <w:r>
        <w:rPr>
          <w:rFonts w:hint="eastAsia" w:ascii="Times New Roman" w:hAnsi="Times New Roman" w:eastAsia="宋体" w:cs="宋体"/>
          <w:sz w:val="24"/>
          <w:szCs w:val="24"/>
          <w:lang w:val="zh-CN"/>
        </w:rPr>
        <w:t>日</w:t>
      </w:r>
    </w:p>
    <w:p>
      <w:pPr>
        <w:pStyle w:val="2"/>
        <w:rPr>
          <w:rFonts w:hint="eastAsia" w:ascii="Times New Roman" w:hAnsi="Times New Roman" w:eastAsia="宋体" w:cs="宋体"/>
          <w:sz w:val="24"/>
          <w:szCs w:val="24"/>
          <w:lang w:val="zh-CN"/>
        </w:rPr>
      </w:pPr>
    </w:p>
    <w:p>
      <w:pPr>
        <w:pStyle w:val="2"/>
        <w:rPr>
          <w:rFonts w:hint="eastAsia" w:ascii="Times New Roman" w:hAnsi="Times New Roman" w:eastAsia="宋体" w:cs="宋体"/>
          <w:sz w:val="24"/>
          <w:szCs w:val="24"/>
          <w:lang w:val="zh-CN"/>
        </w:rPr>
      </w:pP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第二章 供应商须知</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1、本招标文件仅适用于宏信天德工程顾问有限公司组织的公开招标活动。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2、公开招标活动及因本次招标产生的合同受中国法律制约和保护。</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3、招标文件的解释权属于宏信天德工程顾问有限公司。</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招标文件后，应仔细检查招标文件的所有内容。如内容中有页码短缺、资格要求以及任何设置有不合理的条件对供应商实行差别待遇或者歧视待遇的，应在招标文件发布后的4日内，以书面形式向代理机构提出询问或疑问，</w:t>
      </w:r>
      <w:r>
        <w:rPr>
          <w:rFonts w:hint="eastAsia" w:ascii="Times New Roman" w:hAnsi="Times New Roman" w:eastAsia="宋体" w:cs="宋体"/>
          <w:sz w:val="24"/>
          <w:szCs w:val="24"/>
          <w:u w:val="single" w:color="000000"/>
        </w:rPr>
        <w:t>未在规定的时间内提出询问或疑问的，视同理解并接受本招标文件的所有内容，因此引起的损失由供应商自负，而且供应商不得在招标结束后针对招标文件的所有内容提出质疑事项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5、供应商应认真审阅招标文件中所有的事项、格式、条款和规范要求等，如果供应商没有按照招标文件要求提交响应文件，或者响应文件没有对招标文件做出实质性响应，将被拒绝参与项目的招标。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6、供应商在招标开始前自行踏勘现场，供应商务必自行认真踏勘现场条件，进一步获取所需信息，一旦中标不得对现场条件提出额外要求，不得要求增加费用，采购人可视情组织答疑会。</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二、招标文件的澄清、修改、答疑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1、代理机构有权对发出的招标文件进行必要的澄清、修改或补充。</w:t>
      </w:r>
    </w:p>
    <w:p>
      <w:pPr>
        <w:spacing w:line="360" w:lineRule="auto"/>
        <w:ind w:firstLine="480" w:firstLineChars="200"/>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2、招标文件的澄清、修改、补充等内容均以书面明确的形式发布，并以指定媒体发布的信息为准。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3、代理机构对招标文件的澄清、修改将构成招标文件的一部分，对响应招标的供应商具有约束力。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4、澄清或者修改的内容可能影响到响应文件编制的，代理机构将在提交响应文件接收截止之日5日前，发布澄清或者修改公告，不足5日的，当顺延提交响应文件接收截止时间。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5、除非代理机构以书面的形式对招标文件作出澄清、修改及补充，供应商对涉及招标文件的任何推论、理解和结论所造成的结果，均由供应商自负。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6、如有产生答疑且对招标文件内容有修改，代理机构将按照本须知有关规定，以补充通知（公告）的方式发出。</w:t>
      </w:r>
    </w:p>
    <w:p>
      <w:pPr>
        <w:widowControl/>
        <w:spacing w:line="360" w:lineRule="auto"/>
        <w:ind w:firstLine="482" w:firstLineChars="200"/>
        <w:jc w:val="left"/>
        <w:textAlignment w:val="baseline"/>
        <w:rPr>
          <w:rFonts w:ascii="Times New Roman" w:hAnsi="Times New Roman" w:eastAsia="宋体" w:cs="宋体"/>
          <w:b/>
          <w:sz w:val="24"/>
          <w:szCs w:val="24"/>
        </w:rPr>
      </w:pP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三、响应文件的编制及装订</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招标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四、响应文件的份数、密封及标记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ascii="Times New Roman" w:hAnsi="Times New Roman" w:eastAsia="宋体"/>
        </w:rPr>
        <w:fldChar w:fldCharType="begin"/>
      </w:r>
      <w:r>
        <w:rPr>
          <w:rFonts w:ascii="Times New Roman" w:hAnsi="Times New Roman" w:eastAsia="宋体"/>
        </w:rPr>
        <w:instrText xml:space="preserve"> = 1 \* GB3 </w:instrText>
      </w:r>
      <w:r>
        <w:rPr>
          <w:rFonts w:ascii="Times New Roman" w:hAnsi="Times New Roman" w:eastAsia="宋体"/>
        </w:rPr>
        <w:fldChar w:fldCharType="separate"/>
      </w:r>
      <w:r>
        <w:rPr>
          <w:rFonts w:hint="eastAsia" w:ascii="Times New Roman" w:hAnsi="Times New Roman" w:eastAsia="宋体" w:cs="宋体"/>
          <w:sz w:val="24"/>
          <w:szCs w:val="24"/>
        </w:rPr>
        <w:t>①</w:t>
      </w:r>
      <w:r>
        <w:rPr>
          <w:rFonts w:ascii="Times New Roman" w:hAnsi="Times New Roman" w:eastAsia="宋体"/>
        </w:rPr>
        <w:fldChar w:fldCharType="end"/>
      </w:r>
      <w:r>
        <w:rPr>
          <w:rFonts w:hint="eastAsia" w:ascii="Times New Roman" w:hAnsi="Times New Roman" w:eastAsia="宋体" w:cs="宋体"/>
          <w:sz w:val="24"/>
          <w:szCs w:val="24"/>
        </w:rPr>
        <w:t>资格审查文件、</w:t>
      </w:r>
      <w:r>
        <w:rPr>
          <w:rFonts w:ascii="Times New Roman" w:hAnsi="Times New Roman" w:eastAsia="宋体"/>
        </w:rPr>
        <w:fldChar w:fldCharType="begin"/>
      </w:r>
      <w:r>
        <w:rPr>
          <w:rFonts w:ascii="Times New Roman" w:hAnsi="Times New Roman" w:eastAsia="宋体"/>
        </w:rPr>
        <w:instrText xml:space="preserve"> = 2 \* GB3 </w:instrText>
      </w:r>
      <w:r>
        <w:rPr>
          <w:rFonts w:ascii="Times New Roman" w:hAnsi="Times New Roman" w:eastAsia="宋体"/>
        </w:rPr>
        <w:fldChar w:fldCharType="separate"/>
      </w:r>
      <w:r>
        <w:rPr>
          <w:rFonts w:hint="eastAsia" w:ascii="Times New Roman" w:hAnsi="Times New Roman" w:eastAsia="宋体" w:cs="宋体"/>
          <w:sz w:val="24"/>
          <w:szCs w:val="24"/>
        </w:rPr>
        <w:t>②</w:t>
      </w:r>
      <w:r>
        <w:rPr>
          <w:rFonts w:ascii="Times New Roman" w:hAnsi="Times New Roman" w:eastAsia="宋体"/>
        </w:rPr>
        <w:fldChar w:fldCharType="end"/>
      </w:r>
      <w:r>
        <w:rPr>
          <w:rFonts w:hint="eastAsia" w:ascii="Times New Roman" w:hAnsi="Times New Roman" w:eastAsia="宋体" w:cs="宋体"/>
          <w:sz w:val="24"/>
          <w:szCs w:val="24"/>
        </w:rPr>
        <w:t>技术响应文件、③商务报价响应文件共3部分组成（以下由文件序号代称）。</w:t>
      </w:r>
    </w:p>
    <w:p>
      <w:pPr>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响应文件均为一式叁份，其中“正本”壹份和“副本”贰份。</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3、在每份响应文件上要明确标注项目名称、对应的响应文件名称、供应商的全称、日期、“正本”、“副本”字样。“正本”和“副本”若有差异，概以“正本”为准。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4、供应商须将本项目响应文件：</w:t>
      </w:r>
      <w:r>
        <w:rPr>
          <w:rFonts w:ascii="Times New Roman" w:hAnsi="Times New Roman" w:eastAsia="宋体"/>
        </w:rPr>
        <w:fldChar w:fldCharType="begin"/>
      </w:r>
      <w:r>
        <w:rPr>
          <w:rFonts w:ascii="Times New Roman" w:hAnsi="Times New Roman" w:eastAsia="宋体"/>
        </w:rPr>
        <w:instrText xml:space="preserve"> = 1 \* GB3 </w:instrText>
      </w:r>
      <w:r>
        <w:rPr>
          <w:rFonts w:ascii="Times New Roman" w:hAnsi="Times New Roman" w:eastAsia="宋体"/>
        </w:rPr>
        <w:fldChar w:fldCharType="separate"/>
      </w:r>
      <w:r>
        <w:rPr>
          <w:rFonts w:hint="eastAsia" w:ascii="Times New Roman" w:hAnsi="Times New Roman" w:eastAsia="宋体" w:cs="宋体"/>
          <w:sz w:val="24"/>
          <w:szCs w:val="24"/>
        </w:rPr>
        <w:t>①</w:t>
      </w:r>
      <w:r>
        <w:rPr>
          <w:rFonts w:ascii="Times New Roman" w:hAnsi="Times New Roman" w:eastAsia="宋体"/>
        </w:rPr>
        <w:fldChar w:fldCharType="end"/>
      </w:r>
      <w:r>
        <w:rPr>
          <w:rFonts w:hint="eastAsia" w:ascii="Times New Roman" w:hAnsi="Times New Roman" w:eastAsia="宋体" w:cs="宋体"/>
          <w:sz w:val="24"/>
          <w:szCs w:val="24"/>
        </w:rPr>
        <w:t>、</w:t>
      </w:r>
      <w:r>
        <w:rPr>
          <w:rFonts w:ascii="Times New Roman" w:hAnsi="Times New Roman" w:eastAsia="宋体"/>
        </w:rPr>
        <w:fldChar w:fldCharType="begin"/>
      </w:r>
      <w:r>
        <w:rPr>
          <w:rFonts w:ascii="Times New Roman" w:hAnsi="Times New Roman" w:eastAsia="宋体"/>
        </w:rPr>
        <w:instrText xml:space="preserve"> = 2 \* GB3 </w:instrText>
      </w:r>
      <w:r>
        <w:rPr>
          <w:rFonts w:ascii="Times New Roman" w:hAnsi="Times New Roman" w:eastAsia="宋体"/>
        </w:rPr>
        <w:fldChar w:fldCharType="separate"/>
      </w:r>
      <w:r>
        <w:rPr>
          <w:rFonts w:hint="eastAsia" w:ascii="Times New Roman" w:hAnsi="Times New Roman" w:eastAsia="宋体" w:cs="宋体"/>
          <w:sz w:val="24"/>
          <w:szCs w:val="24"/>
        </w:rPr>
        <w:t>②</w:t>
      </w:r>
      <w:r>
        <w:rPr>
          <w:rFonts w:ascii="Times New Roman" w:hAnsi="Times New Roman" w:eastAsia="宋体"/>
        </w:rPr>
        <w:fldChar w:fldCharType="end"/>
      </w:r>
      <w:r>
        <w:rPr>
          <w:rFonts w:hint="eastAsia" w:ascii="Times New Roman" w:hAnsi="Times New Roman" w:eastAsia="宋体" w:cs="宋体"/>
          <w:sz w:val="24"/>
          <w:szCs w:val="24"/>
        </w:rPr>
        <w:t>、</w:t>
      </w:r>
      <w:r>
        <w:rPr>
          <w:rFonts w:ascii="Times New Roman" w:hAnsi="Times New Roman" w:eastAsia="宋体"/>
        </w:rPr>
        <w:fldChar w:fldCharType="begin"/>
      </w:r>
      <w:r>
        <w:rPr>
          <w:rFonts w:ascii="Times New Roman" w:hAnsi="Times New Roman" w:eastAsia="宋体"/>
        </w:rPr>
        <w:instrText xml:space="preserve">= 3 \* GB3</w:instrText>
      </w:r>
      <w:r>
        <w:rPr>
          <w:rFonts w:ascii="Times New Roman" w:hAnsi="Times New Roman" w:eastAsia="宋体"/>
        </w:rPr>
        <w:fldChar w:fldCharType="separate"/>
      </w:r>
      <w:r>
        <w:rPr>
          <w:rFonts w:hint="eastAsia" w:ascii="Times New Roman" w:hAnsi="Times New Roman" w:eastAsia="宋体" w:cs="宋体"/>
          <w:sz w:val="24"/>
          <w:szCs w:val="24"/>
        </w:rPr>
        <w:t>③</w:t>
      </w:r>
      <w:r>
        <w:rPr>
          <w:rFonts w:ascii="Times New Roman" w:hAnsi="Times New Roman" w:eastAsia="宋体"/>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。供应商可将响应文件正副本统一密封或分别密封，如正本和副本分别密封的，应在封袋上标明正、副本字样。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5、响应文件中的所有“正本”，其正文内容须按招标文件要求由供应商法定代表人或被授权人签字（或盖章）并加盖单位公章。“副本”可复印，但须加盖单位公章。</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6、密封后，应在每一密封的响应文件上明确标注招标项目名称、响应文件各自对应的名称、供应商的全称及日期。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7、在边缝处加盖供应商公章或骑缝签字。</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ascii="Times New Roman" w:hAnsi="Times New Roman" w:eastAsia="宋体"/>
        </w:rPr>
        <w:fldChar w:fldCharType="begin"/>
      </w:r>
      <w:r>
        <w:rPr>
          <w:rFonts w:ascii="Times New Roman" w:hAnsi="Times New Roman" w:eastAsia="宋体"/>
        </w:rPr>
        <w:instrText xml:space="preserve"> = 1 \* GB3 </w:instrText>
      </w:r>
      <w:r>
        <w:rPr>
          <w:rFonts w:ascii="Times New Roman" w:hAnsi="Times New Roman" w:eastAsia="宋体"/>
        </w:rPr>
        <w:fldChar w:fldCharType="separate"/>
      </w:r>
      <w:r>
        <w:rPr>
          <w:rFonts w:hint="eastAsia" w:ascii="Times New Roman" w:hAnsi="Times New Roman" w:eastAsia="宋体" w:cs="宋体"/>
          <w:sz w:val="24"/>
          <w:szCs w:val="24"/>
        </w:rPr>
        <w:t>①</w:t>
      </w:r>
      <w:r>
        <w:rPr>
          <w:rFonts w:ascii="Times New Roman" w:hAnsi="Times New Roman" w:eastAsia="宋体"/>
        </w:rPr>
        <w:fldChar w:fldCharType="end"/>
      </w:r>
      <w:r>
        <w:rPr>
          <w:rFonts w:hint="eastAsia" w:ascii="Times New Roman" w:hAnsi="Times New Roman" w:eastAsia="宋体" w:cs="宋体"/>
          <w:sz w:val="24"/>
          <w:szCs w:val="24"/>
        </w:rPr>
        <w:t>和</w:t>
      </w:r>
      <w:r>
        <w:rPr>
          <w:rFonts w:ascii="Times New Roman" w:hAnsi="Times New Roman" w:eastAsia="宋体"/>
        </w:rPr>
        <w:fldChar w:fldCharType="begin"/>
      </w:r>
      <w:r>
        <w:rPr>
          <w:rFonts w:ascii="Times New Roman" w:hAnsi="Times New Roman" w:eastAsia="宋体"/>
        </w:rPr>
        <w:instrText xml:space="preserve"> = 2 \* GB3 </w:instrText>
      </w:r>
      <w:r>
        <w:rPr>
          <w:rFonts w:ascii="Times New Roman" w:hAnsi="Times New Roman" w:eastAsia="宋体"/>
        </w:rPr>
        <w:fldChar w:fldCharType="separate"/>
      </w:r>
      <w:r>
        <w:rPr>
          <w:rFonts w:hint="eastAsia" w:ascii="Times New Roman" w:hAnsi="Times New Roman" w:eastAsia="宋体" w:cs="宋体"/>
          <w:sz w:val="24"/>
          <w:szCs w:val="24"/>
        </w:rPr>
        <w:t>②</w:t>
      </w:r>
      <w:r>
        <w:rPr>
          <w:rFonts w:ascii="Times New Roman" w:hAnsi="Times New Roman" w:eastAsia="宋体"/>
        </w:rPr>
        <w:fldChar w:fldCharType="end"/>
      </w:r>
      <w:r>
        <w:rPr>
          <w:rFonts w:hint="eastAsia" w:ascii="Times New Roman" w:hAnsi="Times New Roman" w:eastAsia="宋体" w:cs="宋体"/>
          <w:sz w:val="24"/>
          <w:szCs w:val="24"/>
        </w:rPr>
        <w:t>的“正本”或“副本”中，均不得含有商务报价响应文件中报价表（报价单）内的任何项目价格，否则作无效投标处理。</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五、联合体参与招标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六、响应文件及</w:t>
      </w:r>
      <w:r>
        <w:rPr>
          <w:rFonts w:hint="eastAsia" w:ascii="Times New Roman" w:hAnsi="Times New Roman" w:eastAsia="宋体" w:cs="宋体"/>
          <w:b/>
          <w:kern w:val="0"/>
          <w:sz w:val="24"/>
          <w:szCs w:val="24"/>
        </w:rPr>
        <w:t>招标</w:t>
      </w:r>
      <w:r>
        <w:rPr>
          <w:rFonts w:hint="eastAsia" w:ascii="Times New Roman" w:hAnsi="Times New Roman" w:eastAsia="宋体" w:cs="宋体"/>
          <w:b/>
          <w:bCs/>
          <w:sz w:val="24"/>
          <w:szCs w:val="24"/>
        </w:rPr>
        <w:t>费用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1、招标文件每套售价300元（现金），在递交招标响应文件的同时提交给招标代理机构。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本次招标向成交供应商收取代理服务费，按国家计委颁发的[2002]1980号文《招标代理服务收费管理暂行办法》及国家发改委颁发的[2011]534号文《国家发改委关于降低部分建设项目收费标准规范收费行为等有关问题的通知》的有关规定执行，具体如下：中标服务费按差额定率累进法计算，以成交通知书确定的中标金额作为收费的计算依据，按招标收费标准下浮40%计算，不满1500元的，按1500元收取。本项目类型为服务招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3、招标程序顺利进行后，除供应商的原件可退回外，其余所有的响应文件都将作为档案保存，不论成交与否，代理机构均不退回。</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4、无论招标过程和结果如何，参加项目招标的供应商自行承担与本次项目招标有关的全部费用。</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七、未尽事宜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按《中华人民共和国政府采购法》、《政府采购招标采购方式管理暂行办法》及其他有关法律法规的规定执行。</w:t>
      </w:r>
    </w:p>
    <w:p>
      <w:pPr>
        <w:widowControl/>
        <w:jc w:val="left"/>
        <w:textAlignment w:val="baseline"/>
        <w:rPr>
          <w:rFonts w:ascii="Times New Roman" w:hAnsi="Times New Roman" w:eastAsia="宋体" w:cs="宋体"/>
          <w:sz w:val="24"/>
          <w:szCs w:val="24"/>
        </w:rPr>
      </w:pPr>
      <w:r>
        <w:rPr>
          <w:rFonts w:ascii="Times New Roman" w:hAnsi="Times New Roman" w:eastAsia="宋体" w:cs="宋体"/>
          <w:w w:val="80"/>
          <w:szCs w:val="44"/>
        </w:rPr>
        <w:br w:type="page"/>
      </w: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第三章 项目需求</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一、项目概况</w:t>
      </w:r>
    </w:p>
    <w:p>
      <w:pPr>
        <w:pStyle w:val="30"/>
        <w:shd w:val="clear" w:color="auto" w:fill="FFFFFF"/>
        <w:spacing w:before="0" w:beforeAutospacing="0" w:after="0" w:afterAutospacing="0" w:line="360" w:lineRule="auto"/>
        <w:ind w:firstLine="480" w:firstLineChars="200"/>
        <w:jc w:val="both"/>
        <w:textAlignment w:val="baseline"/>
        <w:rPr>
          <w:rFonts w:ascii="Times New Roman" w:hAnsi="Times New Roman"/>
          <w:color w:val="666666"/>
        </w:rPr>
      </w:pPr>
      <w:r>
        <w:rPr>
          <w:rFonts w:hint="eastAsia" w:ascii="Times New Roman" w:hAnsi="Times New Roman"/>
          <w:color w:val="000000"/>
        </w:rPr>
        <w:t>1、项目名称：南通市第三人民医院住院患者生活陪护服务委托管理项目</w:t>
      </w:r>
    </w:p>
    <w:p>
      <w:pPr>
        <w:pStyle w:val="30"/>
        <w:shd w:val="clear" w:color="auto" w:fill="FFFFFF"/>
        <w:spacing w:before="0" w:beforeAutospacing="0" w:after="0" w:afterAutospacing="0" w:line="360" w:lineRule="auto"/>
        <w:ind w:firstLine="480" w:firstLineChars="200"/>
        <w:jc w:val="both"/>
        <w:textAlignment w:val="baseline"/>
        <w:rPr>
          <w:rFonts w:ascii="Times New Roman" w:hAnsi="Times New Roman"/>
          <w:color w:val="000000"/>
        </w:rPr>
      </w:pPr>
      <w:r>
        <w:rPr>
          <w:rFonts w:hint="eastAsia" w:ascii="Times New Roman" w:hAnsi="Times New Roman"/>
          <w:color w:val="000000"/>
        </w:rPr>
        <w:t>2、项目实施地点：南通市第三人民医院全院病区。</w:t>
      </w:r>
    </w:p>
    <w:p>
      <w:pPr>
        <w:spacing w:line="360" w:lineRule="auto"/>
        <w:ind w:firstLine="482" w:firstLineChars="200"/>
        <w:textAlignment w:val="baseline"/>
        <w:rPr>
          <w:rFonts w:ascii="Times New Roman" w:hAnsi="Times New Roman" w:eastAsia="宋体" w:cs="宋体"/>
          <w:b/>
          <w:color w:val="000000"/>
          <w:kern w:val="0"/>
          <w:sz w:val="24"/>
          <w:szCs w:val="24"/>
        </w:rPr>
      </w:pPr>
      <w:r>
        <w:rPr>
          <w:rFonts w:hint="eastAsia" w:ascii="Times New Roman" w:hAnsi="Times New Roman" w:eastAsia="宋体" w:cs="宋体"/>
          <w:b/>
          <w:color w:val="000000"/>
          <w:kern w:val="0"/>
          <w:sz w:val="24"/>
          <w:szCs w:val="24"/>
        </w:rPr>
        <w:t>二、医院的权利和义务</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1、对中标方派驻的护理员工作进行监督检查，有权要求中标方对违反服务承诺的事项和不称职的护理员限期整改或撤换。对中标方每位上岗护理员资格证进行审核。</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2、医院有义务配合中标方进行医院内零散无证护工的清理工作，并在合同期内禁止第三方公司介入病区开展生活照护工作，及时有效的维护优质生活护理病区的服务秩序，更好的起到监管作用。</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3、中标方护理员应服从医院护理部的统一管理，对不能满足服务要求的护理员，医院可向中标方提出人员更换，如中标方需更换在院服务的护理员，需经护理部审核批准，否则视作违约给予一定的经济处罚。</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4、医院实行考核管理制度，对中标方护理员的服务质量给予考评，考评与护理员绩效挂钩，中标方对考核不合格的护理员应加强管理，否则医院有权向中标方提出终止合同。</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5、每季度对中标方的管理及服务进行一次全面考核评定，同时要求中标方按双方约定的管理标准提供管理报告等资料和信息。</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6、做好疫情防控，因医院未执行国家规定的防疫政策，导致中标方工作人员发生感染导致的损失，由医院承担所有责任。</w:t>
      </w:r>
    </w:p>
    <w:p>
      <w:pPr>
        <w:spacing w:line="360" w:lineRule="auto"/>
        <w:ind w:firstLine="482" w:firstLineChars="200"/>
        <w:textAlignment w:val="baseline"/>
        <w:rPr>
          <w:rFonts w:ascii="Times New Roman" w:hAnsi="Times New Roman" w:eastAsia="宋体" w:cs="宋体"/>
          <w:color w:val="000000"/>
          <w:kern w:val="0"/>
          <w:sz w:val="24"/>
          <w:szCs w:val="24"/>
        </w:rPr>
      </w:pPr>
      <w:r>
        <w:rPr>
          <w:rFonts w:hint="eastAsia" w:ascii="Times New Roman" w:hAnsi="Times New Roman" w:eastAsia="宋体" w:cs="宋体"/>
          <w:b/>
          <w:color w:val="000000"/>
          <w:kern w:val="0"/>
          <w:sz w:val="24"/>
          <w:szCs w:val="24"/>
        </w:rPr>
        <w:t>三、中标方的权利和义务</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1、制定各项管理办法、规章制度、实施方案，自主开展各项管理服务活动。接受医院、医院主管部门及有关政府部门的监督、指导。</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2、中标方负责与护理员签订劳动合同（或劳务协议），负责劳动管理，为护理员依法提供劳动保护待遇，中标方护理员在服务过程中出现的人身、财产损害事故，均由中标方负责处理，并承担相应法律责任，与医院无关。</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3、遵照国家收费管理规定，按服务项目、服务内容、服务标准，测算收费标准，严格按合同规定的收费标准收取。中标方须维护医院形象、声誉，不得损害医院的合法权益，获取不当利益。</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4、医院就服务质量向中标方提出整改意见的，中标方应在3个工作日内采取有效措施给予纠正和改进。</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5、中标方应积极妥善处理劳动纠纷、护患纠纷。如因处理矛盾纠纷不力、不及时，影响医院医疗秩序应承担相应的赔偿责任。</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6、如在生活照护过程中，中标方护理员因操作不当引发的安全问题由中标方负责，承担全部经济赔偿，与医院无关。</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7、中标方有权根据南通市最低工资标准及社保最低缴纳基数浮动调整服务价格，结算标准不变。</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8、中标方护理员不得在医院工作场所从事与工作无关的工作内容，否则予以处罚。</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9、中标方负责护理员疫情防控的日常管理。建立并落实护理员健康报告制度</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10、中标方发现护理员有任何传染病或有传染可能的疾病，应在第一时间报告医院并撤回护理员。并按照医院要求采取相应措施。</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11、中标方应建立防疫管理制度，并严格执行，因中标方疏忽给医院造成的疫情损失（含患者的连带赔付），由中标方承担所有责任。</w:t>
      </w:r>
    </w:p>
    <w:p>
      <w:pPr>
        <w:spacing w:line="360" w:lineRule="auto"/>
        <w:ind w:firstLine="480" w:firstLineChars="200"/>
        <w:textAlignment w:val="baseline"/>
        <w:rPr>
          <w:rFonts w:ascii="Times New Roman" w:hAnsi="Times New Roman" w:eastAsia="宋体" w:cs="宋体"/>
          <w:bCs/>
          <w:color w:val="000000"/>
          <w:kern w:val="0"/>
          <w:sz w:val="24"/>
          <w:szCs w:val="24"/>
        </w:rPr>
      </w:pPr>
      <w:r>
        <w:rPr>
          <w:rFonts w:hint="eastAsia" w:ascii="Times New Roman" w:hAnsi="Times New Roman" w:eastAsia="宋体" w:cs="宋体"/>
          <w:bCs/>
          <w:color w:val="000000"/>
          <w:kern w:val="0"/>
          <w:sz w:val="24"/>
          <w:szCs w:val="24"/>
        </w:rPr>
        <w:t>12、因中标方护理员原因导致疫情或者其它传染病传播的，中标方必须赔偿所有损失。</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四、</w:t>
      </w:r>
      <w:r>
        <w:rPr>
          <w:rFonts w:hint="eastAsia" w:ascii="Times New Roman" w:hAnsi="Times New Roman" w:eastAsia="宋体" w:cs="宋体"/>
          <w:b/>
          <w:bCs/>
          <w:sz w:val="24"/>
          <w:szCs w:val="24"/>
        </w:rPr>
        <w:t>服务范围及具体要求：</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1、护理员项目服务要求</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1.1服务岗位人数及服务费：</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1.1.1服务人数（岗位）要求：普通病房护理员100名左右（提供：身份证、健康证、护理员证的复印件并加盖公章、执业资格证的复印件并加盖公章）。</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1.1.2服务费支付：普通病房病员生活照护费用，由中标方和病员家属签订协议收取，并交纳医院一定的管理费。收费标准由双方认定物价局备案。</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1.1.3服务费构成说明：要求中标方的投标价格中包含服务人员的各种费用，医院不再另行支付其他费用。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1.1.4对中标方拟派服务人员的要求</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（1）拥有真实合法的身份证明，丰富的专业工作经验，良好的道德品质，积极的服务态度，具有爱岗敬业精神。</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（2）统一着装，统一佩带证件，服装整齐干净。</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（3）身体健康、品相端正，无违法犯罪记录。</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（4）年龄：女60岁以下；男65岁以下；小学以上文化、户籍不限、会讲普通话。</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（5）所有护理员必须持健康证上岗，健康证复印件上交医院护理部备查。</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（6）所有护理员必须经岗前培训合格后方可上岗。</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1.1.5 医院不提供食宿，中标方需自行解决员工的食宿问题。</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1.1.6 中标方需提供应对突发事件的应急预案及服务人员管理手册。</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2、护理员服务管理要求</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（1）在护士长领导和护士指导下工作。</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（2）承担病人生活护理工作。</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（3）协助生活不能自理的病人饭前洗手、进食、起床活动、翻身拍背、清洁及收送便器等。</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（4）协助护士为病人更换、整理床单位。</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（5）随时整理病室环境，协助病人合理放置物品。</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（6）病室定时开窗通风，保证空气新鲜。</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3、管理要求及标准</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3.1对护理员仪容仪表及卫生要求</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3.1.1 着装：员工上岗时均应按规定统一穿工服。</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3.1.2 发式：发式整洁，长发要求梳起。</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3.1.3 上岗时可化淡妆，不戴首饰。</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3.1.4 上岗期间穿软底静音鞋，禁止穿拖鞋、高跟鞋。</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3.1.5 员工上岗时服装鞋帽干净、整齐。</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3.1.6无长指甲并且保持清洁。</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3.1.7头发身体清洁无异味。</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 对护理员劳动纪律要求</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3.2.1 自觉遵守劳动纪律，工作期间不擅离岗位。</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 遵守医院及病房的各项规章制度制度，服从医护人员的管理。</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3.2.2.1严禁在工作期间长时间接打私人电话、玩游戏等行为。</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3.2.2.2严禁工作期间串病房。</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3.2.2.3禁止工作区域内会客、扎堆聊天、嬉笑、打闹、大声喧哗。</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3.2.2.4禁止工作期间干私活和做与工作无关的事情。</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3.2.2.5严禁携带私人物品进入病房。</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3.2.2.6 禁止在非吸烟区吸烟。</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 护理员工作标准</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3.3.1工作主动热情，服务周到，态度和蔼，语言文明，服从护士长工作安排。</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3.3.2认真做好每日常规工作和重点工作，保证一般病人生活护理到位。</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3.3.3定时巡视病房，保证病人生活需求，保持病房整洁、安静。</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3.3.4 照顾病人及操作前后要洗手，垃圾分类正确，防止交叉感染。</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3.3.5.不收受病人钱物，不利用工作之便谋取私利，对待病人一视同仁。</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3.3.6.未经允许，不得擅自拿取(翻阅)病人病历、医疗(护理)文件。</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3.3.7 禁止向病人、家属或他人议论病房医生、护士的医疗与护理活动。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3.3.8.不与病人或家属谈论病人的病情，工作中注意保护病人隐私，同时不能在病房区域外谈论病人病情。</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3.3.9.病人如有疑问，及时与责任护士沟通，不得以任何理由与病人及家属发生争吵。</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3.3.10.做好本职工作，严禁超越职责范围。</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3.4 质量管理</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3.4.1 中标方派出的驻院代表包括：督导1名，培训师1名（护理背景），收款员 1名，管理员1名（护理背景，每5个病区或30名护理员增加1名）。医院派出项目协调员1名，代表院方负责沟通协调工作（注：项目协调员为医院护理部分管人员兼职）。 中标方根据与医院护理部共同确定的服务病区范围，按需分批派驻人员到位。</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3.4.2 中标方项目主管对自己所负责的区域进行每日巡查，发现问题随时与护士长联系解决。</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3.4.3 项目主管定期与护理部联系，沟通员工管理工作。</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3.4.4 每季度向相关科室护士长发放《满意度调查问卷》，结果及时反馈。</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3.4.5中标方有完善规范的内部培训体系、培训计划及专职培训人员，每年定期组织对不同岗位人员进行培训、有培训及考核记录。有对不同岗位员工岗前培训、日常培训及考核的记录。</w:t>
      </w:r>
    </w:p>
    <w:p>
      <w:pPr>
        <w:spacing w:line="360" w:lineRule="auto"/>
        <w:ind w:firstLine="480" w:firstLineChars="200"/>
        <w:textAlignment w:val="baseline"/>
        <w:rPr>
          <w:rFonts w:ascii="Times New Roman" w:hAnsi="Times New Roman"/>
          <w:color w:val="000000"/>
        </w:rPr>
      </w:pPr>
      <w:r>
        <w:rPr>
          <w:rFonts w:hint="eastAsia" w:ascii="Times New Roman" w:hAnsi="Times New Roman" w:eastAsia="宋体" w:cs="宋体"/>
          <w:bCs/>
          <w:sz w:val="24"/>
          <w:szCs w:val="24"/>
        </w:rPr>
        <w:t>3.4.6有与医院配合相关培训记录。</w:t>
      </w:r>
      <w:r>
        <w:rPr>
          <w:rFonts w:hint="eastAsia" w:ascii="Times New Roman" w:hAnsi="Times New Roman" w:eastAsia="宋体" w:cs="宋体"/>
          <w:b/>
          <w:bCs/>
          <w:sz w:val="24"/>
          <w:szCs w:val="24"/>
        </w:rPr>
        <w:t>　　</w:t>
      </w:r>
    </w:p>
    <w:p>
      <w:pPr>
        <w:spacing w:line="360" w:lineRule="auto"/>
        <w:ind w:firstLine="482" w:firstLineChars="200"/>
        <w:textAlignment w:val="baseline"/>
        <w:rPr>
          <w:rFonts w:ascii="Times New Roman" w:hAnsi="Times New Roman" w:eastAsia="宋体" w:cs="宋体"/>
          <w:b/>
          <w:sz w:val="24"/>
          <w:szCs w:val="24"/>
        </w:rPr>
      </w:pPr>
    </w:p>
    <w:p>
      <w:pPr>
        <w:spacing w:line="360" w:lineRule="auto"/>
        <w:ind w:firstLine="482" w:firstLineChars="200"/>
        <w:textAlignment w:val="baseline"/>
        <w:rPr>
          <w:rFonts w:ascii="Times New Roman" w:hAnsi="Times New Roman" w:eastAsia="宋体" w:cs="宋体"/>
          <w:b/>
          <w:sz w:val="24"/>
          <w:szCs w:val="24"/>
        </w:rPr>
      </w:pP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五、</w:t>
      </w:r>
      <w:r>
        <w:rPr>
          <w:rFonts w:hint="eastAsia" w:ascii="Times New Roman" w:hAnsi="Times New Roman" w:eastAsia="宋体" w:cs="宋体"/>
          <w:b/>
          <w:bCs/>
          <w:sz w:val="24"/>
          <w:szCs w:val="24"/>
        </w:rPr>
        <w:t>护理员生活照护工作标准及流程</w:t>
      </w:r>
    </w:p>
    <w:p>
      <w:pPr>
        <w:spacing w:line="360" w:lineRule="auto"/>
        <w:ind w:firstLine="422" w:firstLineChars="200"/>
        <w:textAlignment w:val="baseline"/>
        <w:rPr>
          <w:rFonts w:ascii="Times New Roman" w:hAnsi="Times New Roman" w:eastAsia="宋体" w:cs="Times New Roman"/>
          <w:b/>
          <w:bCs/>
          <w:kern w:val="0"/>
          <w:sz w:val="24"/>
          <w:szCs w:val="24"/>
        </w:rPr>
      </w:pPr>
      <w:r>
        <w:rPr>
          <w:rFonts w:hint="eastAsia" w:ascii="Times New Roman" w:hAnsi="Times New Roman"/>
          <w:b/>
          <w:color w:val="000000"/>
        </w:rPr>
        <w:t>（一）</w:t>
      </w:r>
      <w:r>
        <w:rPr>
          <w:rFonts w:ascii="Times New Roman" w:hAnsi="Calibri" w:eastAsia="宋体" w:cs="Times New Roman"/>
          <w:b/>
          <w:bCs/>
          <w:kern w:val="0"/>
          <w:sz w:val="24"/>
          <w:szCs w:val="24"/>
        </w:rPr>
        <w:t>住院患者生活照护服务项目</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44" w:type="dxa"/>
            <w:shd w:val="clear" w:color="auto" w:fill="CCFFFF"/>
            <w:noWrap/>
            <w:vAlign w:val="center"/>
          </w:tcPr>
          <w:p>
            <w:pPr>
              <w:spacing w:line="360" w:lineRule="auto"/>
              <w:jc w:val="center"/>
              <w:rPr>
                <w:rFonts w:ascii="Times New Roman" w:hAnsi="Times New Roman" w:eastAsia="宋体" w:cs="宋体"/>
                <w:b/>
                <w:bCs/>
                <w:kern w:val="0"/>
                <w:szCs w:val="21"/>
              </w:rPr>
            </w:pPr>
            <w:r>
              <w:rPr>
                <w:rFonts w:hint="eastAsia" w:ascii="Times New Roman" w:hAnsi="宋体" w:eastAsia="宋体" w:cs="宋体"/>
                <w:b/>
                <w:bCs/>
                <w:kern w:val="0"/>
                <w:szCs w:val="21"/>
              </w:rPr>
              <w:t>工作内容</w:t>
            </w:r>
          </w:p>
        </w:tc>
        <w:tc>
          <w:tcPr>
            <w:tcW w:w="5001" w:type="dxa"/>
            <w:shd w:val="clear" w:color="auto" w:fill="CCFFFF"/>
            <w:noWrap/>
            <w:vAlign w:val="center"/>
          </w:tcPr>
          <w:p>
            <w:pPr>
              <w:spacing w:line="360" w:lineRule="auto"/>
              <w:jc w:val="center"/>
              <w:rPr>
                <w:rFonts w:ascii="Times New Roman" w:hAnsi="Times New Roman" w:eastAsia="宋体" w:cs="宋体"/>
                <w:b/>
                <w:bCs/>
                <w:kern w:val="0"/>
                <w:szCs w:val="21"/>
              </w:rPr>
            </w:pPr>
            <w:r>
              <w:rPr>
                <w:rFonts w:hint="eastAsia" w:ascii="Times New Roman" w:hAnsi="宋体" w:eastAsia="宋体" w:cs="宋体"/>
                <w:b/>
                <w:bCs/>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4244" w:type="dxa"/>
            <w:noWrap/>
          </w:tcPr>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w:t>
            </w:r>
            <w:r>
              <w:rPr>
                <w:rFonts w:hint="eastAsia" w:ascii="Times New Roman" w:hAnsi="宋体" w:eastAsia="宋体" w:cs="宋体"/>
                <w:kern w:val="0"/>
                <w:szCs w:val="21"/>
              </w:rPr>
              <w:t>所有操作前，认真执行手卫生。</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w:t>
            </w:r>
            <w:r>
              <w:rPr>
                <w:rFonts w:hint="eastAsia" w:ascii="Times New Roman" w:hAnsi="宋体" w:eastAsia="宋体" w:cs="宋体"/>
                <w:kern w:val="0"/>
                <w:szCs w:val="21"/>
              </w:rPr>
              <w:t>协助病人刷牙、洗脸、进餐、如厕</w:t>
            </w:r>
            <w:r>
              <w:rPr>
                <w:rFonts w:hint="eastAsia" w:ascii="Times New Roman" w:hAnsi="Times New Roman" w:eastAsia="宋体" w:cs="宋体"/>
                <w:kern w:val="0"/>
                <w:szCs w:val="21"/>
              </w:rPr>
              <w:t xml:space="preserve">, </w:t>
            </w:r>
            <w:r>
              <w:rPr>
                <w:rFonts w:hint="eastAsia" w:ascii="Times New Roman" w:hAnsi="宋体" w:eastAsia="宋体" w:cs="宋体"/>
                <w:kern w:val="0"/>
                <w:szCs w:val="21"/>
              </w:rPr>
              <w:t>帮助患者床上或下床活动，按需床上擦身或床上洗头（必要时）。</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3.</w:t>
            </w:r>
            <w:r>
              <w:rPr>
                <w:rFonts w:hint="eastAsia" w:ascii="Times New Roman" w:hAnsi="宋体" w:eastAsia="宋体" w:cs="宋体"/>
                <w:kern w:val="0"/>
                <w:szCs w:val="21"/>
              </w:rPr>
              <w:t>早、中、晚整理床单元和病室，及时开窗通风，保持环境整洁，空气新鲜。</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4.</w:t>
            </w:r>
            <w:r>
              <w:rPr>
                <w:rFonts w:hint="eastAsia" w:ascii="Times New Roman" w:hAnsi="宋体" w:eastAsia="宋体" w:cs="宋体"/>
                <w:kern w:val="0"/>
                <w:szCs w:val="21"/>
              </w:rPr>
              <w:t>协助护士做好晨间护理及医生查房的准备工作。</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 xml:space="preserve">5. </w:t>
            </w:r>
            <w:r>
              <w:rPr>
                <w:rFonts w:hint="eastAsia" w:ascii="Times New Roman" w:hAnsi="宋体" w:eastAsia="宋体" w:cs="宋体"/>
                <w:kern w:val="0"/>
                <w:szCs w:val="21"/>
              </w:rPr>
              <w:t>配合有关医疗护理工作。</w:t>
            </w:r>
          </w:p>
        </w:tc>
        <w:tc>
          <w:tcPr>
            <w:tcW w:w="5001" w:type="dxa"/>
            <w:noWrap/>
          </w:tcPr>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1.</w:t>
            </w:r>
            <w:r>
              <w:rPr>
                <w:rFonts w:hint="eastAsia" w:ascii="Times New Roman" w:hAnsi="宋体" w:eastAsia="宋体" w:cs="宋体"/>
                <w:kern w:val="0"/>
                <w:szCs w:val="21"/>
              </w:rPr>
              <w:t>病员卫生：头发整齐无汗；皮肤、手足清洁，无污渍，衣裤清洁；会阴清洁干燥，无血、尿污迹。</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2.</w:t>
            </w:r>
            <w:r>
              <w:rPr>
                <w:rFonts w:hint="eastAsia" w:ascii="Times New Roman" w:hAnsi="宋体" w:eastAsia="宋体" w:cs="宋体"/>
                <w:kern w:val="0"/>
                <w:szCs w:val="21"/>
              </w:rPr>
              <w:t>便器清洁无污垢无残余物。</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3.</w:t>
            </w:r>
            <w:r>
              <w:rPr>
                <w:rFonts w:hint="eastAsia" w:ascii="Times New Roman" w:hAnsi="宋体" w:eastAsia="宋体" w:cs="宋体"/>
                <w:kern w:val="0"/>
                <w:szCs w:val="21"/>
              </w:rPr>
              <w:t>桌面物品摆放整齐</w:t>
            </w:r>
            <w:r>
              <w:rPr>
                <w:rFonts w:hint="eastAsia" w:ascii="Times New Roman" w:hAnsi="Times New Roman" w:eastAsia="宋体" w:cs="宋体"/>
                <w:kern w:val="0"/>
                <w:szCs w:val="21"/>
              </w:rPr>
              <w:t>,</w:t>
            </w:r>
            <w:r>
              <w:rPr>
                <w:rFonts w:hint="eastAsia" w:ascii="Times New Roman" w:hAnsi="宋体" w:eastAsia="宋体" w:cs="宋体"/>
                <w:kern w:val="0"/>
                <w:szCs w:val="21"/>
              </w:rPr>
              <w:t>清洁。</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4.</w:t>
            </w:r>
            <w:r>
              <w:rPr>
                <w:rFonts w:hint="eastAsia" w:ascii="Times New Roman" w:hAnsi="宋体" w:eastAsia="宋体" w:cs="宋体"/>
                <w:kern w:val="0"/>
                <w:szCs w:val="21"/>
              </w:rPr>
              <w:t>地面保持清洁干燥</w:t>
            </w:r>
            <w:r>
              <w:rPr>
                <w:rFonts w:hint="eastAsia" w:ascii="Times New Roman" w:hAnsi="Times New Roman" w:eastAsia="宋体" w:cs="宋体"/>
                <w:kern w:val="0"/>
                <w:szCs w:val="21"/>
              </w:rPr>
              <w:t>,</w:t>
            </w:r>
            <w:r>
              <w:rPr>
                <w:rFonts w:hint="eastAsia" w:ascii="Times New Roman" w:hAnsi="宋体" w:eastAsia="宋体" w:cs="宋体"/>
                <w:kern w:val="0"/>
                <w:szCs w:val="21"/>
              </w:rPr>
              <w:t>防止跌倒。</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5.</w:t>
            </w:r>
            <w:r>
              <w:rPr>
                <w:rFonts w:hint="eastAsia" w:ascii="Times New Roman" w:hAnsi="宋体" w:eastAsia="宋体" w:cs="宋体"/>
                <w:kern w:val="0"/>
                <w:szCs w:val="21"/>
              </w:rPr>
              <w:t>床单元保持清洁、平整、干燥，定时翻身无压疮。</w:t>
            </w:r>
          </w:p>
          <w:p>
            <w:pPr>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6.</w:t>
            </w:r>
            <w:r>
              <w:rPr>
                <w:rFonts w:hint="eastAsia" w:ascii="Times New Roman" w:hAnsi="宋体" w:eastAsia="宋体" w:cs="宋体"/>
                <w:kern w:val="0"/>
                <w:szCs w:val="21"/>
              </w:rPr>
              <w:t>重视患者主诉，如有特殊情况及时向护士汇报。</w:t>
            </w:r>
          </w:p>
        </w:tc>
      </w:tr>
    </w:tbl>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bCs/>
          <w:sz w:val="24"/>
          <w:szCs w:val="24"/>
        </w:rPr>
        <w:t>（二）护理员每日工作流程</w:t>
      </w:r>
    </w:p>
    <w:tbl>
      <w:tblPr>
        <w:tblStyle w:val="15"/>
        <w:tblpPr w:leftFromText="180" w:rightFromText="180" w:vertAnchor="text" w:horzAnchor="page" w:tblpX="1435" w:tblpY="265"/>
        <w:tblOverlap w:val="never"/>
        <w:tblW w:w="9286" w:type="dxa"/>
        <w:tblInd w:w="0" w:type="dxa"/>
        <w:tblLayout w:type="fixed"/>
        <w:tblCellMar>
          <w:top w:w="0" w:type="dxa"/>
          <w:left w:w="108" w:type="dxa"/>
          <w:bottom w:w="0" w:type="dxa"/>
          <w:right w:w="108" w:type="dxa"/>
        </w:tblCellMar>
      </w:tblPr>
      <w:tblGrid>
        <w:gridCol w:w="826"/>
        <w:gridCol w:w="3600"/>
        <w:gridCol w:w="1260"/>
        <w:gridCol w:w="3600"/>
      </w:tblGrid>
      <w:tr>
        <w:tblPrEx>
          <w:tblCellMar>
            <w:top w:w="0" w:type="dxa"/>
            <w:left w:w="108" w:type="dxa"/>
            <w:bottom w:w="0" w:type="dxa"/>
            <w:right w:w="108" w:type="dxa"/>
          </w:tblCellMar>
        </w:tblPrEx>
        <w:trPr>
          <w:trHeight w:val="450" w:hRule="atLeast"/>
        </w:trPr>
        <w:tc>
          <w:tcPr>
            <w:tcW w:w="826" w:type="dxa"/>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Times New Roman" w:hAnsi="Times New Roman" w:eastAsia="宋体" w:cs="宋体"/>
                <w:b/>
                <w:bCs/>
                <w:kern w:val="0"/>
                <w:szCs w:val="21"/>
              </w:rPr>
            </w:pPr>
            <w:r>
              <w:rPr>
                <w:rFonts w:hint="eastAsia" w:ascii="Times New Roman" w:hAnsi="宋体" w:eastAsia="宋体" w:cs="宋体"/>
                <w:b/>
                <w:bCs/>
                <w:kern w:val="0"/>
                <w:szCs w:val="21"/>
              </w:rPr>
              <w:t>时间</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center"/>
              <w:rPr>
                <w:rFonts w:ascii="Times New Roman" w:hAnsi="Times New Roman" w:eastAsia="宋体" w:cs="宋体"/>
                <w:b/>
                <w:bCs/>
                <w:kern w:val="0"/>
                <w:szCs w:val="21"/>
              </w:rPr>
            </w:pPr>
            <w:r>
              <w:rPr>
                <w:rFonts w:hint="eastAsia" w:ascii="Times New Roman" w:hAnsi="宋体" w:eastAsia="宋体" w:cs="宋体"/>
                <w:b/>
                <w:bCs/>
                <w:kern w:val="0"/>
                <w:szCs w:val="21"/>
              </w:rPr>
              <w:t>工作内容</w:t>
            </w:r>
          </w:p>
        </w:tc>
        <w:tc>
          <w:tcPr>
            <w:tcW w:w="1260" w:type="dxa"/>
            <w:tcBorders>
              <w:top w:val="single" w:color="auto" w:sz="8" w:space="0"/>
              <w:left w:val="nil"/>
              <w:bottom w:val="single" w:color="auto" w:sz="8" w:space="0"/>
              <w:right w:val="single" w:color="auto" w:sz="8" w:space="0"/>
            </w:tcBorders>
            <w:noWrap/>
            <w:vAlign w:val="center"/>
          </w:tcPr>
          <w:p>
            <w:pPr>
              <w:widowControl/>
              <w:spacing w:line="240" w:lineRule="exact"/>
              <w:jc w:val="center"/>
              <w:rPr>
                <w:rFonts w:ascii="Times New Roman" w:hAnsi="Times New Roman" w:eastAsia="宋体" w:cs="宋体"/>
                <w:b/>
                <w:bCs/>
                <w:kern w:val="0"/>
                <w:szCs w:val="21"/>
              </w:rPr>
            </w:pPr>
            <w:r>
              <w:rPr>
                <w:rFonts w:hint="eastAsia" w:ascii="Times New Roman" w:hAnsi="宋体" w:eastAsia="宋体" w:cs="宋体"/>
                <w:b/>
                <w:bCs/>
                <w:kern w:val="0"/>
                <w:szCs w:val="21"/>
              </w:rPr>
              <w:t>时间</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center"/>
              <w:rPr>
                <w:rFonts w:ascii="Times New Roman" w:hAnsi="Times New Roman" w:eastAsia="宋体" w:cs="宋体"/>
                <w:b/>
                <w:bCs/>
                <w:kern w:val="0"/>
                <w:szCs w:val="21"/>
              </w:rPr>
            </w:pPr>
            <w:r>
              <w:rPr>
                <w:rFonts w:hint="eastAsia" w:ascii="Times New Roman" w:hAnsi="宋体" w:eastAsia="宋体" w:cs="宋体"/>
                <w:b/>
                <w:bCs/>
                <w:kern w:val="0"/>
                <w:szCs w:val="21"/>
              </w:rPr>
              <w:t>工作内容</w:t>
            </w:r>
          </w:p>
        </w:tc>
      </w:tr>
      <w:tr>
        <w:tblPrEx>
          <w:tblCellMar>
            <w:top w:w="0" w:type="dxa"/>
            <w:left w:w="108" w:type="dxa"/>
            <w:bottom w:w="0" w:type="dxa"/>
            <w:right w:w="108" w:type="dxa"/>
          </w:tblCellMar>
        </w:tblPrEx>
        <w:trPr>
          <w:trHeight w:val="450" w:hRule="atLeast"/>
        </w:trPr>
        <w:tc>
          <w:tcPr>
            <w:tcW w:w="826" w:type="dxa"/>
            <w:vMerge w:val="restart"/>
            <w:tcBorders>
              <w:top w:val="single" w:color="auto" w:sz="8" w:space="0"/>
              <w:left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6:30               ~                7:30</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床边交接班、了解病人情况</w:t>
            </w:r>
          </w:p>
        </w:tc>
        <w:tc>
          <w:tcPr>
            <w:tcW w:w="1260" w:type="dxa"/>
            <w:vMerge w:val="restart"/>
            <w:tcBorders>
              <w:top w:val="single" w:color="auto" w:sz="8" w:space="0"/>
              <w:left w:val="single" w:color="auto" w:sz="8" w:space="0"/>
              <w:bottom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14:00</w:t>
            </w:r>
          </w:p>
          <w:p>
            <w:pPr>
              <w:spacing w:line="240" w:lineRule="exact"/>
              <w:ind w:firstLine="210" w:firstLineChars="100"/>
              <w:jc w:val="center"/>
              <w:rPr>
                <w:rFonts w:ascii="Times New Roman" w:hAnsi="Times New Roman" w:eastAsia="宋体" w:cs="Times New Roman"/>
                <w:kern w:val="0"/>
                <w:szCs w:val="21"/>
              </w:rPr>
            </w:pPr>
            <w:r>
              <w:rPr>
                <w:rFonts w:ascii="Times New Roman" w:hAnsi="Times New Roman" w:eastAsia="宋体" w:cs="Times New Roman"/>
                <w:kern w:val="0"/>
                <w:szCs w:val="21"/>
              </w:rPr>
              <w:t>~       16:30</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协助病人治疗、护理</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打开水</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开窗通风</w:t>
            </w:r>
            <w:r>
              <w:rPr>
                <w:rFonts w:ascii="Times New Roman" w:hAnsi="Times New Roman" w:eastAsia="宋体" w:cs="Times New Roman"/>
                <w:kern w:val="0"/>
                <w:szCs w:val="21"/>
              </w:rPr>
              <w:t>15~30</w:t>
            </w:r>
            <w:r>
              <w:rPr>
                <w:rFonts w:hint="eastAsia" w:ascii="Times New Roman" w:hAnsi="宋体" w:eastAsia="宋体" w:cs="宋体"/>
                <w:kern w:val="0"/>
                <w:szCs w:val="21"/>
              </w:rPr>
              <w:t>分钟</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协助病人漱口、刷牙、洗脸、洗手、梳头</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协助病人擦身、洗脚、沐浴、更衣（注意保护病人隐私和保暖</w:t>
            </w:r>
            <w:r>
              <w:rPr>
                <w:rFonts w:ascii="Times New Roman" w:hAnsi="宋体" w:eastAsia="宋体" w:cs="宋体"/>
                <w:kern w:val="0"/>
                <w:szCs w:val="21"/>
              </w:rPr>
              <w:t>）</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协助病人大小便（必要时擦身换衣、协助清洗会阴））</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整理床单元</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开窗通风</w:t>
            </w:r>
            <w:r>
              <w:rPr>
                <w:rFonts w:ascii="Times New Roman" w:hAnsi="Times New Roman" w:eastAsia="宋体" w:cs="宋体"/>
                <w:kern w:val="0"/>
                <w:szCs w:val="21"/>
              </w:rPr>
              <w:t>15</w:t>
            </w:r>
            <w:r>
              <w:rPr>
                <w:rFonts w:ascii="Times New Roman" w:hAnsi="Times New Roman" w:eastAsia="宋体" w:cs="Times New Roman"/>
                <w:kern w:val="0"/>
                <w:szCs w:val="21"/>
              </w:rPr>
              <w:t>~</w:t>
            </w:r>
            <w:r>
              <w:rPr>
                <w:rFonts w:ascii="Times New Roman" w:hAnsi="Times New Roman" w:eastAsia="宋体" w:cs="宋体"/>
                <w:kern w:val="0"/>
                <w:szCs w:val="21"/>
              </w:rPr>
              <w:t>30</w:t>
            </w:r>
            <w:r>
              <w:rPr>
                <w:rFonts w:hint="eastAsia" w:ascii="Times New Roman" w:hAnsi="宋体" w:eastAsia="宋体" w:cs="宋体"/>
                <w:kern w:val="0"/>
                <w:szCs w:val="21"/>
              </w:rPr>
              <w:t>分钟</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及时协助病人大小便</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准备餐具打饭</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定时巡视解决病人所需</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协助病人进餐</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发现异常及时联系护士</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协助整理、清洗餐具</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r>
      <w:tr>
        <w:tblPrEx>
          <w:tblCellMar>
            <w:top w:w="0" w:type="dxa"/>
            <w:left w:w="108" w:type="dxa"/>
            <w:bottom w:w="0" w:type="dxa"/>
            <w:right w:w="108" w:type="dxa"/>
          </w:tblCellMar>
        </w:tblPrEx>
        <w:trPr>
          <w:trHeight w:val="450" w:hRule="atLeast"/>
        </w:trPr>
        <w:tc>
          <w:tcPr>
            <w:tcW w:w="826" w:type="dxa"/>
            <w:vMerge w:val="restart"/>
            <w:tcBorders>
              <w:top w:val="single" w:color="auto" w:sz="8" w:space="0"/>
              <w:left w:val="single" w:color="auto" w:sz="8" w:space="0"/>
              <w:bottom w:val="single" w:color="auto" w:sz="4"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7:30         ~         8:00</w:t>
            </w:r>
          </w:p>
        </w:tc>
        <w:tc>
          <w:tcPr>
            <w:tcW w:w="3600" w:type="dxa"/>
            <w:tcBorders>
              <w:top w:val="single" w:color="auto" w:sz="8" w:space="0"/>
              <w:left w:val="nil"/>
              <w:bottom w:val="single" w:color="auto" w:sz="4"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协助病人服药</w:t>
            </w:r>
          </w:p>
        </w:tc>
        <w:tc>
          <w:tcPr>
            <w:tcW w:w="1260" w:type="dxa"/>
            <w:vMerge w:val="restart"/>
            <w:tcBorders>
              <w:top w:val="single" w:color="auto" w:sz="8" w:space="0"/>
              <w:left w:val="single" w:color="auto" w:sz="8" w:space="0"/>
              <w:bottom w:val="single" w:color="auto" w:sz="4"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16:30       ~       18:00</w:t>
            </w:r>
          </w:p>
        </w:tc>
        <w:tc>
          <w:tcPr>
            <w:tcW w:w="3600" w:type="dxa"/>
            <w:tcBorders>
              <w:top w:val="single" w:color="auto" w:sz="8" w:space="0"/>
              <w:left w:val="nil"/>
              <w:bottom w:val="single" w:color="auto" w:sz="4"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准备餐具打饭</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4"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4"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Times New Roman"/>
                <w:kern w:val="0"/>
                <w:szCs w:val="21"/>
              </w:rPr>
              <w:t>床单元及房间环境整理</w:t>
            </w:r>
          </w:p>
        </w:tc>
        <w:tc>
          <w:tcPr>
            <w:tcW w:w="1260" w:type="dxa"/>
            <w:vMerge w:val="continue"/>
            <w:tcBorders>
              <w:top w:val="single" w:color="auto" w:sz="4" w:space="0"/>
              <w:left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p>
        </w:tc>
        <w:tc>
          <w:tcPr>
            <w:tcW w:w="3600" w:type="dxa"/>
            <w:tcBorders>
              <w:top w:val="single" w:color="auto" w:sz="4"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协助病人洗手</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协助护士做晨间护理</w:t>
            </w:r>
          </w:p>
        </w:tc>
        <w:tc>
          <w:tcPr>
            <w:tcW w:w="1260" w:type="dxa"/>
            <w:vMerge w:val="continue"/>
            <w:tcBorders>
              <w:left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协助病人进餐</w:t>
            </w:r>
          </w:p>
        </w:tc>
      </w:tr>
      <w:tr>
        <w:tblPrEx>
          <w:tblCellMar>
            <w:top w:w="0" w:type="dxa"/>
            <w:left w:w="108" w:type="dxa"/>
            <w:bottom w:w="0" w:type="dxa"/>
            <w:right w:w="108" w:type="dxa"/>
          </w:tblCellMar>
        </w:tblPrEx>
        <w:trPr>
          <w:trHeight w:val="450" w:hRule="atLeast"/>
        </w:trPr>
        <w:tc>
          <w:tcPr>
            <w:tcW w:w="826" w:type="dxa"/>
            <w:vMerge w:val="restart"/>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8:00         ~       10:30</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参于护士床边交接病人</w:t>
            </w:r>
          </w:p>
        </w:tc>
        <w:tc>
          <w:tcPr>
            <w:tcW w:w="1260" w:type="dxa"/>
            <w:vMerge w:val="continue"/>
            <w:tcBorders>
              <w:left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协助整理、清洗餐具</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安抚病人卧床，协助查房治疗</w:t>
            </w:r>
          </w:p>
        </w:tc>
        <w:tc>
          <w:tcPr>
            <w:tcW w:w="1260" w:type="dxa"/>
            <w:vMerge w:val="continue"/>
            <w:tcBorders>
              <w:left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整理病房准备交接班</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及时协助病人大小便</w:t>
            </w:r>
          </w:p>
        </w:tc>
        <w:tc>
          <w:tcPr>
            <w:tcW w:w="1260" w:type="dxa"/>
            <w:vMerge w:val="continue"/>
            <w:tcBorders>
              <w:left w:val="single" w:color="auto" w:sz="8" w:space="0"/>
              <w:right w:val="single" w:color="auto" w:sz="8" w:space="0"/>
            </w:tcBorders>
            <w:noWrap/>
            <w:vAlign w:val="center"/>
          </w:tcPr>
          <w:p>
            <w:pPr>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参于护士床边交接病人</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保持病房整洁</w:t>
            </w:r>
          </w:p>
        </w:tc>
        <w:tc>
          <w:tcPr>
            <w:tcW w:w="1260" w:type="dxa"/>
            <w:vMerge w:val="continue"/>
            <w:tcBorders>
              <w:left w:val="single" w:color="auto" w:sz="8" w:space="0"/>
              <w:bottom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协助病人服药</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定时巡视解决病人所需</w:t>
            </w:r>
          </w:p>
        </w:tc>
        <w:tc>
          <w:tcPr>
            <w:tcW w:w="1260" w:type="dxa"/>
            <w:vMerge w:val="restart"/>
            <w:tcBorders>
              <w:top w:val="single" w:color="auto" w:sz="8" w:space="0"/>
              <w:left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18</w:t>
            </w:r>
            <w:r>
              <w:rPr>
                <w:rFonts w:ascii="Times New Roman" w:hAnsi="Times New Roman" w:eastAsia="宋体" w:cs="Times New Roman"/>
                <w:kern w:val="0"/>
                <w:szCs w:val="21"/>
              </w:rPr>
              <w:t xml:space="preserve">:00       ~       </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协助病人大小便（必要时协助清洗会阴）</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发现异常及时联系护士</w:t>
            </w:r>
          </w:p>
        </w:tc>
        <w:tc>
          <w:tcPr>
            <w:tcW w:w="1260"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协助病人漱口、刷牙、洗脸、洗手准备休息</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c>
          <w:tcPr>
            <w:tcW w:w="1260"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安置好床旁护栏，注意安全</w:t>
            </w:r>
          </w:p>
        </w:tc>
      </w:tr>
      <w:tr>
        <w:tblPrEx>
          <w:tblCellMar>
            <w:top w:w="0" w:type="dxa"/>
            <w:left w:w="108" w:type="dxa"/>
            <w:bottom w:w="0" w:type="dxa"/>
            <w:right w:w="108" w:type="dxa"/>
          </w:tblCellMar>
        </w:tblPrEx>
        <w:trPr>
          <w:trHeight w:val="450" w:hRule="atLeast"/>
        </w:trPr>
        <w:tc>
          <w:tcPr>
            <w:tcW w:w="826"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c>
          <w:tcPr>
            <w:tcW w:w="1260" w:type="dxa"/>
            <w:vMerge w:val="continue"/>
            <w:tcBorders>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保持病房安静</w:t>
            </w:r>
          </w:p>
        </w:tc>
      </w:tr>
      <w:tr>
        <w:tblPrEx>
          <w:tblCellMar>
            <w:top w:w="0" w:type="dxa"/>
            <w:left w:w="108" w:type="dxa"/>
            <w:bottom w:w="0" w:type="dxa"/>
            <w:right w:w="108" w:type="dxa"/>
          </w:tblCellMar>
        </w:tblPrEx>
        <w:trPr>
          <w:trHeight w:val="450" w:hRule="atLeast"/>
        </w:trPr>
        <w:tc>
          <w:tcPr>
            <w:tcW w:w="826" w:type="dxa"/>
            <w:vMerge w:val="restart"/>
            <w:tcBorders>
              <w:top w:val="single" w:color="auto" w:sz="8" w:space="0"/>
              <w:left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10:30       ~       14:00</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准备餐具打饭</w:t>
            </w:r>
          </w:p>
        </w:tc>
        <w:tc>
          <w:tcPr>
            <w:tcW w:w="1260" w:type="dxa"/>
            <w:vMerge w:val="restart"/>
            <w:tcBorders>
              <w:top w:val="single" w:color="auto" w:sz="8" w:space="0"/>
              <w:left w:val="single" w:color="auto" w:sz="8" w:space="0"/>
              <w:right w:val="single" w:color="auto" w:sz="8" w:space="0"/>
            </w:tcBorders>
            <w:noWrap/>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w:t>
            </w:r>
            <w:r>
              <w:rPr>
                <w:rFonts w:ascii="Times New Roman" w:hAnsi="Times New Roman" w:eastAsia="宋体" w:cs="Times New Roman"/>
                <w:kern w:val="0"/>
                <w:szCs w:val="21"/>
              </w:rPr>
              <w:t xml:space="preserve">:00       ~       </w:t>
            </w:r>
            <w:r>
              <w:rPr>
                <w:rFonts w:hint="eastAsia" w:ascii="Times New Roman" w:hAnsi="Times New Roman" w:eastAsia="宋体" w:cs="Times New Roman"/>
                <w:kern w:val="0"/>
                <w:szCs w:val="21"/>
              </w:rPr>
              <w:t>06</w:t>
            </w:r>
            <w:r>
              <w:rPr>
                <w:rFonts w:ascii="Times New Roman" w:hAnsi="Times New Roman" w:eastAsia="宋体" w:cs="Times New Roman"/>
                <w:kern w:val="0"/>
                <w:szCs w:val="21"/>
              </w:rPr>
              <w:t>:00</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保持病人合适体位，协助入睡</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协助病人洗手</w:t>
            </w:r>
          </w:p>
        </w:tc>
        <w:tc>
          <w:tcPr>
            <w:tcW w:w="1260"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及时协助病人大小便</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协助整理、清洗病人餐具</w:t>
            </w:r>
          </w:p>
        </w:tc>
        <w:tc>
          <w:tcPr>
            <w:tcW w:w="1260"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定时巡视解决病人所需</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协助病人漱口服药</w:t>
            </w:r>
          </w:p>
        </w:tc>
        <w:tc>
          <w:tcPr>
            <w:tcW w:w="1260"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发现异常及时联系护士</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安置病人午休</w:t>
            </w:r>
          </w:p>
        </w:tc>
        <w:tc>
          <w:tcPr>
            <w:tcW w:w="1260" w:type="dxa"/>
            <w:vMerge w:val="continue"/>
            <w:tcBorders>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安置好床旁床栏，注意安全</w:t>
            </w:r>
          </w:p>
        </w:tc>
        <w:tc>
          <w:tcPr>
            <w:tcW w:w="1260" w:type="dxa"/>
            <w:vMerge w:val="restart"/>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Times New Roman" w:hAnsi="Times New Roman" w:eastAsia="宋体" w:cs="宋体"/>
                <w:kern w:val="0"/>
                <w:szCs w:val="21"/>
              </w:rPr>
            </w:pPr>
            <w:r>
              <w:rPr>
                <w:rFonts w:hint="eastAsia" w:ascii="Times New Roman" w:hAnsi="宋体" w:eastAsia="宋体" w:cs="宋体"/>
                <w:kern w:val="0"/>
                <w:szCs w:val="21"/>
              </w:rPr>
              <w:t>每周至少一次（按需或基础护理日）</w:t>
            </w: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修剪手指甲</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巡视病房，发现异常时及时汇报</w:t>
            </w: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修剪脚趾甲</w:t>
            </w:r>
          </w:p>
        </w:tc>
      </w:tr>
      <w:tr>
        <w:tblPrEx>
          <w:tblCellMar>
            <w:top w:w="0" w:type="dxa"/>
            <w:left w:w="108" w:type="dxa"/>
            <w:bottom w:w="0" w:type="dxa"/>
            <w:right w:w="108" w:type="dxa"/>
          </w:tblCellMar>
        </w:tblPrEx>
        <w:trPr>
          <w:trHeight w:val="450" w:hRule="atLeast"/>
        </w:trPr>
        <w:tc>
          <w:tcPr>
            <w:tcW w:w="826" w:type="dxa"/>
            <w:vMerge w:val="continue"/>
            <w:tcBorders>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Times New Roman"/>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c>
          <w:tcPr>
            <w:tcW w:w="1260" w:type="dxa"/>
            <w:vMerge w:val="continue"/>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p>
        </w:tc>
        <w:tc>
          <w:tcPr>
            <w:tcW w:w="3600" w:type="dxa"/>
            <w:tcBorders>
              <w:top w:val="single" w:color="auto" w:sz="8" w:space="0"/>
              <w:left w:val="nil"/>
              <w:bottom w:val="single" w:color="auto" w:sz="8" w:space="0"/>
              <w:right w:val="single" w:color="auto" w:sz="8" w:space="0"/>
            </w:tcBorders>
            <w:noWrap/>
            <w:vAlign w:val="center"/>
          </w:tcPr>
          <w:p>
            <w:pPr>
              <w:widowControl/>
              <w:spacing w:line="240" w:lineRule="exact"/>
              <w:jc w:val="left"/>
              <w:rPr>
                <w:rFonts w:ascii="Times New Roman" w:hAnsi="Times New Roman" w:eastAsia="宋体" w:cs="宋体"/>
                <w:kern w:val="0"/>
                <w:szCs w:val="21"/>
              </w:rPr>
            </w:pPr>
            <w:r>
              <w:rPr>
                <w:rFonts w:hint="eastAsia" w:ascii="Times New Roman" w:hAnsi="宋体" w:eastAsia="宋体" w:cs="宋体"/>
                <w:kern w:val="0"/>
                <w:szCs w:val="21"/>
              </w:rPr>
              <w:t>洗头</w:t>
            </w:r>
          </w:p>
        </w:tc>
      </w:tr>
    </w:tbl>
    <w:p>
      <w:pPr>
        <w:pStyle w:val="7"/>
      </w:pP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六、服务期限</w:t>
      </w:r>
    </w:p>
    <w:p>
      <w:pPr>
        <w:spacing w:line="360" w:lineRule="auto"/>
        <w:ind w:firstLine="480" w:firstLineChars="200"/>
        <w:textAlignment w:val="baseline"/>
        <w:rPr>
          <w:rFonts w:ascii="Times New Roman" w:hAnsi="Times New Roman" w:eastAsia="宋体" w:cs="宋体"/>
          <w:color w:val="000000"/>
          <w:sz w:val="24"/>
        </w:rPr>
      </w:pPr>
      <w:r>
        <w:rPr>
          <w:rFonts w:hint="eastAsia" w:ascii="Times New Roman" w:hAnsi="Times New Roman" w:eastAsia="宋体" w:cs="宋体"/>
          <w:color w:val="000000"/>
          <w:sz w:val="24"/>
        </w:rPr>
        <w:t>服务时间为3年，合同一年一签（每年经考核合格后可续签下一年度合同）。</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七、招标报价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pPr>
        <w:spacing w:line="360" w:lineRule="auto"/>
        <w:ind w:firstLine="466" w:firstLineChars="200"/>
        <w:textAlignment w:val="baseline"/>
        <w:rPr>
          <w:rFonts w:ascii="宋体" w:hAnsi="宋体" w:eastAsia="宋体" w:cs="宋体"/>
          <w:b/>
          <w:spacing w:val="-4"/>
          <w:kern w:val="0"/>
          <w:sz w:val="24"/>
          <w:szCs w:val="24"/>
        </w:rPr>
      </w:pPr>
      <w:r>
        <w:rPr>
          <w:rFonts w:hint="eastAsia" w:ascii="宋体" w:hAnsi="宋体" w:eastAsia="宋体" w:cs="宋体"/>
          <w:b/>
          <w:spacing w:val="-4"/>
          <w:kern w:val="0"/>
          <w:sz w:val="24"/>
          <w:szCs w:val="24"/>
        </w:rPr>
        <w:t>八、结算方式</w:t>
      </w:r>
    </w:p>
    <w:p>
      <w:pPr>
        <w:spacing w:line="440" w:lineRule="exact"/>
        <w:ind w:firstLine="464" w:firstLineChars="200"/>
        <w:rPr>
          <w:rFonts w:ascii="宋体" w:hAnsi="宋体" w:eastAsia="宋体" w:cs="宋体"/>
          <w:spacing w:val="-4"/>
          <w:kern w:val="0"/>
          <w:sz w:val="24"/>
          <w:szCs w:val="24"/>
        </w:rPr>
      </w:pPr>
      <w:r>
        <w:rPr>
          <w:rFonts w:hint="eastAsia" w:ascii="宋体" w:hAnsi="宋体" w:eastAsia="宋体" w:cs="宋体"/>
          <w:spacing w:val="-4"/>
          <w:kern w:val="0"/>
          <w:sz w:val="24"/>
          <w:szCs w:val="24"/>
        </w:rPr>
        <w:t>1、中标单位向院方交纳的病区管理费用，由院方开具正规票据，按月结算应付病区管理费用。</w:t>
      </w:r>
    </w:p>
    <w:p>
      <w:pPr>
        <w:pStyle w:val="30"/>
        <w:shd w:val="clear" w:color="auto" w:fill="FFFFFF"/>
        <w:spacing w:before="0" w:beforeAutospacing="0" w:after="0" w:afterAutospacing="0" w:line="360" w:lineRule="auto"/>
        <w:ind w:firstLine="480" w:firstLineChars="200"/>
        <w:jc w:val="both"/>
        <w:textAlignment w:val="baseline"/>
        <w:rPr>
          <w:rFonts w:ascii="Times New Roman" w:hAnsi="Times New Roman"/>
          <w:color w:val="000000"/>
        </w:rPr>
        <w:sectPr>
          <w:pgSz w:w="11906" w:h="16838"/>
          <w:pgMar w:top="1440" w:right="1080" w:bottom="1440" w:left="1080" w:header="851" w:footer="992" w:gutter="0"/>
          <w:cols w:space="425" w:num="1"/>
          <w:docGrid w:type="lines" w:linePitch="312" w:charSpace="0"/>
        </w:sectPr>
      </w:pPr>
      <w:r>
        <w:rPr>
          <w:rFonts w:hint="eastAsia" w:ascii="Times New Roman" w:hAnsi="Times New Roman"/>
          <w:color w:val="000000"/>
        </w:rPr>
        <w:t>2、中标单位需向采购人交纳2万元履约保证金，合同正常终止时甲方扣除处罚费用外予以无息返还，如乙方出现违约现象保证金不予归还。</w:t>
      </w: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第四章</w:t>
      </w:r>
      <w:bookmarkStart w:id="3" w:name="_Toc43217893"/>
      <w:bookmarkStart w:id="4" w:name="_Toc182848996"/>
      <w:bookmarkStart w:id="5" w:name="_Toc38121794"/>
      <w:bookmarkStart w:id="6" w:name="_Toc37322565"/>
      <w:bookmarkStart w:id="7" w:name="_Toc85627670"/>
      <w:r>
        <w:rPr>
          <w:rFonts w:hint="eastAsia" w:ascii="Times New Roman" w:hAnsi="Times New Roman" w:eastAsia="宋体" w:cs="宋体"/>
          <w:w w:val="80"/>
          <w:szCs w:val="44"/>
        </w:rPr>
        <w:t xml:space="preserve"> 评审方法和程序</w:t>
      </w:r>
      <w:bookmarkEnd w:id="3"/>
      <w:bookmarkEnd w:id="4"/>
      <w:bookmarkEnd w:id="5"/>
      <w:bookmarkEnd w:id="6"/>
      <w:bookmarkEnd w:id="7"/>
    </w:p>
    <w:p>
      <w:pPr>
        <w:pStyle w:val="13"/>
        <w:widowControl/>
        <w:shd w:val="clear" w:color="auto" w:fill="FFFFFF"/>
        <w:spacing w:before="0" w:beforeAutospacing="0" w:after="0" w:afterAutospacing="0" w:line="360" w:lineRule="auto"/>
        <w:textAlignment w:val="baseline"/>
        <w:rPr>
          <w:rFonts w:ascii="Times New Roman" w:hAnsi="Times New Roman" w:cs="宋体"/>
          <w:b/>
          <w:bCs/>
          <w:szCs w:val="24"/>
          <w:shd w:val="clear" w:color="auto" w:fill="FFFFFF"/>
        </w:rPr>
      </w:pPr>
      <w:bookmarkStart w:id="8" w:name="_Toc363573857"/>
      <w:bookmarkEnd w:id="8"/>
      <w:r>
        <w:rPr>
          <w:rFonts w:hint="eastAsia" w:ascii="Times New Roman" w:hAnsi="Times New Roman" w:cs="宋体"/>
          <w:b/>
          <w:bCs/>
          <w:szCs w:val="24"/>
          <w:shd w:val="clear" w:color="auto" w:fill="FFFFFF"/>
        </w:rPr>
        <w:t>一、代理机构组织招标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本次招标依据《中华人民共和国政府采购法》、《政府采购招标采购方式管理暂行办法》及有关法规成立评标小组。</w:t>
      </w:r>
    </w:p>
    <w:p>
      <w:pPr>
        <w:pStyle w:val="13"/>
        <w:widowControl/>
        <w:shd w:val="clear" w:color="auto" w:fill="FFFFFF"/>
        <w:spacing w:before="0" w:beforeAutospacing="0" w:after="0" w:afterAutospacing="0" w:line="360" w:lineRule="auto"/>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二、招标的原则及方法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1、评标小组依据《中华人民共和国政府采购法》、《政府采购招标采购方式管理暂行办法》以及有关政府采购的相关法规，遵循“公开、公平、公正、择优、信用”的原则进行招标评审。</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2、评标小组将按照招标文件的规定，独立对每个进入打分程序的有效投标供应商的响应文件的技术部分以打分的形式进行评审和评价。技术分取算术平均值（计算结果均四舍五入保留两位小数）。</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3、评标小组根据招标文件规定的程序、评定成交的标准等事项与实质性响应招标文件要求的供应商进行招标。未实质性响应招标文件要求的响应文件按无效处理，评标小组应当告知提交响应文件的供应商。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4、对于在招标顺利开始后至最终报价前，根据招标情况退出招标的供应商，须以书面形式说明退出招标的原因，经评标小组同意可以退出招标。</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5、</w:t>
      </w:r>
      <w:r>
        <w:rPr>
          <w:rFonts w:hint="eastAsia" w:ascii="Times New Roman" w:hAnsi="Times New Roman" w:eastAsia="宋体"/>
          <w:sz w:val="24"/>
          <w:szCs w:val="24"/>
        </w:rPr>
        <w:t>单位负责人为同一人或者存在直接控股、管理关系的不同供应商，都不得在同一采购项目相同标段中同时参加招标，一经发现，将视同围标处理。</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三、评审步骤</w:t>
      </w:r>
    </w:p>
    <w:p>
      <w:pPr>
        <w:spacing w:line="360" w:lineRule="auto"/>
        <w:ind w:firstLine="482" w:firstLineChars="200"/>
        <w:textAlignment w:val="baseline"/>
        <w:rPr>
          <w:rFonts w:ascii="Times New Roman" w:hAnsi="Times New Roman" w:eastAsia="宋体" w:cs="宋体"/>
          <w:b/>
          <w:bCs/>
          <w:sz w:val="24"/>
          <w:szCs w:val="24"/>
          <w:lang w:val="zh-CN"/>
        </w:rPr>
      </w:pPr>
      <w:r>
        <w:rPr>
          <w:rFonts w:hint="eastAsia" w:ascii="Times New Roman" w:hAnsi="Times New Roman" w:eastAsia="宋体" w:cs="宋体"/>
          <w:b/>
          <w:bCs/>
          <w:sz w:val="24"/>
          <w:szCs w:val="24"/>
          <w:lang w:val="zh-CN"/>
        </w:rPr>
        <w:t>本次资格审查采用资格后审，各</w:t>
      </w:r>
      <w:r>
        <w:rPr>
          <w:rFonts w:hint="eastAsia" w:ascii="Times New Roman" w:hAnsi="Times New Roman" w:eastAsia="宋体" w:cs="宋体"/>
          <w:b/>
          <w:bCs/>
          <w:sz w:val="24"/>
          <w:szCs w:val="24"/>
        </w:rPr>
        <w:t>招标响应供应商</w:t>
      </w:r>
      <w:r>
        <w:rPr>
          <w:rFonts w:hint="eastAsia" w:ascii="Times New Roman" w:hAnsi="Times New Roman" w:eastAsia="宋体" w:cs="宋体"/>
          <w:b/>
          <w:bCs/>
          <w:sz w:val="24"/>
          <w:szCs w:val="24"/>
          <w:lang w:val="zh-CN"/>
        </w:rPr>
        <w:t>资格审查通过后方能进入技术标的开标</w:t>
      </w:r>
      <w:r>
        <w:rPr>
          <w:rFonts w:hint="eastAsia" w:ascii="Times New Roman" w:hAnsi="Times New Roman" w:eastAsia="宋体" w:cs="宋体"/>
          <w:b/>
          <w:bCs/>
          <w:sz w:val="24"/>
          <w:szCs w:val="24"/>
        </w:rPr>
        <w:t>评审</w:t>
      </w:r>
      <w:r>
        <w:rPr>
          <w:rFonts w:hint="eastAsia" w:ascii="Times New Roman" w:hAnsi="Times New Roman" w:eastAsia="宋体" w:cs="宋体"/>
          <w:b/>
          <w:bCs/>
          <w:sz w:val="24"/>
          <w:szCs w:val="24"/>
          <w:lang w:val="zh-CN"/>
        </w:rPr>
        <w:t>，技术标</w:t>
      </w:r>
      <w:r>
        <w:rPr>
          <w:rFonts w:hint="eastAsia" w:ascii="Times New Roman" w:hAnsi="Times New Roman" w:eastAsia="宋体" w:cs="宋体"/>
          <w:b/>
          <w:bCs/>
          <w:sz w:val="24"/>
          <w:szCs w:val="24"/>
        </w:rPr>
        <w:t>评审</w:t>
      </w:r>
      <w:r>
        <w:rPr>
          <w:rFonts w:hint="eastAsia" w:ascii="Times New Roman" w:hAnsi="Times New Roman" w:eastAsia="宋体" w:cs="宋体"/>
          <w:b/>
          <w:bCs/>
          <w:sz w:val="24"/>
          <w:szCs w:val="24"/>
          <w:lang w:val="zh-CN"/>
        </w:rPr>
        <w:t>打分结束后再</w:t>
      </w:r>
      <w:r>
        <w:rPr>
          <w:rFonts w:hint="eastAsia" w:ascii="Times New Roman" w:hAnsi="Times New Roman" w:eastAsia="宋体" w:cs="宋体"/>
          <w:b/>
          <w:bCs/>
          <w:sz w:val="24"/>
          <w:szCs w:val="24"/>
        </w:rPr>
        <w:t>进入</w:t>
      </w:r>
      <w:r>
        <w:rPr>
          <w:rFonts w:hint="eastAsia" w:ascii="Times New Roman" w:hAnsi="Times New Roman" w:eastAsia="宋体" w:cs="宋体"/>
          <w:b/>
          <w:bCs/>
          <w:sz w:val="24"/>
          <w:szCs w:val="24"/>
          <w:lang w:val="zh-CN"/>
        </w:rPr>
        <w:t>商务标</w:t>
      </w:r>
      <w:r>
        <w:rPr>
          <w:rFonts w:hint="eastAsia" w:ascii="Times New Roman" w:hAnsi="Times New Roman" w:eastAsia="宋体" w:cs="宋体"/>
          <w:b/>
          <w:bCs/>
          <w:sz w:val="24"/>
          <w:szCs w:val="24"/>
        </w:rPr>
        <w:t>的开标评审</w:t>
      </w:r>
      <w:r>
        <w:rPr>
          <w:rFonts w:hint="eastAsia" w:ascii="Times New Roman" w:hAnsi="Times New Roman" w:eastAsia="宋体" w:cs="宋体"/>
          <w:b/>
          <w:bCs/>
          <w:sz w:val="24"/>
          <w:szCs w:val="24"/>
          <w:lang w:val="zh-CN"/>
        </w:rPr>
        <w:t>。</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四、招标评定结果的方法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本次招标采用</w:t>
      </w:r>
      <w:r>
        <w:rPr>
          <w:rFonts w:hint="eastAsia" w:ascii="Times New Roman" w:hAnsi="Times New Roman" w:eastAsia="宋体" w:cs="宋体"/>
          <w:b/>
          <w:sz w:val="24"/>
          <w:szCs w:val="24"/>
        </w:rPr>
        <w:t>综合评分法，</w:t>
      </w:r>
      <w:r>
        <w:rPr>
          <w:rFonts w:hint="eastAsia" w:ascii="Times New Roman" w:hAnsi="Times New Roman" w:eastAsia="宋体" w:cs="宋体"/>
          <w:sz w:val="24"/>
          <w:szCs w:val="24"/>
        </w:rPr>
        <w:t>对满足招标文件全部实质性要求的响应文件，按评审因素的量化指标进行评审，综合得分最高的供应商为成交候选供应商。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1.进入综合评分评审阶段后，评标小组成员按本招标文件载明的方法与规定，对满足招标文件全部实质性要求的招标响应文件进行评审、评价和比较。</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2.评标小组各成员独立对每个有效的招标响应文件进行评价、打分，然后汇总每个供应商每项评分因素的得分（计算结果均四舍五入保留两位小数）。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3.技术分按算术平均值计算，分值四舍五入保留两位小数。</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4.综合得分最高的推荐为本项目的成交供应商并出具评审招标报告。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5.综合得分相同的，由采购单位抽签决定成交供应商。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6.对落标的供应商不做落标原因的解释。</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五、综合评分评审因素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（一）技术招标响应评审：（技术标70分）</w:t>
      </w:r>
    </w:p>
    <w:tbl>
      <w:tblPr>
        <w:tblStyle w:val="15"/>
        <w:tblW w:w="1047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00"/>
        <w:gridCol w:w="2126"/>
        <w:gridCol w:w="850"/>
        <w:gridCol w:w="60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评分类项</w:t>
            </w: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评分项目</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分值</w:t>
            </w:r>
          </w:p>
        </w:tc>
        <w:tc>
          <w:tcPr>
            <w:tcW w:w="6094"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restart"/>
            <w:vAlign w:val="center"/>
          </w:tcPr>
          <w:p>
            <w:pPr>
              <w:spacing w:line="360" w:lineRule="auto"/>
              <w:jc w:val="center"/>
              <w:rPr>
                <w:rFonts w:ascii="Times New Roman" w:hAnsi="Times New Roman" w:eastAsia="宋体" w:cs="宋体"/>
                <w:szCs w:val="21"/>
              </w:rPr>
            </w:pPr>
            <w:r>
              <w:rPr>
                <w:rFonts w:ascii="Times New Roman" w:hAnsi="Times New Roman" w:eastAsia="宋体" w:cs="宋体"/>
                <w:szCs w:val="21"/>
              </w:rPr>
              <w:t>技术标</w:t>
            </w:r>
          </w:p>
          <w:p>
            <w:pPr>
              <w:pStyle w:val="2"/>
              <w:spacing w:line="360" w:lineRule="auto"/>
              <w:jc w:val="center"/>
              <w:rPr>
                <w:rFonts w:ascii="Times New Roman" w:hAnsi="Times New Roman"/>
              </w:rPr>
            </w:pPr>
            <w:r>
              <w:rPr>
                <w:rFonts w:ascii="Times New Roman"/>
              </w:rPr>
              <w:t>（</w:t>
            </w:r>
            <w:r>
              <w:rPr>
                <w:rFonts w:hint="eastAsia" w:ascii="Times New Roman" w:hAnsi="Times New Roman"/>
              </w:rPr>
              <w:t>70</w:t>
            </w:r>
            <w:r>
              <w:rPr>
                <w:rFonts w:hint="eastAsia" w:ascii="Times New Roman"/>
              </w:rPr>
              <w:t>分</w:t>
            </w:r>
            <w:r>
              <w:rPr>
                <w:rFonts w:ascii="Times New Roman"/>
              </w:rPr>
              <w:t>）</w:t>
            </w:r>
          </w:p>
        </w:tc>
        <w:tc>
          <w:tcPr>
            <w:tcW w:w="2126" w:type="dxa"/>
            <w:vMerge w:val="restart"/>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Times New Roman" w:hAnsiTheme="minorEastAsia"/>
                <w:szCs w:val="21"/>
              </w:rPr>
              <w:t>企业服务信用</w:t>
            </w:r>
          </w:p>
        </w:tc>
        <w:tc>
          <w:tcPr>
            <w:tcW w:w="850" w:type="dxa"/>
            <w:vMerge w:val="restart"/>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10</w:t>
            </w:r>
          </w:p>
        </w:tc>
        <w:tc>
          <w:tcPr>
            <w:tcW w:w="6094" w:type="dxa"/>
            <w:vAlign w:val="center"/>
          </w:tcPr>
          <w:p>
            <w:pPr>
              <w:widowControl/>
              <w:spacing w:line="360" w:lineRule="auto"/>
              <w:jc w:val="left"/>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szCs w:val="21"/>
              </w:rPr>
              <w:t>投标人具备有效的</w:t>
            </w:r>
            <w:r>
              <w:rPr>
                <w:rFonts w:ascii="Times New Roman" w:hAnsi="Times New Roman" w:eastAsia="宋体" w:cs="宋体"/>
                <w:color w:val="000000" w:themeColor="text1"/>
                <w:szCs w:val="21"/>
              </w:rPr>
              <w:t>ISO9001</w:t>
            </w:r>
            <w:r>
              <w:rPr>
                <w:rFonts w:ascii="Times New Roman" w:eastAsia="宋体" w:cs="宋体" w:hAnsiTheme="minorEastAsia"/>
                <w:color w:val="000000" w:themeColor="text1"/>
                <w:szCs w:val="21"/>
              </w:rPr>
              <w:t>质量管理体系认证，</w:t>
            </w:r>
            <w:r>
              <w:rPr>
                <w:rFonts w:ascii="Times New Roman" w:hAnsi="Times New Roman" w:eastAsia="宋体" w:cs="宋体"/>
                <w:color w:val="000000" w:themeColor="text1"/>
                <w:szCs w:val="21"/>
              </w:rPr>
              <w:t>ISO14001</w:t>
            </w:r>
            <w:r>
              <w:rPr>
                <w:rFonts w:ascii="Times New Roman" w:eastAsia="宋体" w:cs="宋体" w:hAnsiTheme="minorEastAsia"/>
                <w:color w:val="000000" w:themeColor="text1"/>
                <w:szCs w:val="21"/>
              </w:rPr>
              <w:t>环境管理体系认证，</w:t>
            </w:r>
            <w:r>
              <w:rPr>
                <w:rFonts w:ascii="Times New Roman" w:hAnsi="Times New Roman" w:eastAsia="宋体" w:cs="宋体"/>
                <w:color w:val="000000" w:themeColor="text1"/>
                <w:szCs w:val="21"/>
              </w:rPr>
              <w:t>ISO45001</w:t>
            </w:r>
            <w:r>
              <w:rPr>
                <w:rFonts w:ascii="Times New Roman" w:eastAsia="宋体" w:cs="宋体" w:hAnsiTheme="minorEastAsia"/>
                <w:color w:val="000000" w:themeColor="text1"/>
                <w:szCs w:val="21"/>
              </w:rPr>
              <w:t>职业健康安全管理体系认证</w:t>
            </w:r>
            <w:r>
              <w:rPr>
                <w:rFonts w:hint="eastAsia" w:ascii="Times New Roman" w:eastAsia="宋体" w:cs="宋体" w:hAnsiTheme="minorEastAsia"/>
                <w:color w:val="000000" w:themeColor="text1"/>
                <w:szCs w:val="21"/>
              </w:rPr>
              <w:t>，同时认证范围中包含病患陪护、母婴生活护理内容各得</w:t>
            </w:r>
            <w:r>
              <w:rPr>
                <w:rFonts w:ascii="Times New Roman" w:hAnsi="Times New Roman" w:eastAsia="宋体" w:cs="宋体"/>
                <w:color w:val="000000" w:themeColor="text1"/>
                <w:szCs w:val="21"/>
              </w:rPr>
              <w:t>2</w:t>
            </w:r>
            <w:r>
              <w:rPr>
                <w:rFonts w:hint="eastAsia" w:ascii="Times New Roman" w:eastAsia="宋体" w:cs="宋体" w:hAnsiTheme="minorEastAsia"/>
                <w:color w:val="000000" w:themeColor="text1"/>
                <w:szCs w:val="21"/>
              </w:rPr>
              <w:t>分，未提供不得分。</w:t>
            </w:r>
            <w:r>
              <w:rPr>
                <w:rFonts w:hint="eastAsia" w:ascii="Times New Roman" w:eastAsia="宋体" w:cs="Times New Roman" w:hAnsiTheme="minorEastAsia"/>
                <w:b/>
                <w:szCs w:val="21"/>
              </w:rPr>
              <w:t>（提供证书彩色扫描件</w:t>
            </w:r>
            <w:r>
              <w:rPr>
                <w:rFonts w:hint="eastAsia" w:ascii="Times New Roman" w:hAnsi="Times New Roman" w:eastAsia="宋体" w:cs="Times New Roman"/>
                <w:b/>
                <w:szCs w:val="21"/>
              </w:rPr>
              <w:t>)</w:t>
            </w:r>
            <w:r>
              <w:rPr>
                <w:rFonts w:hint="eastAsia" w:ascii="Times New Roman" w:eastAsia="宋体" w:cs="Times New Roman" w:hAnsiTheme="minorEastAsia"/>
                <w:b/>
                <w:szCs w:val="21"/>
              </w:rPr>
              <w:t>。</w:t>
            </w:r>
            <w:r>
              <w:rPr>
                <w:rFonts w:hint="eastAsia" w:ascii="Times New Roman" w:eastAsia="宋体" w:cs="宋体" w:hAnsiTheme="minorEastAsia"/>
                <w:color w:val="000000" w:themeColor="text1"/>
                <w:szCs w:val="21"/>
              </w:rPr>
              <w:t>（总分</w:t>
            </w:r>
            <w:r>
              <w:rPr>
                <w:rFonts w:hint="eastAsia" w:ascii="Times New Roman" w:hAnsi="Times New Roman" w:eastAsia="宋体" w:cs="宋体"/>
                <w:color w:val="000000" w:themeColor="text1"/>
                <w:szCs w:val="21"/>
              </w:rPr>
              <w:t>6</w:t>
            </w:r>
            <w:r>
              <w:rPr>
                <w:rFonts w:hint="eastAsia" w:ascii="Times New Roman" w:eastAsia="宋体" w:cs="宋体" w:hAnsiTheme="minorEastAsia"/>
                <w:color w:val="000000" w:themeColor="text1"/>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continue"/>
            <w:vAlign w:val="center"/>
          </w:tcPr>
          <w:p>
            <w:pPr>
              <w:widowControl/>
              <w:spacing w:line="360" w:lineRule="auto"/>
              <w:jc w:val="center"/>
              <w:rPr>
                <w:rFonts w:ascii="Times New Roman" w:hAnsi="Times New Roman" w:eastAsia="宋体" w:cs="宋体"/>
                <w:color w:val="000000" w:themeColor="text1"/>
                <w:szCs w:val="21"/>
              </w:rPr>
            </w:pPr>
          </w:p>
        </w:tc>
        <w:tc>
          <w:tcPr>
            <w:tcW w:w="850"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6094" w:type="dxa"/>
            <w:vAlign w:val="center"/>
          </w:tcPr>
          <w:p>
            <w:pPr>
              <w:widowControl/>
              <w:spacing w:line="360" w:lineRule="auto"/>
              <w:textAlignment w:val="center"/>
              <w:rPr>
                <w:rFonts w:ascii="Times New Roman" w:hAnsi="Times New Roman" w:eastAsia="宋体" w:cs="Times New Roman"/>
                <w:szCs w:val="21"/>
              </w:rPr>
            </w:pPr>
            <w:r>
              <w:rPr>
                <w:rFonts w:hint="eastAsia" w:ascii="Times New Roman" w:eastAsia="宋体" w:cs="Times New Roman" w:hAnsiTheme="minorEastAsia"/>
                <w:szCs w:val="21"/>
              </w:rPr>
              <w:t>投标人具有</w:t>
            </w:r>
            <w:r>
              <w:rPr>
                <w:rFonts w:hint="eastAsia" w:ascii="Times New Roman" w:hAnsi="Times New Roman" w:eastAsia="宋体" w:cs="Times New Roman"/>
                <w:szCs w:val="21"/>
              </w:rPr>
              <w:t xml:space="preserve"> AAA</w:t>
            </w:r>
            <w:r>
              <w:rPr>
                <w:rFonts w:hint="eastAsia" w:ascii="Times New Roman" w:eastAsia="宋体" w:cs="Times New Roman" w:hAnsiTheme="minorEastAsia"/>
                <w:szCs w:val="21"/>
              </w:rPr>
              <w:t>级信用等级认证的得</w:t>
            </w:r>
            <w:r>
              <w:rPr>
                <w:rFonts w:hint="eastAsia" w:ascii="Times New Roman" w:hAnsi="Times New Roman" w:eastAsia="宋体" w:cs="Times New Roman"/>
                <w:szCs w:val="21"/>
              </w:rPr>
              <w:t>2</w:t>
            </w:r>
            <w:r>
              <w:rPr>
                <w:rFonts w:hint="eastAsia" w:ascii="Times New Roman" w:eastAsia="宋体" w:cs="Times New Roman" w:hAnsiTheme="minorEastAsia"/>
                <w:szCs w:val="21"/>
              </w:rPr>
              <w:t>分，没有的不得分。</w:t>
            </w:r>
            <w:r>
              <w:rPr>
                <w:rFonts w:hint="eastAsia" w:ascii="Times New Roman" w:eastAsia="宋体" w:cs="Times New Roman" w:hAnsiTheme="minorEastAsia"/>
                <w:b/>
                <w:szCs w:val="21"/>
              </w:rPr>
              <w:t>（提供证书彩色扫描件</w:t>
            </w:r>
            <w:r>
              <w:rPr>
                <w:rFonts w:hint="eastAsia" w:ascii="Times New Roman" w:hAnsi="Times New Roman" w:eastAsia="宋体" w:cs="Times New Roman"/>
                <w:b/>
                <w:szCs w:val="21"/>
              </w:rPr>
              <w:t>)</w:t>
            </w:r>
            <w:r>
              <w:rPr>
                <w:rFonts w:hint="eastAsia" w:ascii="Times New Roman" w:eastAsia="宋体" w:cs="Times New Roman" w:hAnsiTheme="minorEastAsia"/>
                <w:b/>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continue"/>
            <w:vAlign w:val="center"/>
          </w:tcPr>
          <w:p>
            <w:pPr>
              <w:widowControl/>
              <w:spacing w:line="360" w:lineRule="auto"/>
              <w:jc w:val="center"/>
              <w:rPr>
                <w:rFonts w:ascii="Times New Roman" w:hAnsi="Times New Roman" w:eastAsia="宋体" w:cs="宋体"/>
                <w:color w:val="000000" w:themeColor="text1"/>
                <w:szCs w:val="21"/>
              </w:rPr>
            </w:pPr>
          </w:p>
        </w:tc>
        <w:tc>
          <w:tcPr>
            <w:tcW w:w="850"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6094" w:type="dxa"/>
            <w:vAlign w:val="center"/>
          </w:tcPr>
          <w:p>
            <w:pPr>
              <w:widowControl/>
              <w:spacing w:line="360" w:lineRule="auto"/>
              <w:rPr>
                <w:rFonts w:ascii="Times New Roman" w:hAnsi="Times New Roman" w:eastAsia="宋体" w:cs="Times New Roman"/>
                <w:szCs w:val="21"/>
              </w:rPr>
            </w:pPr>
            <w:r>
              <w:rPr>
                <w:rFonts w:hint="eastAsia" w:ascii="Times New Roman" w:eastAsia="宋体" w:cs="Times New Roman" w:hAnsiTheme="minorEastAsia"/>
                <w:szCs w:val="21"/>
              </w:rPr>
              <w:t>投标人具有全国优质服务公众满意单位认证证书的得</w:t>
            </w:r>
            <w:r>
              <w:rPr>
                <w:rFonts w:hint="eastAsia" w:ascii="Times New Roman" w:hAnsi="Times New Roman" w:eastAsia="宋体" w:cs="Times New Roman"/>
                <w:szCs w:val="21"/>
              </w:rPr>
              <w:t>2</w:t>
            </w:r>
            <w:r>
              <w:rPr>
                <w:rFonts w:hint="eastAsia" w:ascii="Times New Roman" w:eastAsia="宋体" w:cs="Times New Roman" w:hAnsiTheme="minorEastAsia"/>
                <w:szCs w:val="21"/>
              </w:rPr>
              <w:t>分，没有的不得分。</w:t>
            </w:r>
            <w:r>
              <w:rPr>
                <w:rFonts w:hint="eastAsia" w:ascii="Times New Roman" w:hAnsi="Times New Roman" w:eastAsia="宋体" w:cs="Times New Roman"/>
                <w:b/>
                <w:szCs w:val="21"/>
              </w:rPr>
              <w:t>(</w:t>
            </w:r>
            <w:r>
              <w:rPr>
                <w:rFonts w:hint="eastAsia" w:ascii="Times New Roman" w:eastAsia="宋体" w:cs="Times New Roman" w:hAnsiTheme="minorEastAsia"/>
                <w:b/>
                <w:szCs w:val="21"/>
              </w:rPr>
              <w:t>提供证书彩色扫描件</w:t>
            </w:r>
            <w:r>
              <w:rPr>
                <w:rFonts w:hint="eastAsia" w:ascii="Times New Roman" w:hAnsi="Times New Roman" w:eastAsia="宋体" w:cs="Times New Roman"/>
                <w:b/>
                <w:szCs w:val="21"/>
              </w:rPr>
              <w:t>)</w:t>
            </w:r>
            <w:r>
              <w:rPr>
                <w:rFonts w:hint="eastAsia" w:ascii="Times New Roman" w:eastAsia="宋体" w:cs="Times New Roman" w:hAnsiTheme="minorEastAsia"/>
                <w:b/>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restart"/>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财务体系良好</w:t>
            </w:r>
          </w:p>
        </w:tc>
        <w:tc>
          <w:tcPr>
            <w:tcW w:w="850" w:type="dxa"/>
            <w:vMerge w:val="restart"/>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5</w:t>
            </w:r>
          </w:p>
        </w:tc>
        <w:tc>
          <w:tcPr>
            <w:tcW w:w="6094" w:type="dxa"/>
            <w:vAlign w:val="center"/>
          </w:tcPr>
          <w:p>
            <w:pPr>
              <w:widowControl/>
              <w:spacing w:line="360" w:lineRule="auto"/>
              <w:jc w:val="left"/>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提供近三年（</w:t>
            </w:r>
            <w:r>
              <w:rPr>
                <w:rFonts w:ascii="Times New Roman" w:hAnsi="Times New Roman" w:eastAsia="宋体" w:cs="宋体"/>
                <w:color w:val="000000" w:themeColor="text1"/>
                <w:kern w:val="0"/>
                <w:szCs w:val="21"/>
              </w:rPr>
              <w:t>2019</w:t>
            </w:r>
            <w:r>
              <w:rPr>
                <w:rFonts w:hint="eastAsia" w:ascii="Times New Roman" w:eastAsia="宋体" w:cs="宋体" w:hAnsiTheme="minorEastAsia"/>
                <w:szCs w:val="21"/>
              </w:rPr>
              <w:t>～</w:t>
            </w:r>
            <w:r>
              <w:rPr>
                <w:rFonts w:ascii="Times New Roman" w:hAnsi="Times New Roman" w:eastAsia="宋体" w:cs="宋体"/>
                <w:szCs w:val="21"/>
              </w:rPr>
              <w:t>2021</w:t>
            </w:r>
            <w:r>
              <w:rPr>
                <w:rFonts w:ascii="Times New Roman" w:eastAsia="宋体" w:cs="宋体" w:hAnsiTheme="minorEastAsia"/>
                <w:szCs w:val="21"/>
              </w:rPr>
              <w:t>年度</w:t>
            </w:r>
            <w:r>
              <w:rPr>
                <w:rFonts w:hint="eastAsia" w:ascii="Times New Roman" w:eastAsia="宋体" w:cs="宋体" w:hAnsiTheme="minorEastAsia"/>
                <w:color w:val="000000" w:themeColor="text1"/>
                <w:kern w:val="0"/>
                <w:szCs w:val="21"/>
              </w:rPr>
              <w:t>）经中国注册会计师事务所审计的会计报表，提供每年度的得</w:t>
            </w:r>
            <w:r>
              <w:rPr>
                <w:rFonts w:ascii="Times New Roman" w:hAnsi="Times New Roman" w:eastAsia="宋体" w:cs="宋体"/>
                <w:color w:val="000000" w:themeColor="text1"/>
                <w:kern w:val="0"/>
                <w:szCs w:val="21"/>
              </w:rPr>
              <w:t>1</w:t>
            </w:r>
            <w:r>
              <w:rPr>
                <w:rFonts w:hint="eastAsia" w:ascii="Times New Roman" w:eastAsia="宋体" w:cs="宋体" w:hAnsiTheme="minorEastAsia"/>
                <w:color w:val="000000" w:themeColor="text1"/>
                <w:kern w:val="0"/>
                <w:szCs w:val="21"/>
              </w:rPr>
              <w:t>分</w:t>
            </w:r>
            <w:r>
              <w:rPr>
                <w:rFonts w:hint="eastAsia" w:ascii="Times New Roman" w:eastAsia="宋体" w:cs="宋体" w:hAnsiTheme="minorEastAsia"/>
                <w:color w:val="000000" w:themeColor="text1"/>
                <w:szCs w:val="21"/>
              </w:rPr>
              <w:t>，未提供不得分。</w:t>
            </w:r>
            <w:r>
              <w:rPr>
                <w:rFonts w:hint="eastAsia" w:ascii="Times New Roman" w:eastAsia="宋体" w:cs="宋体" w:hAnsiTheme="minorEastAsia"/>
                <w:color w:val="000000" w:themeColor="text1"/>
                <w:kern w:val="0"/>
                <w:szCs w:val="21"/>
              </w:rPr>
              <w:t>（总分</w:t>
            </w:r>
            <w:r>
              <w:rPr>
                <w:rFonts w:hint="eastAsia" w:ascii="Times New Roman" w:hAnsi="Times New Roman" w:eastAsia="宋体" w:cs="宋体"/>
                <w:color w:val="000000" w:themeColor="text1"/>
                <w:kern w:val="0"/>
                <w:szCs w:val="21"/>
              </w:rPr>
              <w:t>3</w:t>
            </w:r>
            <w:r>
              <w:rPr>
                <w:rFonts w:hint="eastAsia" w:ascii="Times New Roman" w:eastAsia="宋体" w:cs="宋体" w:hAnsiTheme="minorEastAsia"/>
                <w:color w:val="000000" w:themeColor="text1"/>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850"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6094" w:type="dxa"/>
            <w:vAlign w:val="center"/>
          </w:tcPr>
          <w:p>
            <w:pPr>
              <w:widowControl/>
              <w:spacing w:line="360" w:lineRule="auto"/>
              <w:jc w:val="left"/>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提供</w:t>
            </w:r>
            <w:r>
              <w:rPr>
                <w:rFonts w:ascii="Times New Roman" w:hAnsi="Times New Roman" w:eastAsia="宋体" w:cs="宋体"/>
                <w:color w:val="000000" w:themeColor="text1"/>
                <w:kern w:val="0"/>
                <w:szCs w:val="21"/>
              </w:rPr>
              <w:t>2021</w:t>
            </w:r>
            <w:r>
              <w:rPr>
                <w:rFonts w:ascii="Times New Roman" w:eastAsia="宋体" w:cs="宋体" w:hAnsiTheme="minorEastAsia"/>
                <w:color w:val="000000" w:themeColor="text1"/>
                <w:kern w:val="0"/>
                <w:szCs w:val="21"/>
              </w:rPr>
              <w:t>年度</w:t>
            </w:r>
            <w:r>
              <w:rPr>
                <w:rFonts w:hint="eastAsia" w:ascii="Times New Roman" w:eastAsia="宋体" w:cs="宋体" w:hAnsiTheme="minorEastAsia"/>
                <w:color w:val="000000" w:themeColor="text1"/>
                <w:kern w:val="0"/>
                <w:szCs w:val="21"/>
              </w:rPr>
              <w:t>完税证明，提供得</w:t>
            </w:r>
            <w:r>
              <w:rPr>
                <w:rFonts w:ascii="Times New Roman" w:hAnsi="Times New Roman" w:eastAsia="宋体" w:cs="宋体"/>
                <w:color w:val="000000" w:themeColor="text1"/>
                <w:kern w:val="0"/>
                <w:szCs w:val="21"/>
              </w:rPr>
              <w:t>1</w:t>
            </w:r>
            <w:r>
              <w:rPr>
                <w:rFonts w:hint="eastAsia" w:ascii="Times New Roman" w:eastAsia="宋体" w:cs="宋体" w:hAnsiTheme="minorEastAsia"/>
                <w:color w:val="000000" w:themeColor="text1"/>
                <w:kern w:val="0"/>
                <w:szCs w:val="21"/>
              </w:rPr>
              <w:t>分</w:t>
            </w:r>
            <w:r>
              <w:rPr>
                <w:rFonts w:hint="eastAsia" w:ascii="Times New Roman" w:eastAsia="宋体" w:cs="宋体" w:hAnsiTheme="minorEastAsia"/>
                <w:color w:val="000000" w:themeColor="text1"/>
                <w:szCs w:val="21"/>
              </w:rPr>
              <w:t>，未提供不得分。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850"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6094" w:type="dxa"/>
            <w:vAlign w:val="center"/>
          </w:tcPr>
          <w:p>
            <w:pPr>
              <w:widowControl/>
              <w:spacing w:line="360" w:lineRule="auto"/>
              <w:jc w:val="left"/>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提供</w:t>
            </w:r>
            <w:r>
              <w:rPr>
                <w:rFonts w:ascii="Times New Roman" w:hAnsi="Times New Roman" w:eastAsia="宋体" w:cs="宋体"/>
                <w:color w:val="000000" w:themeColor="text1"/>
                <w:kern w:val="0"/>
                <w:szCs w:val="21"/>
              </w:rPr>
              <w:t>2021</w:t>
            </w:r>
            <w:r>
              <w:rPr>
                <w:rFonts w:ascii="Times New Roman" w:eastAsia="宋体" w:cs="宋体" w:hAnsiTheme="minorEastAsia"/>
                <w:color w:val="000000" w:themeColor="text1"/>
                <w:kern w:val="0"/>
                <w:szCs w:val="21"/>
              </w:rPr>
              <w:t>年度社保资金</w:t>
            </w:r>
            <w:r>
              <w:rPr>
                <w:rFonts w:hint="eastAsia" w:ascii="Times New Roman" w:eastAsia="宋体" w:cs="宋体" w:hAnsiTheme="minorEastAsia"/>
                <w:color w:val="000000" w:themeColor="text1"/>
                <w:kern w:val="0"/>
                <w:szCs w:val="21"/>
              </w:rPr>
              <w:t>缴纳证明，提供得</w:t>
            </w:r>
            <w:r>
              <w:rPr>
                <w:rFonts w:ascii="Times New Roman" w:hAnsi="Times New Roman" w:eastAsia="宋体" w:cs="宋体"/>
                <w:color w:val="000000" w:themeColor="text1"/>
                <w:kern w:val="0"/>
                <w:szCs w:val="21"/>
              </w:rPr>
              <w:t>1</w:t>
            </w:r>
            <w:r>
              <w:rPr>
                <w:rFonts w:hint="eastAsia" w:ascii="Times New Roman" w:eastAsia="宋体" w:cs="宋体" w:hAnsiTheme="minorEastAsia"/>
                <w:color w:val="000000" w:themeColor="text1"/>
                <w:kern w:val="0"/>
                <w:szCs w:val="21"/>
              </w:rPr>
              <w:t>分</w:t>
            </w:r>
            <w:r>
              <w:rPr>
                <w:rFonts w:hint="eastAsia" w:ascii="Times New Roman" w:eastAsia="宋体" w:cs="宋体" w:hAnsiTheme="minorEastAsia"/>
                <w:color w:val="000000" w:themeColor="text1"/>
                <w:szCs w:val="21"/>
              </w:rPr>
              <w:t>，未提供不得分。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类似经营项目</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8</w:t>
            </w:r>
          </w:p>
        </w:tc>
        <w:tc>
          <w:tcPr>
            <w:tcW w:w="6094" w:type="dxa"/>
            <w:vAlign w:val="center"/>
          </w:tcPr>
          <w:p>
            <w:pPr>
              <w:widowControl/>
              <w:spacing w:line="360" w:lineRule="auto"/>
              <w:jc w:val="left"/>
              <w:rPr>
                <w:rFonts w:ascii="Times New Roman" w:hAnsi="Times New Roman" w:eastAsia="宋体" w:cs="宋体"/>
                <w:color w:val="000000" w:themeColor="text1"/>
                <w:kern w:val="0"/>
                <w:szCs w:val="21"/>
              </w:rPr>
            </w:pPr>
            <w:r>
              <w:rPr>
                <w:rFonts w:hint="eastAsia" w:ascii="Times New Roman" w:eastAsia="宋体" w:hAnsiTheme="minorEastAsia"/>
                <w:bCs/>
                <w:szCs w:val="21"/>
              </w:rPr>
              <w:t>自</w:t>
            </w:r>
            <w:r>
              <w:rPr>
                <w:rFonts w:hint="eastAsia" w:ascii="Times New Roman" w:hAnsi="Times New Roman" w:eastAsia="宋体"/>
                <w:bCs/>
                <w:szCs w:val="21"/>
              </w:rPr>
              <w:t>2019</w:t>
            </w:r>
            <w:r>
              <w:rPr>
                <w:rFonts w:hint="eastAsia" w:ascii="Times New Roman" w:eastAsia="宋体" w:hAnsiTheme="minorEastAsia"/>
                <w:bCs/>
                <w:szCs w:val="21"/>
              </w:rPr>
              <w:t>年</w:t>
            </w:r>
            <w:r>
              <w:rPr>
                <w:rFonts w:hint="eastAsia" w:ascii="Times New Roman" w:hAnsi="Times New Roman" w:eastAsia="宋体"/>
                <w:bCs/>
                <w:szCs w:val="21"/>
              </w:rPr>
              <w:t>1</w:t>
            </w:r>
            <w:r>
              <w:rPr>
                <w:rFonts w:hint="eastAsia" w:ascii="Times New Roman" w:eastAsia="宋体" w:hAnsiTheme="minorEastAsia"/>
                <w:bCs/>
                <w:szCs w:val="21"/>
              </w:rPr>
              <w:t>月</w:t>
            </w:r>
            <w:r>
              <w:rPr>
                <w:rFonts w:hint="eastAsia" w:ascii="Times New Roman" w:hAnsi="Times New Roman" w:eastAsia="宋体"/>
                <w:bCs/>
                <w:szCs w:val="21"/>
              </w:rPr>
              <w:t>1</w:t>
            </w:r>
            <w:r>
              <w:rPr>
                <w:rFonts w:hint="eastAsia" w:ascii="Times New Roman" w:eastAsia="宋体" w:hAnsiTheme="minorEastAsia"/>
                <w:bCs/>
                <w:szCs w:val="21"/>
              </w:rPr>
              <w:t>日以来，</w:t>
            </w:r>
            <w:r>
              <w:rPr>
                <w:rFonts w:hint="eastAsia" w:ascii="Times New Roman" w:eastAsia="宋体" w:cs="宋体" w:hAnsiTheme="minorEastAsia"/>
                <w:color w:val="000000" w:themeColor="text1"/>
                <w:kern w:val="0"/>
                <w:szCs w:val="21"/>
              </w:rPr>
              <w:t>与其他三级甲等医院陪护合同</w:t>
            </w:r>
            <w:r>
              <w:rPr>
                <w:rFonts w:hint="eastAsia" w:ascii="Times New Roman" w:hAnsi="Times New Roman" w:eastAsia="宋体" w:cs="宋体"/>
                <w:color w:val="000000" w:themeColor="text1"/>
                <w:kern w:val="0"/>
                <w:szCs w:val="21"/>
              </w:rPr>
              <w:t>2</w:t>
            </w:r>
            <w:r>
              <w:rPr>
                <w:rFonts w:hint="eastAsia" w:ascii="Times New Roman" w:eastAsia="宋体" w:cs="宋体" w:hAnsiTheme="minorEastAsia"/>
                <w:color w:val="000000" w:themeColor="text1"/>
                <w:kern w:val="0"/>
                <w:szCs w:val="21"/>
              </w:rPr>
              <w:t>分</w:t>
            </w:r>
            <w:r>
              <w:rPr>
                <w:rFonts w:ascii="Times New Roman" w:hAnsi="Times New Roman" w:eastAsia="宋体" w:cs="宋体"/>
                <w:color w:val="000000" w:themeColor="text1"/>
                <w:kern w:val="0"/>
                <w:szCs w:val="21"/>
              </w:rPr>
              <w:t>/</w:t>
            </w:r>
            <w:r>
              <w:rPr>
                <w:rFonts w:ascii="Times New Roman" w:eastAsia="宋体" w:cs="宋体" w:hAnsiTheme="minorEastAsia"/>
                <w:color w:val="000000" w:themeColor="text1"/>
                <w:kern w:val="0"/>
                <w:szCs w:val="21"/>
              </w:rPr>
              <w:t>家，三级乙等医院陪护合同</w:t>
            </w:r>
            <w:r>
              <w:rPr>
                <w:rFonts w:hint="eastAsia" w:ascii="Times New Roman" w:hAnsi="Times New Roman" w:eastAsia="宋体" w:cs="宋体"/>
                <w:color w:val="000000" w:themeColor="text1"/>
                <w:kern w:val="0"/>
                <w:szCs w:val="21"/>
              </w:rPr>
              <w:t>1</w:t>
            </w:r>
            <w:r>
              <w:rPr>
                <w:rFonts w:hint="eastAsia" w:ascii="Times New Roman" w:eastAsia="宋体" w:cs="宋体" w:hAnsiTheme="minorEastAsia"/>
                <w:color w:val="000000" w:themeColor="text1"/>
                <w:kern w:val="0"/>
                <w:szCs w:val="21"/>
              </w:rPr>
              <w:t>分</w:t>
            </w:r>
            <w:r>
              <w:rPr>
                <w:rFonts w:ascii="Times New Roman" w:hAnsi="Times New Roman" w:eastAsia="宋体" w:cs="宋体"/>
                <w:color w:val="000000" w:themeColor="text1"/>
                <w:kern w:val="0"/>
                <w:szCs w:val="21"/>
              </w:rPr>
              <w:t>/</w:t>
            </w:r>
            <w:r>
              <w:rPr>
                <w:rFonts w:ascii="Times New Roman" w:eastAsia="宋体" w:cs="宋体" w:hAnsiTheme="minorEastAsia"/>
                <w:color w:val="000000" w:themeColor="text1"/>
                <w:kern w:val="0"/>
                <w:szCs w:val="21"/>
              </w:rPr>
              <w:t>家。</w:t>
            </w:r>
            <w:r>
              <w:rPr>
                <w:rFonts w:hint="eastAsia" w:ascii="Times New Roman" w:eastAsia="宋体" w:cs="宋体" w:hAnsiTheme="minorEastAsia"/>
                <w:color w:val="000000" w:themeColor="text1"/>
                <w:kern w:val="0"/>
                <w:szCs w:val="21"/>
              </w:rPr>
              <w:t>提供合同复印件加盖公章。未按上述要求提供证明资料的不得分。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专业管理人员</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8</w:t>
            </w:r>
          </w:p>
        </w:tc>
        <w:tc>
          <w:tcPr>
            <w:tcW w:w="6094" w:type="dxa"/>
            <w:vAlign w:val="center"/>
          </w:tcPr>
          <w:p>
            <w:pPr>
              <w:spacing w:line="360" w:lineRule="auto"/>
              <w:rPr>
                <w:rFonts w:ascii="Times New Roman" w:hAnsi="Times New Roman" w:eastAsia="宋体"/>
                <w:szCs w:val="21"/>
              </w:rPr>
            </w:pPr>
            <w:r>
              <w:rPr>
                <w:rFonts w:hint="eastAsia" w:ascii="Times New Roman" w:eastAsia="宋体" w:cs="宋体" w:hAnsiTheme="minorEastAsia"/>
                <w:kern w:val="0"/>
                <w:szCs w:val="21"/>
              </w:rPr>
              <w:t>护理背景人员</w:t>
            </w:r>
            <w:r>
              <w:rPr>
                <w:rFonts w:hint="eastAsia" w:ascii="Times New Roman" w:hAnsi="Times New Roman" w:eastAsia="宋体" w:cs="宋体"/>
                <w:kern w:val="0"/>
                <w:szCs w:val="21"/>
              </w:rPr>
              <w:t>2</w:t>
            </w:r>
            <w:r>
              <w:rPr>
                <w:rFonts w:hint="eastAsia" w:ascii="Times New Roman" w:eastAsia="宋体" w:cs="宋体" w:hAnsiTheme="minorEastAsia"/>
                <w:kern w:val="0"/>
                <w:szCs w:val="21"/>
              </w:rPr>
              <w:t>分</w:t>
            </w:r>
            <w:r>
              <w:rPr>
                <w:rFonts w:ascii="Times New Roman" w:hAnsi="Times New Roman" w:eastAsia="宋体" w:cs="宋体"/>
                <w:kern w:val="0"/>
                <w:szCs w:val="21"/>
              </w:rPr>
              <w:t>/</w:t>
            </w:r>
            <w:r>
              <w:rPr>
                <w:rFonts w:ascii="Times New Roman" w:eastAsia="宋体" w:cs="宋体" w:hAnsiTheme="minorEastAsia"/>
                <w:kern w:val="0"/>
                <w:szCs w:val="21"/>
              </w:rPr>
              <w:t>人，</w:t>
            </w:r>
            <w:r>
              <w:rPr>
                <w:rFonts w:hint="eastAsia" w:ascii="Times New Roman" w:eastAsia="宋体" w:cs="宋体" w:hAnsiTheme="minorEastAsia"/>
                <w:kern w:val="0"/>
                <w:szCs w:val="21"/>
              </w:rPr>
              <w:t>需提供护士执业证书、专业技术人员职业资格证书及本人</w:t>
            </w:r>
            <w:r>
              <w:rPr>
                <w:rFonts w:ascii="Times New Roman" w:hAnsi="Times New Roman" w:eastAsia="宋体" w:cs="宋体"/>
                <w:kern w:val="0"/>
                <w:szCs w:val="21"/>
              </w:rPr>
              <w:t>2021</w:t>
            </w:r>
            <w:r>
              <w:rPr>
                <w:rFonts w:hint="eastAsia" w:ascii="Times New Roman" w:eastAsia="宋体" w:cs="宋体" w:hAnsiTheme="minorEastAsia"/>
                <w:kern w:val="0"/>
                <w:szCs w:val="21"/>
              </w:rPr>
              <w:t>年度公司社保缴纳证明或</w:t>
            </w:r>
            <w:r>
              <w:rPr>
                <w:rFonts w:ascii="Times New Roman" w:hAnsi="Times New Roman" w:eastAsia="宋体" w:cs="宋体"/>
                <w:kern w:val="0"/>
                <w:szCs w:val="21"/>
              </w:rPr>
              <w:t>2021</w:t>
            </w:r>
            <w:r>
              <w:rPr>
                <w:rFonts w:ascii="Times New Roman" w:eastAsia="宋体" w:cs="宋体" w:hAnsiTheme="minorEastAsia"/>
                <w:kern w:val="0"/>
                <w:szCs w:val="21"/>
              </w:rPr>
              <w:t>年度公司</w:t>
            </w:r>
            <w:r>
              <w:rPr>
                <w:rFonts w:hint="eastAsia" w:ascii="Times New Roman" w:eastAsia="宋体" w:cs="宋体" w:hAnsiTheme="minorEastAsia"/>
                <w:kern w:val="0"/>
                <w:szCs w:val="21"/>
              </w:rPr>
              <w:t>申报个税完税证明，此项最高得分</w:t>
            </w:r>
            <w:r>
              <w:rPr>
                <w:rFonts w:ascii="Times New Roman" w:hAnsi="Times New Roman" w:eastAsia="宋体" w:cs="宋体"/>
                <w:kern w:val="0"/>
                <w:szCs w:val="21"/>
              </w:rPr>
              <w:t>8</w:t>
            </w:r>
            <w:r>
              <w:rPr>
                <w:rFonts w:hint="eastAsia" w:ascii="Times New Roman" w:eastAsia="宋体" w:cs="宋体" w:hAnsiTheme="minorEastAsia"/>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合格护理员</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8</w:t>
            </w:r>
          </w:p>
        </w:tc>
        <w:tc>
          <w:tcPr>
            <w:tcW w:w="6094" w:type="dxa"/>
            <w:vAlign w:val="center"/>
          </w:tcPr>
          <w:p>
            <w:pPr>
              <w:widowControl/>
              <w:spacing w:line="360" w:lineRule="auto"/>
              <w:rPr>
                <w:rFonts w:ascii="Times New Roman" w:hAnsi="Times New Roman" w:eastAsia="宋体" w:cs="宋体"/>
                <w:kern w:val="0"/>
                <w:szCs w:val="21"/>
              </w:rPr>
            </w:pPr>
            <w:r>
              <w:rPr>
                <w:rFonts w:hint="eastAsia" w:ascii="Times New Roman" w:eastAsia="宋体" w:cs="宋体" w:hAnsiTheme="minorEastAsia"/>
                <w:kern w:val="0"/>
                <w:szCs w:val="21"/>
              </w:rPr>
              <w:t>确保一次性提供本院护理员总人数</w:t>
            </w:r>
            <w:r>
              <w:rPr>
                <w:rFonts w:hint="eastAsia" w:ascii="Times New Roman" w:hAnsi="Times New Roman" w:eastAsia="宋体" w:cs="Arial"/>
                <w:kern w:val="0"/>
                <w:szCs w:val="21"/>
              </w:rPr>
              <w:t>≥</w:t>
            </w:r>
            <w:r>
              <w:rPr>
                <w:rFonts w:hint="eastAsia" w:ascii="Times New Roman" w:hAnsi="Times New Roman" w:eastAsia="宋体" w:cs="宋体"/>
                <w:kern w:val="0"/>
                <w:szCs w:val="21"/>
              </w:rPr>
              <w:t>100</w:t>
            </w:r>
            <w:r>
              <w:rPr>
                <w:rFonts w:ascii="Times New Roman" w:eastAsia="宋体" w:cs="宋体" w:hAnsiTheme="minorEastAsia"/>
                <w:kern w:val="0"/>
                <w:szCs w:val="21"/>
              </w:rPr>
              <w:t>人，其中母婴护理员</w:t>
            </w:r>
            <w:r>
              <w:rPr>
                <w:rFonts w:hint="eastAsia" w:ascii="Times New Roman" w:eastAsia="宋体" w:cs="宋体" w:hAnsiTheme="minorEastAsia"/>
                <w:kern w:val="0"/>
                <w:szCs w:val="21"/>
              </w:rPr>
              <w:t>（</w:t>
            </w:r>
            <w:r>
              <w:rPr>
                <w:rFonts w:ascii="Times New Roman" w:hAnsi="Times New Roman" w:eastAsia="宋体" w:cs="宋体"/>
                <w:kern w:val="0"/>
                <w:szCs w:val="21"/>
              </w:rPr>
              <w:t>50</w:t>
            </w:r>
            <w:r>
              <w:rPr>
                <w:rFonts w:ascii="Times New Roman" w:eastAsia="宋体" w:cs="宋体" w:hAnsiTheme="minorEastAsia"/>
                <w:kern w:val="0"/>
                <w:szCs w:val="21"/>
              </w:rPr>
              <w:t>岁以下女性）</w:t>
            </w:r>
            <w:r>
              <w:rPr>
                <w:rFonts w:hint="eastAsia" w:ascii="Times New Roman" w:eastAsia="宋体" w:cs="宋体" w:hAnsiTheme="minorEastAsia"/>
                <w:kern w:val="0"/>
                <w:szCs w:val="21"/>
              </w:rPr>
              <w:t>满</w:t>
            </w:r>
            <w:r>
              <w:rPr>
                <w:rFonts w:ascii="Times New Roman" w:hAnsi="Times New Roman" w:eastAsia="宋体" w:cs="宋体"/>
                <w:kern w:val="0"/>
                <w:szCs w:val="21"/>
              </w:rPr>
              <w:t>30</w:t>
            </w:r>
            <w:r>
              <w:rPr>
                <w:rFonts w:ascii="Times New Roman" w:eastAsia="宋体" w:cs="宋体" w:hAnsiTheme="minorEastAsia"/>
                <w:kern w:val="0"/>
                <w:szCs w:val="21"/>
              </w:rPr>
              <w:t>人得</w:t>
            </w:r>
            <w:r>
              <w:rPr>
                <w:rFonts w:ascii="Times New Roman" w:hAnsi="Times New Roman" w:eastAsia="宋体" w:cs="宋体"/>
                <w:kern w:val="0"/>
                <w:szCs w:val="21"/>
              </w:rPr>
              <w:t>3</w:t>
            </w:r>
            <w:r>
              <w:rPr>
                <w:rFonts w:hint="eastAsia" w:ascii="Times New Roman" w:eastAsia="宋体" w:cs="宋体" w:hAnsiTheme="minorEastAsia"/>
                <w:kern w:val="0"/>
                <w:szCs w:val="21"/>
              </w:rPr>
              <w:t>分，每增加一人得</w:t>
            </w:r>
            <w:r>
              <w:rPr>
                <w:rFonts w:ascii="Times New Roman" w:hAnsi="Times New Roman" w:eastAsia="宋体" w:cs="宋体"/>
                <w:kern w:val="0"/>
                <w:szCs w:val="21"/>
              </w:rPr>
              <w:t>0.</w:t>
            </w:r>
            <w:r>
              <w:rPr>
                <w:rFonts w:hint="eastAsia" w:ascii="Times New Roman" w:hAnsi="Times New Roman" w:eastAsia="宋体" w:cs="宋体"/>
                <w:kern w:val="0"/>
                <w:szCs w:val="21"/>
              </w:rPr>
              <w:t>2</w:t>
            </w:r>
            <w:r>
              <w:rPr>
                <w:rFonts w:ascii="Times New Roman" w:eastAsia="宋体" w:cs="宋体" w:hAnsiTheme="minorEastAsia"/>
                <w:kern w:val="0"/>
                <w:szCs w:val="21"/>
              </w:rPr>
              <w:t>分；</w:t>
            </w:r>
            <w:r>
              <w:rPr>
                <w:rFonts w:hint="eastAsia" w:ascii="Times New Roman" w:eastAsia="宋体" w:cs="宋体" w:hAnsiTheme="minorEastAsia"/>
                <w:kern w:val="0"/>
                <w:szCs w:val="21"/>
              </w:rPr>
              <w:t>病患护理员（</w:t>
            </w:r>
            <w:r>
              <w:rPr>
                <w:rFonts w:ascii="Times New Roman" w:hAnsi="Times New Roman" w:eastAsia="宋体" w:cs="宋体"/>
                <w:kern w:val="0"/>
                <w:szCs w:val="21"/>
              </w:rPr>
              <w:t>60</w:t>
            </w:r>
            <w:r>
              <w:rPr>
                <w:rFonts w:ascii="Times New Roman" w:eastAsia="宋体" w:cs="宋体" w:hAnsiTheme="minorEastAsia"/>
                <w:kern w:val="0"/>
                <w:szCs w:val="21"/>
              </w:rPr>
              <w:t>岁以下女性，</w:t>
            </w:r>
            <w:r>
              <w:rPr>
                <w:rFonts w:ascii="Times New Roman" w:hAnsi="Times New Roman" w:eastAsia="宋体" w:cs="宋体"/>
                <w:kern w:val="0"/>
                <w:szCs w:val="21"/>
              </w:rPr>
              <w:t>65</w:t>
            </w:r>
            <w:r>
              <w:rPr>
                <w:rFonts w:hint="eastAsia" w:ascii="Times New Roman" w:eastAsia="宋体" w:cs="宋体" w:hAnsiTheme="minorEastAsia"/>
                <w:kern w:val="0"/>
                <w:szCs w:val="21"/>
              </w:rPr>
              <w:t>岁以下男性）满</w:t>
            </w:r>
            <w:r>
              <w:rPr>
                <w:rFonts w:ascii="Times New Roman" w:hAnsi="Times New Roman" w:eastAsia="宋体" w:cs="宋体"/>
                <w:kern w:val="0"/>
                <w:szCs w:val="21"/>
              </w:rPr>
              <w:t>70</w:t>
            </w:r>
            <w:r>
              <w:rPr>
                <w:rFonts w:ascii="Times New Roman" w:eastAsia="宋体" w:cs="宋体" w:hAnsiTheme="minorEastAsia"/>
                <w:kern w:val="0"/>
                <w:szCs w:val="21"/>
              </w:rPr>
              <w:t>人得</w:t>
            </w:r>
            <w:r>
              <w:rPr>
                <w:rFonts w:ascii="Times New Roman" w:hAnsi="Times New Roman" w:eastAsia="宋体" w:cs="宋体"/>
                <w:kern w:val="0"/>
                <w:szCs w:val="21"/>
              </w:rPr>
              <w:t>3</w:t>
            </w:r>
            <w:r>
              <w:rPr>
                <w:rFonts w:hint="eastAsia" w:ascii="Times New Roman" w:eastAsia="宋体" w:cs="宋体" w:hAnsiTheme="minorEastAsia"/>
                <w:kern w:val="0"/>
                <w:szCs w:val="21"/>
              </w:rPr>
              <w:t>分，每增加一人得</w:t>
            </w:r>
            <w:r>
              <w:rPr>
                <w:rFonts w:ascii="Times New Roman" w:hAnsi="Times New Roman" w:eastAsia="宋体" w:cs="宋体"/>
                <w:kern w:val="0"/>
                <w:szCs w:val="21"/>
              </w:rPr>
              <w:t>0.2</w:t>
            </w:r>
            <w:r>
              <w:rPr>
                <w:rFonts w:ascii="Times New Roman" w:eastAsia="宋体" w:cs="宋体" w:hAnsiTheme="minorEastAsia"/>
                <w:kern w:val="0"/>
                <w:szCs w:val="21"/>
              </w:rPr>
              <w:t>分</w:t>
            </w:r>
            <w:r>
              <w:rPr>
                <w:rFonts w:hint="eastAsia" w:ascii="Times New Roman" w:eastAsia="宋体" w:cs="宋体" w:hAnsiTheme="minorEastAsia"/>
                <w:kern w:val="0"/>
                <w:szCs w:val="21"/>
              </w:rPr>
              <w:t>。本项最高得分</w:t>
            </w:r>
            <w:r>
              <w:rPr>
                <w:rFonts w:hint="eastAsia" w:ascii="Times New Roman" w:hAnsi="Times New Roman" w:eastAsia="宋体" w:cs="宋体"/>
                <w:kern w:val="0"/>
                <w:szCs w:val="21"/>
              </w:rPr>
              <w:t>8</w:t>
            </w:r>
            <w:r>
              <w:rPr>
                <w:rFonts w:hint="eastAsia" w:ascii="Times New Roman" w:eastAsia="宋体" w:cs="宋体" w:hAnsiTheme="minorEastAsia"/>
                <w:kern w:val="0"/>
                <w:szCs w:val="21"/>
              </w:rPr>
              <w:t>分。需三证齐全（身份证、健康证、国家机构颁发的从业资格证），未按要求提供不得分。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restart"/>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Times New Roman" w:hAnsiTheme="minorEastAsia"/>
                <w:szCs w:val="21"/>
              </w:rPr>
              <w:t>责任及事故纠纷</w:t>
            </w:r>
            <w:r>
              <w:rPr>
                <w:rFonts w:hint="eastAsia" w:ascii="Times New Roman" w:hAnsi="Times New Roman" w:eastAsia="宋体" w:cs="Times New Roman"/>
                <w:szCs w:val="21"/>
              </w:rPr>
              <w:t xml:space="preserve">   </w:t>
            </w:r>
            <w:r>
              <w:rPr>
                <w:rFonts w:hint="eastAsia" w:ascii="Times New Roman" w:eastAsia="宋体" w:cs="Times New Roman" w:hAnsiTheme="minorEastAsia"/>
                <w:szCs w:val="21"/>
              </w:rPr>
              <w:t>承担能力</w:t>
            </w:r>
          </w:p>
        </w:tc>
        <w:tc>
          <w:tcPr>
            <w:tcW w:w="850" w:type="dxa"/>
            <w:vMerge w:val="restart"/>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10</w:t>
            </w:r>
          </w:p>
        </w:tc>
        <w:tc>
          <w:tcPr>
            <w:tcW w:w="6094" w:type="dxa"/>
            <w:vAlign w:val="center"/>
          </w:tcPr>
          <w:p>
            <w:pPr>
              <w:widowControl/>
              <w:spacing w:line="360" w:lineRule="auto"/>
              <w:jc w:val="left"/>
              <w:rPr>
                <w:rFonts w:ascii="Times New Roman" w:hAnsi="Times New Roman" w:eastAsia="宋体" w:cs="宋体"/>
                <w:kern w:val="0"/>
                <w:szCs w:val="21"/>
              </w:rPr>
            </w:pPr>
            <w:r>
              <w:rPr>
                <w:rFonts w:hint="eastAsia" w:ascii="Times New Roman" w:eastAsia="宋体" w:cs="Times New Roman" w:hAnsiTheme="minorEastAsia"/>
                <w:szCs w:val="21"/>
              </w:rPr>
              <w:t>护理员人身安全保障：根据投标人组织护理员购买团体人身意外伤害保险情况进行评分</w:t>
            </w:r>
            <w:r>
              <w:rPr>
                <w:rFonts w:ascii="Times New Roman" w:eastAsia="宋体" w:cs="Times New Roman" w:hAnsiTheme="minorEastAsia"/>
                <w:szCs w:val="21"/>
              </w:rPr>
              <w:t>，</w:t>
            </w:r>
            <w:r>
              <w:rPr>
                <w:rFonts w:hint="eastAsia" w:ascii="Times New Roman" w:eastAsia="宋体" w:cs="宋体" w:hAnsiTheme="minorEastAsia"/>
                <w:kern w:val="0"/>
                <w:szCs w:val="21"/>
              </w:rPr>
              <w:t>人数达</w:t>
            </w:r>
            <w:r>
              <w:rPr>
                <w:rFonts w:hint="eastAsia" w:ascii="Times New Roman" w:hAnsi="Times New Roman" w:eastAsia="宋体" w:cs="宋体"/>
                <w:kern w:val="0"/>
                <w:szCs w:val="21"/>
              </w:rPr>
              <w:t>100</w:t>
            </w:r>
            <w:r>
              <w:rPr>
                <w:rFonts w:hint="eastAsia" w:ascii="Times New Roman" w:eastAsia="宋体" w:cs="宋体" w:hAnsiTheme="minorEastAsia"/>
                <w:kern w:val="0"/>
                <w:szCs w:val="21"/>
              </w:rPr>
              <w:t>名计</w:t>
            </w:r>
            <w:r>
              <w:rPr>
                <w:rFonts w:ascii="Times New Roman" w:hAnsi="Times New Roman" w:eastAsia="宋体" w:cs="宋体"/>
                <w:kern w:val="0"/>
                <w:szCs w:val="21"/>
              </w:rPr>
              <w:t xml:space="preserve"> 3</w:t>
            </w:r>
            <w:r>
              <w:rPr>
                <w:rFonts w:hint="eastAsia" w:ascii="Times New Roman" w:eastAsia="宋体" w:cs="宋体" w:hAnsiTheme="minorEastAsia"/>
                <w:kern w:val="0"/>
                <w:szCs w:val="21"/>
              </w:rPr>
              <w:t>分，每增加</w:t>
            </w:r>
            <w:r>
              <w:rPr>
                <w:rFonts w:hint="eastAsia" w:ascii="Times New Roman" w:hAnsi="Times New Roman" w:eastAsia="宋体" w:cs="宋体"/>
                <w:kern w:val="0"/>
                <w:szCs w:val="21"/>
              </w:rPr>
              <w:t>20</w:t>
            </w:r>
            <w:r>
              <w:rPr>
                <w:rFonts w:hint="eastAsia" w:ascii="Times New Roman" w:eastAsia="宋体" w:cs="宋体" w:hAnsiTheme="minorEastAsia"/>
                <w:kern w:val="0"/>
                <w:szCs w:val="21"/>
              </w:rPr>
              <w:t>名计</w:t>
            </w:r>
            <w:r>
              <w:rPr>
                <w:rFonts w:ascii="Times New Roman" w:hAnsi="Times New Roman" w:eastAsia="宋体" w:cs="宋体"/>
                <w:kern w:val="0"/>
                <w:szCs w:val="21"/>
              </w:rPr>
              <w:t xml:space="preserve"> 1</w:t>
            </w:r>
            <w:r>
              <w:rPr>
                <w:rFonts w:ascii="Times New Roman" w:eastAsia="宋体" w:cs="宋体" w:hAnsiTheme="minorEastAsia"/>
                <w:kern w:val="0"/>
                <w:szCs w:val="21"/>
              </w:rPr>
              <w:t>分，最高</w:t>
            </w:r>
            <w:r>
              <w:rPr>
                <w:rFonts w:ascii="Times New Roman" w:hAnsi="Times New Roman" w:eastAsia="宋体" w:cs="宋体"/>
                <w:kern w:val="0"/>
                <w:szCs w:val="21"/>
              </w:rPr>
              <w:t>5</w:t>
            </w:r>
            <w:r>
              <w:rPr>
                <w:rFonts w:hint="eastAsia" w:ascii="Times New Roman" w:eastAsia="宋体" w:cs="宋体" w:hAnsiTheme="minorEastAsia"/>
                <w:kern w:val="0"/>
                <w:szCs w:val="21"/>
              </w:rPr>
              <w:t>分，未提供不得分。</w:t>
            </w:r>
            <w:r>
              <w:rPr>
                <w:rFonts w:hint="eastAsia" w:ascii="Times New Roman" w:eastAsia="宋体" w:cs="Times New Roman" w:hAnsiTheme="minorEastAsia"/>
                <w:b/>
                <w:szCs w:val="21"/>
              </w:rPr>
              <w:t>提供有效期内保险单据扫描件。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Merge w:val="continue"/>
            <w:vAlign w:val="center"/>
          </w:tcPr>
          <w:p>
            <w:pPr>
              <w:widowControl/>
              <w:spacing w:line="360" w:lineRule="auto"/>
              <w:jc w:val="center"/>
              <w:rPr>
                <w:rFonts w:ascii="Times New Roman" w:hAnsi="Times New Roman" w:eastAsia="宋体" w:cs="Times New Roman"/>
                <w:szCs w:val="21"/>
              </w:rPr>
            </w:pPr>
          </w:p>
        </w:tc>
        <w:tc>
          <w:tcPr>
            <w:tcW w:w="850"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6094" w:type="dxa"/>
            <w:vAlign w:val="center"/>
          </w:tcPr>
          <w:p>
            <w:pPr>
              <w:widowControl/>
              <w:spacing w:line="360" w:lineRule="auto"/>
              <w:textAlignment w:val="center"/>
              <w:rPr>
                <w:rFonts w:ascii="Times New Roman" w:hAnsi="Times New Roman" w:eastAsia="宋体" w:cs="Times New Roman"/>
                <w:b/>
                <w:szCs w:val="21"/>
              </w:rPr>
            </w:pPr>
            <w:r>
              <w:rPr>
                <w:rFonts w:hint="eastAsia" w:ascii="Times New Roman" w:eastAsia="宋体" w:cs="Times New Roman" w:hAnsiTheme="minorEastAsia"/>
                <w:szCs w:val="21"/>
              </w:rPr>
              <w:t>第三者责任保障：根据投标人购买第三者责任保险的情况进行评分：第三者责任每次事故赔付限额</w:t>
            </w:r>
            <w:r>
              <w:rPr>
                <w:rFonts w:hint="eastAsia" w:ascii="Times New Roman" w:hAnsi="Times New Roman" w:eastAsia="宋体" w:cs="Times New Roman"/>
                <w:szCs w:val="21"/>
              </w:rPr>
              <w:t>≥50</w:t>
            </w:r>
            <w:r>
              <w:rPr>
                <w:rFonts w:hint="eastAsia" w:ascii="Times New Roman" w:eastAsia="宋体" w:cs="Times New Roman" w:hAnsiTheme="minorEastAsia"/>
                <w:szCs w:val="21"/>
              </w:rPr>
              <w:t>万元的得</w:t>
            </w:r>
            <w:r>
              <w:rPr>
                <w:rFonts w:ascii="Times New Roman" w:hAnsi="Times New Roman" w:eastAsia="宋体" w:cs="Times New Roman"/>
                <w:szCs w:val="21"/>
              </w:rPr>
              <w:t>5</w:t>
            </w:r>
            <w:r>
              <w:rPr>
                <w:rFonts w:hint="eastAsia" w:ascii="Times New Roman" w:eastAsia="宋体" w:cs="Times New Roman" w:hAnsiTheme="minorEastAsia"/>
                <w:szCs w:val="21"/>
              </w:rPr>
              <w:t>分，</w:t>
            </w:r>
            <w:r>
              <w:rPr>
                <w:rFonts w:hint="eastAsia" w:ascii="Times New Roman" w:hAnsi="Times New Roman" w:eastAsia="宋体" w:cs="Times New Roman"/>
                <w:szCs w:val="21"/>
              </w:rPr>
              <w:t>≥30</w:t>
            </w:r>
            <w:r>
              <w:rPr>
                <w:rFonts w:hint="eastAsia" w:ascii="Times New Roman" w:eastAsia="宋体" w:cs="Times New Roman" w:hAnsiTheme="minorEastAsia"/>
                <w:szCs w:val="21"/>
              </w:rPr>
              <w:t>万元的得</w:t>
            </w:r>
            <w:r>
              <w:rPr>
                <w:rFonts w:hint="eastAsia" w:ascii="Times New Roman" w:hAnsi="Times New Roman" w:eastAsia="宋体" w:cs="Times New Roman"/>
                <w:szCs w:val="21"/>
              </w:rPr>
              <w:t>3</w:t>
            </w:r>
            <w:r>
              <w:rPr>
                <w:rFonts w:hint="eastAsia" w:ascii="Times New Roman" w:eastAsia="宋体" w:cs="Times New Roman" w:hAnsiTheme="minorEastAsia"/>
                <w:szCs w:val="21"/>
              </w:rPr>
              <w:t>分；</w:t>
            </w:r>
            <w:r>
              <w:rPr>
                <w:rFonts w:hint="eastAsia" w:ascii="Times New Roman" w:hAnsi="Times New Roman" w:eastAsia="宋体" w:cs="Times New Roman"/>
                <w:szCs w:val="21"/>
              </w:rPr>
              <w:t>≥10</w:t>
            </w:r>
            <w:r>
              <w:rPr>
                <w:rFonts w:hint="eastAsia" w:ascii="Times New Roman" w:eastAsia="宋体" w:cs="Times New Roman" w:hAnsiTheme="minorEastAsia"/>
                <w:szCs w:val="21"/>
              </w:rPr>
              <w:t>万元的得</w:t>
            </w:r>
            <w:r>
              <w:rPr>
                <w:rFonts w:hint="eastAsia" w:ascii="Times New Roman" w:hAnsi="Times New Roman" w:eastAsia="宋体" w:cs="Times New Roman"/>
                <w:szCs w:val="21"/>
              </w:rPr>
              <w:t>1</w:t>
            </w:r>
            <w:r>
              <w:rPr>
                <w:rFonts w:hint="eastAsia" w:ascii="Times New Roman" w:eastAsia="宋体" w:cs="Times New Roman" w:hAnsiTheme="minorEastAsia"/>
                <w:szCs w:val="21"/>
              </w:rPr>
              <w:t>分；</w:t>
            </w:r>
            <w:r>
              <w:rPr>
                <w:rFonts w:hint="eastAsia" w:ascii="Times New Roman" w:eastAsia="宋体" w:cs="宋体" w:hAnsiTheme="minorEastAsia"/>
                <w:color w:val="000000" w:themeColor="text1"/>
                <w:kern w:val="0"/>
                <w:szCs w:val="21"/>
              </w:rPr>
              <w:t>未提供不得分</w:t>
            </w:r>
            <w:r>
              <w:rPr>
                <w:rFonts w:hint="eastAsia" w:ascii="Times New Roman" w:eastAsia="宋体" w:cs="Times New Roman" w:hAnsiTheme="minorEastAsia"/>
                <w:szCs w:val="21"/>
              </w:rPr>
              <w:t>。</w:t>
            </w:r>
            <w:r>
              <w:rPr>
                <w:rFonts w:hint="eastAsia" w:ascii="Times New Roman" w:eastAsia="宋体" w:cs="Times New Roman" w:hAnsiTheme="minorEastAsia"/>
                <w:b/>
                <w:szCs w:val="21"/>
              </w:rPr>
              <w:t>提供有效期内保险单据扫描件。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公司组织构架清晰</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2</w:t>
            </w:r>
          </w:p>
        </w:tc>
        <w:tc>
          <w:tcPr>
            <w:tcW w:w="6094" w:type="dxa"/>
            <w:vAlign w:val="center"/>
          </w:tcPr>
          <w:p>
            <w:pPr>
              <w:widowControl/>
              <w:spacing w:line="360" w:lineRule="auto"/>
              <w:rPr>
                <w:rFonts w:ascii="Times New Roman" w:hAnsi="Times New Roman" w:eastAsia="宋体" w:cs="宋体"/>
                <w:color w:val="000000" w:themeColor="text1"/>
                <w:kern w:val="0"/>
                <w:szCs w:val="21"/>
              </w:rPr>
            </w:pPr>
            <w:r>
              <w:rPr>
                <w:rFonts w:hint="eastAsia" w:ascii="Times New Roman" w:eastAsia="宋体" w:hAnsiTheme="minorEastAsia"/>
                <w:color w:val="000000" w:themeColor="text1"/>
                <w:kern w:val="0"/>
                <w:szCs w:val="21"/>
              </w:rPr>
              <w:t>各部门建立健全，职能清晰，公司具有一定规模；提供得</w:t>
            </w:r>
            <w:r>
              <w:rPr>
                <w:rFonts w:ascii="Times New Roman" w:hAnsi="Times New Roman" w:eastAsia="宋体"/>
                <w:color w:val="000000" w:themeColor="text1"/>
                <w:kern w:val="0"/>
                <w:szCs w:val="21"/>
              </w:rPr>
              <w:t>1</w:t>
            </w:r>
            <w:r>
              <w:rPr>
                <w:rFonts w:hint="eastAsia" w:ascii="Times New Roman" w:eastAsia="宋体" w:hAnsiTheme="minorEastAsia"/>
                <w:color w:val="000000" w:themeColor="text1"/>
                <w:kern w:val="0"/>
                <w:szCs w:val="21"/>
              </w:rPr>
              <w:t>分，较好得</w:t>
            </w:r>
            <w:r>
              <w:rPr>
                <w:rFonts w:ascii="Times New Roman" w:hAnsi="Times New Roman" w:eastAsia="宋体"/>
                <w:color w:val="000000" w:themeColor="text1"/>
                <w:kern w:val="0"/>
                <w:szCs w:val="21"/>
              </w:rPr>
              <w:t>2</w:t>
            </w:r>
            <w:r>
              <w:rPr>
                <w:rFonts w:ascii="Times New Roman" w:eastAsia="宋体" w:hAnsiTheme="minorEastAsia"/>
                <w:color w:val="000000" w:themeColor="text1"/>
                <w:kern w:val="0"/>
                <w:szCs w:val="21"/>
              </w:rPr>
              <w:t>分，未提供不得分。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项目服务方案及人员配置</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3</w:t>
            </w:r>
          </w:p>
        </w:tc>
        <w:tc>
          <w:tcPr>
            <w:tcW w:w="6094" w:type="dxa"/>
            <w:vAlign w:val="center"/>
          </w:tcPr>
          <w:p>
            <w:pPr>
              <w:widowControl/>
              <w:spacing w:line="360" w:lineRule="auto"/>
              <w:jc w:val="left"/>
              <w:rPr>
                <w:rFonts w:ascii="Times New Roman" w:hAnsi="Times New Roman" w:eastAsia="宋体"/>
                <w:color w:val="000000" w:themeColor="text1"/>
                <w:kern w:val="0"/>
                <w:szCs w:val="21"/>
              </w:rPr>
            </w:pPr>
            <w:r>
              <w:rPr>
                <w:rFonts w:hint="eastAsia" w:ascii="Times New Roman" w:eastAsia="宋体" w:hAnsiTheme="minorEastAsia"/>
                <w:color w:val="000000" w:themeColor="text1"/>
                <w:kern w:val="0"/>
                <w:szCs w:val="21"/>
              </w:rPr>
              <w:t>项目管理、服务方案清晰，人员配置合理，现场监管流程明确；较好得</w:t>
            </w:r>
            <w:r>
              <w:rPr>
                <w:rFonts w:ascii="Times New Roman" w:hAnsi="Times New Roman" w:eastAsia="宋体"/>
                <w:color w:val="000000" w:themeColor="text1"/>
                <w:kern w:val="0"/>
                <w:szCs w:val="21"/>
              </w:rPr>
              <w:t>3</w:t>
            </w:r>
            <w:r>
              <w:rPr>
                <w:rFonts w:hint="eastAsia" w:ascii="Times New Roman" w:eastAsia="宋体" w:hAnsiTheme="minorEastAsia"/>
                <w:color w:val="000000" w:themeColor="text1"/>
                <w:kern w:val="0"/>
                <w:szCs w:val="21"/>
              </w:rPr>
              <w:t>分，合格得</w:t>
            </w:r>
            <w:r>
              <w:rPr>
                <w:rFonts w:ascii="Times New Roman" w:hAnsi="Times New Roman" w:eastAsia="宋体"/>
                <w:color w:val="000000" w:themeColor="text1"/>
                <w:kern w:val="0"/>
                <w:szCs w:val="21"/>
              </w:rPr>
              <w:t>2</w:t>
            </w:r>
            <w:r>
              <w:rPr>
                <w:rFonts w:hint="eastAsia" w:ascii="Times New Roman" w:eastAsia="宋体" w:hAnsiTheme="minorEastAsia"/>
                <w:color w:val="000000" w:themeColor="text1"/>
                <w:kern w:val="0"/>
                <w:szCs w:val="21"/>
              </w:rPr>
              <w:t>分，不合格不得分。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服务质量控制</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6</w:t>
            </w:r>
          </w:p>
        </w:tc>
        <w:tc>
          <w:tcPr>
            <w:tcW w:w="6094" w:type="dxa"/>
            <w:vAlign w:val="center"/>
          </w:tcPr>
          <w:p>
            <w:pPr>
              <w:widowControl/>
              <w:spacing w:line="360" w:lineRule="auto"/>
              <w:jc w:val="left"/>
              <w:rPr>
                <w:rFonts w:ascii="Times New Roman" w:hAnsi="Times New Roman" w:eastAsia="宋体"/>
                <w:color w:val="000000" w:themeColor="text1"/>
                <w:kern w:val="0"/>
                <w:szCs w:val="21"/>
              </w:rPr>
            </w:pPr>
            <w:r>
              <w:rPr>
                <w:rFonts w:hint="eastAsia" w:ascii="Times New Roman" w:eastAsia="宋体" w:hAnsiTheme="minorEastAsia"/>
                <w:color w:val="000000" w:themeColor="text1"/>
                <w:kern w:val="0"/>
                <w:szCs w:val="21"/>
              </w:rPr>
              <w:t>护理员培训制度健全并完善，较好得</w:t>
            </w:r>
            <w:r>
              <w:rPr>
                <w:rFonts w:ascii="Times New Roman" w:hAnsi="Times New Roman" w:eastAsia="宋体"/>
                <w:color w:val="000000" w:themeColor="text1"/>
                <w:kern w:val="0"/>
                <w:szCs w:val="21"/>
              </w:rPr>
              <w:t>3</w:t>
            </w:r>
            <w:r>
              <w:rPr>
                <w:rFonts w:hint="eastAsia" w:ascii="Times New Roman" w:eastAsia="宋体" w:hAnsiTheme="minorEastAsia"/>
                <w:color w:val="000000" w:themeColor="text1"/>
                <w:kern w:val="0"/>
                <w:szCs w:val="21"/>
              </w:rPr>
              <w:t>分，合格得</w:t>
            </w:r>
            <w:r>
              <w:rPr>
                <w:rFonts w:ascii="Times New Roman" w:hAnsi="Times New Roman" w:eastAsia="宋体"/>
                <w:color w:val="000000" w:themeColor="text1"/>
                <w:kern w:val="0"/>
                <w:szCs w:val="21"/>
              </w:rPr>
              <w:t>2</w:t>
            </w:r>
            <w:r>
              <w:rPr>
                <w:rFonts w:hint="eastAsia" w:ascii="Times New Roman" w:eastAsia="宋体" w:hAnsiTheme="minorEastAsia"/>
                <w:color w:val="000000" w:themeColor="text1"/>
                <w:kern w:val="0"/>
                <w:szCs w:val="21"/>
              </w:rPr>
              <w:t>分；临床服务质量监管制度健全，考核机制合理，较好得</w:t>
            </w:r>
            <w:r>
              <w:rPr>
                <w:rFonts w:ascii="Times New Roman" w:hAnsi="Times New Roman" w:eastAsia="宋体"/>
                <w:color w:val="000000" w:themeColor="text1"/>
                <w:kern w:val="0"/>
                <w:szCs w:val="21"/>
              </w:rPr>
              <w:t>3</w:t>
            </w:r>
            <w:r>
              <w:rPr>
                <w:rFonts w:hint="eastAsia" w:ascii="Times New Roman" w:eastAsia="宋体" w:hAnsiTheme="minorEastAsia"/>
                <w:color w:val="000000" w:themeColor="text1"/>
                <w:kern w:val="0"/>
                <w:szCs w:val="21"/>
              </w:rPr>
              <w:t>分，合格得</w:t>
            </w:r>
            <w:r>
              <w:rPr>
                <w:rFonts w:ascii="Times New Roman" w:hAnsi="Times New Roman" w:eastAsia="宋体"/>
                <w:color w:val="000000" w:themeColor="text1"/>
                <w:kern w:val="0"/>
                <w:szCs w:val="21"/>
              </w:rPr>
              <w:t>2</w:t>
            </w:r>
            <w:r>
              <w:rPr>
                <w:rFonts w:hint="eastAsia" w:ascii="Times New Roman" w:eastAsia="宋体" w:hAnsiTheme="minorEastAsia"/>
                <w:color w:val="000000" w:themeColor="text1"/>
                <w:kern w:val="0"/>
                <w:szCs w:val="21"/>
              </w:rPr>
              <w:t>分；此项总分</w:t>
            </w:r>
            <w:r>
              <w:rPr>
                <w:rFonts w:ascii="Times New Roman" w:hAnsi="Times New Roman" w:eastAsia="宋体"/>
                <w:color w:val="000000" w:themeColor="text1"/>
                <w:kern w:val="0"/>
                <w:szCs w:val="21"/>
              </w:rPr>
              <w:t>6</w:t>
            </w:r>
            <w:r>
              <w:rPr>
                <w:rFonts w:hint="eastAsia" w:ascii="Times New Roman" w:eastAsia="宋体" w:hAnsiTheme="minorEastAsia"/>
                <w:color w:val="000000" w:themeColor="text1"/>
                <w:kern w:val="0"/>
                <w:szCs w:val="21"/>
              </w:rPr>
              <w:t>分，不合格不得分。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400" w:type="dxa"/>
            <w:vMerge w:val="continue"/>
            <w:vAlign w:val="center"/>
          </w:tcPr>
          <w:p>
            <w:pPr>
              <w:widowControl/>
              <w:spacing w:line="360" w:lineRule="auto"/>
              <w:jc w:val="center"/>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bCs/>
                <w:color w:val="000000" w:themeColor="text1"/>
                <w:szCs w:val="21"/>
              </w:rPr>
              <w:t>应急事件处理方案</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4</w:t>
            </w:r>
          </w:p>
        </w:tc>
        <w:tc>
          <w:tcPr>
            <w:tcW w:w="6094" w:type="dxa"/>
            <w:vAlign w:val="center"/>
          </w:tcPr>
          <w:p>
            <w:pPr>
              <w:widowControl/>
              <w:spacing w:line="360" w:lineRule="auto"/>
              <w:jc w:val="left"/>
              <w:rPr>
                <w:rFonts w:ascii="Times New Roman" w:hAnsi="Times New Roman" w:eastAsia="宋体"/>
                <w:color w:val="000000" w:themeColor="text1"/>
                <w:kern w:val="0"/>
                <w:szCs w:val="21"/>
              </w:rPr>
            </w:pPr>
            <w:r>
              <w:rPr>
                <w:rFonts w:hint="eastAsia" w:ascii="Times New Roman" w:eastAsia="宋体" w:cs="宋体" w:hAnsiTheme="minorEastAsia"/>
                <w:bCs/>
                <w:color w:val="000000" w:themeColor="text1"/>
                <w:szCs w:val="21"/>
              </w:rPr>
              <w:t>根据应急预案（如发生投诉及意外事件）细致合理，针对性强，能及时实施应对措施，有投诉、不良事件上报制度。应急事件处理方案分为三个等级：</w:t>
            </w:r>
            <w:r>
              <w:rPr>
                <w:rFonts w:hint="eastAsia" w:ascii="Times New Roman" w:hAnsi="Times New Roman" w:eastAsia="宋体" w:cs="宋体"/>
                <w:bCs/>
                <w:color w:val="000000" w:themeColor="text1"/>
                <w:szCs w:val="21"/>
              </w:rPr>
              <w:t>“</w:t>
            </w:r>
            <w:r>
              <w:rPr>
                <w:rFonts w:hint="eastAsia" w:ascii="Times New Roman" w:eastAsia="宋体" w:cs="宋体" w:hAnsiTheme="minorEastAsia"/>
                <w:bCs/>
                <w:color w:val="000000" w:themeColor="text1"/>
                <w:szCs w:val="21"/>
              </w:rPr>
              <w:t>优</w:t>
            </w:r>
            <w:r>
              <w:rPr>
                <w:rFonts w:hint="eastAsia" w:ascii="Times New Roman" w:hAnsi="Times New Roman" w:eastAsia="宋体" w:cs="宋体"/>
                <w:bCs/>
                <w:color w:val="000000" w:themeColor="text1"/>
                <w:szCs w:val="21"/>
              </w:rPr>
              <w:t>”</w:t>
            </w:r>
            <w:r>
              <w:rPr>
                <w:rFonts w:hint="eastAsia" w:ascii="Times New Roman" w:eastAsia="宋体" w:cs="宋体" w:hAnsiTheme="minorEastAsia"/>
                <w:bCs/>
                <w:color w:val="000000" w:themeColor="text1"/>
                <w:szCs w:val="21"/>
              </w:rPr>
              <w:t>得</w:t>
            </w:r>
            <w:r>
              <w:rPr>
                <w:rFonts w:ascii="Times New Roman" w:hAnsi="Times New Roman" w:eastAsia="宋体" w:cs="宋体"/>
                <w:bCs/>
                <w:color w:val="000000" w:themeColor="text1"/>
                <w:szCs w:val="21"/>
              </w:rPr>
              <w:t>4</w:t>
            </w:r>
            <w:r>
              <w:rPr>
                <w:rFonts w:hint="eastAsia" w:ascii="Times New Roman" w:eastAsia="宋体" w:cs="宋体" w:hAnsiTheme="minorEastAsia"/>
                <w:bCs/>
                <w:color w:val="000000" w:themeColor="text1"/>
                <w:szCs w:val="21"/>
              </w:rPr>
              <w:t>分，</w:t>
            </w:r>
            <w:r>
              <w:rPr>
                <w:rFonts w:hint="eastAsia" w:ascii="Times New Roman" w:hAnsi="Times New Roman" w:eastAsia="宋体" w:cs="宋体"/>
                <w:bCs/>
                <w:color w:val="000000" w:themeColor="text1"/>
                <w:szCs w:val="21"/>
              </w:rPr>
              <w:t>“</w:t>
            </w:r>
            <w:r>
              <w:rPr>
                <w:rFonts w:hint="eastAsia" w:ascii="Times New Roman" w:eastAsia="宋体" w:cs="宋体" w:hAnsiTheme="minorEastAsia"/>
                <w:bCs/>
                <w:color w:val="000000" w:themeColor="text1"/>
                <w:szCs w:val="21"/>
              </w:rPr>
              <w:t>较好</w:t>
            </w:r>
            <w:r>
              <w:rPr>
                <w:rFonts w:hint="eastAsia" w:ascii="Times New Roman" w:hAnsi="Times New Roman" w:eastAsia="宋体" w:cs="宋体"/>
                <w:bCs/>
                <w:color w:val="000000" w:themeColor="text1"/>
                <w:szCs w:val="21"/>
              </w:rPr>
              <w:t>”</w:t>
            </w:r>
            <w:r>
              <w:rPr>
                <w:rFonts w:hint="eastAsia" w:ascii="Times New Roman" w:eastAsia="宋体" w:cs="宋体" w:hAnsiTheme="minorEastAsia"/>
                <w:bCs/>
                <w:color w:val="000000" w:themeColor="text1"/>
                <w:szCs w:val="21"/>
              </w:rPr>
              <w:t>得</w:t>
            </w:r>
            <w:r>
              <w:rPr>
                <w:rFonts w:ascii="Times New Roman" w:hAnsi="Times New Roman" w:eastAsia="宋体" w:cs="宋体"/>
                <w:bCs/>
                <w:color w:val="000000" w:themeColor="text1"/>
                <w:szCs w:val="21"/>
              </w:rPr>
              <w:t>2</w:t>
            </w:r>
            <w:r>
              <w:rPr>
                <w:rFonts w:hint="eastAsia" w:ascii="Times New Roman" w:eastAsia="宋体" w:cs="宋体" w:hAnsiTheme="minorEastAsia"/>
                <w:bCs/>
                <w:color w:val="000000" w:themeColor="text1"/>
                <w:szCs w:val="21"/>
              </w:rPr>
              <w:t>分，</w:t>
            </w:r>
            <w:r>
              <w:rPr>
                <w:rFonts w:hint="eastAsia" w:ascii="Times New Roman" w:hAnsi="Times New Roman" w:eastAsia="宋体" w:cs="宋体"/>
                <w:bCs/>
                <w:color w:val="000000" w:themeColor="text1"/>
                <w:szCs w:val="21"/>
              </w:rPr>
              <w:t>“</w:t>
            </w:r>
            <w:r>
              <w:rPr>
                <w:rFonts w:hint="eastAsia" w:ascii="Times New Roman" w:eastAsia="宋体" w:cs="宋体" w:hAnsiTheme="minorEastAsia"/>
                <w:bCs/>
                <w:color w:val="000000" w:themeColor="text1"/>
                <w:szCs w:val="21"/>
              </w:rPr>
              <w:t>合格</w:t>
            </w:r>
            <w:r>
              <w:rPr>
                <w:rFonts w:hint="eastAsia" w:ascii="Times New Roman" w:hAnsi="Times New Roman" w:eastAsia="宋体" w:cs="宋体"/>
                <w:bCs/>
                <w:color w:val="000000" w:themeColor="text1"/>
                <w:szCs w:val="21"/>
              </w:rPr>
              <w:t>”</w:t>
            </w:r>
            <w:r>
              <w:rPr>
                <w:rFonts w:hint="eastAsia" w:ascii="Times New Roman" w:eastAsia="宋体" w:cs="宋体" w:hAnsiTheme="minorEastAsia"/>
                <w:bCs/>
                <w:color w:val="000000" w:themeColor="text1"/>
                <w:szCs w:val="21"/>
              </w:rPr>
              <w:t>得</w:t>
            </w:r>
            <w:r>
              <w:rPr>
                <w:rFonts w:ascii="Times New Roman" w:hAnsi="Times New Roman" w:eastAsia="宋体" w:cs="宋体"/>
                <w:bCs/>
                <w:color w:val="000000" w:themeColor="text1"/>
                <w:szCs w:val="21"/>
              </w:rPr>
              <w:t>1</w:t>
            </w:r>
            <w:r>
              <w:rPr>
                <w:rFonts w:hint="eastAsia" w:ascii="Times New Roman" w:eastAsia="宋体" w:cs="宋体" w:hAnsiTheme="minorEastAsia"/>
                <w:bCs/>
                <w:color w:val="000000" w:themeColor="text1"/>
                <w:szCs w:val="21"/>
              </w:rPr>
              <w:t>分</w:t>
            </w:r>
            <w:r>
              <w:rPr>
                <w:rFonts w:hint="eastAsia" w:ascii="Times New Roman" w:eastAsia="宋体" w:cs="宋体" w:hAnsiTheme="minorEastAsia"/>
                <w:color w:val="000000" w:themeColor="text1"/>
                <w:szCs w:val="21"/>
              </w:rPr>
              <w:t>，不合格不得分。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400" w:type="dxa"/>
            <w:vMerge w:val="continue"/>
            <w:vAlign w:val="center"/>
          </w:tcPr>
          <w:p>
            <w:pPr>
              <w:widowControl/>
              <w:spacing w:line="360" w:lineRule="auto"/>
              <w:jc w:val="left"/>
              <w:rPr>
                <w:rFonts w:ascii="Times New Roman" w:hAnsi="Times New Roman" w:eastAsia="宋体" w:cs="宋体"/>
                <w:color w:val="000000" w:themeColor="text1"/>
                <w:kern w:val="0"/>
                <w:szCs w:val="21"/>
              </w:rPr>
            </w:pPr>
          </w:p>
        </w:tc>
        <w:tc>
          <w:tcPr>
            <w:tcW w:w="2126" w:type="dxa"/>
            <w:vAlign w:val="center"/>
          </w:tcPr>
          <w:p>
            <w:pPr>
              <w:widowControl/>
              <w:spacing w:line="360" w:lineRule="auto"/>
              <w:jc w:val="center"/>
              <w:rPr>
                <w:rFonts w:ascii="Times New Roman" w:hAnsi="Times New Roman" w:eastAsia="宋体" w:cs="宋体"/>
                <w:color w:val="000000" w:themeColor="text1"/>
                <w:kern w:val="0"/>
                <w:szCs w:val="21"/>
              </w:rPr>
            </w:pPr>
            <w:r>
              <w:rPr>
                <w:rFonts w:hint="eastAsia" w:ascii="Times New Roman" w:eastAsia="宋体" w:cs="宋体" w:hAnsiTheme="minorEastAsia"/>
                <w:color w:val="000000" w:themeColor="text1"/>
                <w:kern w:val="0"/>
                <w:szCs w:val="21"/>
              </w:rPr>
              <w:t>创新性建议和举措</w:t>
            </w:r>
          </w:p>
        </w:tc>
        <w:tc>
          <w:tcPr>
            <w:tcW w:w="850" w:type="dxa"/>
            <w:vAlign w:val="center"/>
          </w:tcPr>
          <w:p>
            <w:pPr>
              <w:widowControl/>
              <w:spacing w:line="360" w:lineRule="auto"/>
              <w:jc w:val="center"/>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6</w:t>
            </w:r>
          </w:p>
        </w:tc>
        <w:tc>
          <w:tcPr>
            <w:tcW w:w="6094" w:type="dxa"/>
            <w:vAlign w:val="center"/>
          </w:tcPr>
          <w:p>
            <w:pPr>
              <w:widowControl/>
              <w:spacing w:line="360" w:lineRule="auto"/>
              <w:jc w:val="left"/>
              <w:rPr>
                <w:rFonts w:ascii="Times New Roman" w:hAnsi="Times New Roman" w:eastAsia="宋体"/>
                <w:color w:val="000000" w:themeColor="text1"/>
                <w:kern w:val="0"/>
                <w:szCs w:val="21"/>
              </w:rPr>
            </w:pPr>
            <w:r>
              <w:rPr>
                <w:rFonts w:hint="eastAsia" w:ascii="Times New Roman" w:eastAsia="宋体" w:cs="宋体" w:hAnsiTheme="minorEastAsia"/>
                <w:kern w:val="0"/>
                <w:szCs w:val="21"/>
              </w:rPr>
              <w:t>针对本次陪护管理项目所提供的信息化管理方案（提供在用的信息界面截图的）进行横向比较，近</w:t>
            </w:r>
            <w:r>
              <w:rPr>
                <w:rFonts w:hint="eastAsia" w:ascii="Times New Roman" w:hAnsi="Times New Roman" w:eastAsia="宋体" w:cs="宋体"/>
                <w:kern w:val="0"/>
                <w:szCs w:val="21"/>
              </w:rPr>
              <w:t>1</w:t>
            </w:r>
            <w:r>
              <w:rPr>
                <w:rFonts w:hint="eastAsia" w:ascii="Times New Roman" w:eastAsia="宋体" w:cs="宋体" w:hAnsiTheme="minorEastAsia"/>
                <w:kern w:val="0"/>
                <w:szCs w:val="21"/>
              </w:rPr>
              <w:t>年在线支付订单量</w:t>
            </w:r>
            <w:r>
              <w:rPr>
                <w:rFonts w:hint="eastAsia" w:ascii="Times New Roman" w:hAnsi="Times New Roman" w:eastAsia="宋体" w:cs="宋体"/>
                <w:kern w:val="0"/>
                <w:szCs w:val="21"/>
              </w:rPr>
              <w:t>≥10000</w:t>
            </w:r>
            <w:r>
              <w:rPr>
                <w:rFonts w:hint="eastAsia" w:ascii="Times New Roman" w:eastAsia="宋体" w:cs="宋体" w:hAnsiTheme="minorEastAsia"/>
                <w:kern w:val="0"/>
                <w:szCs w:val="21"/>
              </w:rPr>
              <w:t>单得</w:t>
            </w:r>
            <w:r>
              <w:rPr>
                <w:rFonts w:ascii="Times New Roman" w:hAnsi="Times New Roman" w:eastAsia="宋体" w:cs="宋体"/>
                <w:kern w:val="0"/>
                <w:szCs w:val="21"/>
              </w:rPr>
              <w:t>6</w:t>
            </w:r>
            <w:r>
              <w:rPr>
                <w:rFonts w:hint="eastAsia" w:ascii="Times New Roman" w:eastAsia="宋体" w:cs="宋体" w:hAnsiTheme="minorEastAsia"/>
                <w:kern w:val="0"/>
                <w:szCs w:val="21"/>
              </w:rPr>
              <w:t>分，在线支付订单量</w:t>
            </w:r>
            <w:r>
              <w:rPr>
                <w:rFonts w:hint="eastAsia" w:ascii="Times New Roman" w:hAnsi="Times New Roman" w:eastAsia="宋体" w:cs="宋体"/>
                <w:kern w:val="0"/>
                <w:szCs w:val="21"/>
              </w:rPr>
              <w:t>≥</w:t>
            </w:r>
            <w:r>
              <w:rPr>
                <w:rFonts w:ascii="Times New Roman" w:hAnsi="Times New Roman" w:eastAsia="宋体" w:cs="宋体"/>
                <w:kern w:val="0"/>
                <w:szCs w:val="21"/>
              </w:rPr>
              <w:t>5000</w:t>
            </w:r>
            <w:r>
              <w:rPr>
                <w:rFonts w:hint="eastAsia" w:ascii="Times New Roman" w:eastAsia="宋体" w:cs="宋体" w:hAnsiTheme="minorEastAsia"/>
                <w:kern w:val="0"/>
                <w:szCs w:val="21"/>
              </w:rPr>
              <w:t>单得</w:t>
            </w:r>
            <w:r>
              <w:rPr>
                <w:rFonts w:hint="eastAsia" w:ascii="Times New Roman" w:hAnsi="Times New Roman" w:eastAsia="宋体" w:cs="宋体"/>
                <w:kern w:val="0"/>
                <w:szCs w:val="21"/>
              </w:rPr>
              <w:t>4</w:t>
            </w:r>
            <w:r>
              <w:rPr>
                <w:rFonts w:hint="eastAsia" w:ascii="Times New Roman" w:eastAsia="宋体" w:cs="宋体" w:hAnsiTheme="minorEastAsia"/>
                <w:kern w:val="0"/>
                <w:szCs w:val="21"/>
              </w:rPr>
              <w:t>分，在线支付订单量</w:t>
            </w:r>
            <w:r>
              <w:rPr>
                <w:rFonts w:hint="eastAsia" w:ascii="Times New Roman" w:hAnsi="Times New Roman" w:eastAsia="宋体" w:cs="宋体"/>
                <w:kern w:val="0"/>
                <w:szCs w:val="21"/>
              </w:rPr>
              <w:t>≥</w:t>
            </w:r>
            <w:r>
              <w:rPr>
                <w:rFonts w:ascii="Times New Roman" w:hAnsi="Times New Roman" w:eastAsia="宋体" w:cs="宋体"/>
                <w:kern w:val="0"/>
                <w:szCs w:val="21"/>
              </w:rPr>
              <w:t>3000</w:t>
            </w:r>
            <w:r>
              <w:rPr>
                <w:rFonts w:hint="eastAsia" w:ascii="Times New Roman" w:eastAsia="宋体" w:cs="宋体" w:hAnsiTheme="minorEastAsia"/>
                <w:kern w:val="0"/>
                <w:szCs w:val="21"/>
              </w:rPr>
              <w:t>单得</w:t>
            </w:r>
            <w:r>
              <w:rPr>
                <w:rFonts w:hint="eastAsia" w:ascii="Times New Roman" w:hAnsi="Times New Roman" w:eastAsia="宋体" w:cs="宋体"/>
                <w:kern w:val="0"/>
                <w:szCs w:val="21"/>
              </w:rPr>
              <w:t>2</w:t>
            </w:r>
            <w:r>
              <w:rPr>
                <w:rFonts w:hint="eastAsia" w:ascii="Times New Roman" w:eastAsia="宋体" w:cs="宋体" w:hAnsiTheme="minorEastAsia"/>
                <w:kern w:val="0"/>
                <w:szCs w:val="21"/>
              </w:rPr>
              <w:t>分，未提供不得分。</w:t>
            </w:r>
          </w:p>
        </w:tc>
      </w:tr>
    </w:tbl>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（二）招标响应报价评审：（价格标30分）</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1本项目最低限价为（病人）</w:t>
      </w:r>
      <w:r>
        <w:rPr>
          <w:rFonts w:hint="eastAsia" w:ascii="Times New Roman" w:hAnsi="Times New Roman" w:eastAsia="宋体"/>
          <w:sz w:val="24"/>
          <w:szCs w:val="24"/>
        </w:rPr>
        <w:t>5元/人/天</w:t>
      </w:r>
      <w:r>
        <w:rPr>
          <w:rFonts w:hint="eastAsia" w:ascii="Times New Roman" w:hAnsi="Times New Roman" w:eastAsia="宋体" w:cs="宋体"/>
          <w:bCs/>
          <w:sz w:val="24"/>
          <w:szCs w:val="24"/>
        </w:rPr>
        <w:t>，低于该限价作无效招标处理。</w:t>
      </w:r>
    </w:p>
    <w:p>
      <w:pPr>
        <w:spacing w:line="360" w:lineRule="auto"/>
        <w:ind w:firstLine="480" w:firstLineChars="200"/>
        <w:textAlignment w:val="baseline"/>
        <w:rPr>
          <w:rFonts w:ascii="Times New Roman" w:hAnsi="Times New Roman" w:eastAsia="宋体" w:cs="宋体"/>
          <w:bCs/>
          <w:sz w:val="24"/>
          <w:szCs w:val="24"/>
          <w:lang w:val="zh-CN"/>
        </w:rPr>
      </w:pPr>
      <w:r>
        <w:rPr>
          <w:rFonts w:hint="eastAsia" w:ascii="Times New Roman" w:hAnsi="Times New Roman" w:eastAsia="宋体" w:cs="宋体"/>
          <w:bCs/>
          <w:sz w:val="24"/>
          <w:szCs w:val="24"/>
        </w:rPr>
        <w:t>2.</w:t>
      </w:r>
      <w:r>
        <w:rPr>
          <w:rFonts w:hint="eastAsia" w:ascii="Times New Roman" w:hAnsi="Times New Roman" w:eastAsia="宋体" w:cs="宋体"/>
          <w:bCs/>
          <w:sz w:val="24"/>
          <w:szCs w:val="24"/>
          <w:lang w:val="zh-CN"/>
        </w:rPr>
        <w:t>将满足招标文件要求报价最高的供应商的价格为招标基准价，其价格分为满分。其他供应商的价格分统一按照下列公式计算：</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lang w:val="zh-CN"/>
        </w:rPr>
        <w:t>招标报价得分=（投标报价/招标基准价）×价格权值×100%</w:t>
      </w:r>
    </w:p>
    <w:p>
      <w:pPr>
        <w:spacing w:line="360" w:lineRule="auto"/>
        <w:ind w:firstLine="482" w:firstLineChars="200"/>
        <w:textAlignment w:val="baseline"/>
        <w:rPr>
          <w:rFonts w:ascii="Times New Roman" w:hAnsi="Times New Roman" w:eastAsia="宋体" w:cs="宋体"/>
          <w:b/>
          <w:bCs/>
          <w:sz w:val="24"/>
          <w:szCs w:val="24"/>
          <w:lang w:val="zh-CN"/>
        </w:rPr>
      </w:pPr>
      <w:r>
        <w:rPr>
          <w:rFonts w:hint="eastAsia" w:ascii="Times New Roman" w:hAnsi="Times New Roman" w:eastAsia="宋体" w:cs="宋体"/>
          <w:b/>
          <w:bCs/>
          <w:sz w:val="24"/>
          <w:szCs w:val="24"/>
          <w:lang w:val="zh-CN"/>
        </w:rPr>
        <w:t>六、出现下列情形之一的，招标采购活动终止，发布项目终止公告并说明原因，重新开展采购活动：</w:t>
      </w:r>
    </w:p>
    <w:p>
      <w:pPr>
        <w:spacing w:line="360" w:lineRule="auto"/>
        <w:ind w:firstLine="480" w:firstLineChars="200"/>
        <w:textAlignment w:val="baseline"/>
        <w:rPr>
          <w:rFonts w:ascii="Times New Roman" w:hAnsi="Times New Roman" w:eastAsia="宋体" w:cs="宋体"/>
          <w:bCs/>
          <w:sz w:val="24"/>
          <w:szCs w:val="24"/>
          <w:lang w:val="zh-CN"/>
        </w:rPr>
      </w:pPr>
      <w:r>
        <w:rPr>
          <w:rFonts w:hint="eastAsia" w:ascii="Times New Roman" w:hAnsi="Times New Roman" w:eastAsia="宋体" w:cs="宋体"/>
          <w:bCs/>
          <w:sz w:val="24"/>
          <w:szCs w:val="24"/>
          <w:lang w:val="zh-CN"/>
        </w:rPr>
        <w:t>（一）因情况变化，不再符合规定的招标采购方式适用情形的；</w:t>
      </w:r>
    </w:p>
    <w:p>
      <w:pPr>
        <w:spacing w:line="360" w:lineRule="auto"/>
        <w:ind w:firstLine="480" w:firstLineChars="200"/>
        <w:textAlignment w:val="baseline"/>
        <w:rPr>
          <w:rFonts w:ascii="Times New Roman" w:hAnsi="Times New Roman" w:eastAsia="宋体" w:cs="宋体"/>
          <w:bCs/>
          <w:sz w:val="24"/>
          <w:szCs w:val="24"/>
          <w:lang w:val="zh-CN"/>
        </w:rPr>
      </w:pPr>
      <w:r>
        <w:rPr>
          <w:rFonts w:hint="eastAsia" w:ascii="Times New Roman" w:hAnsi="Times New Roman" w:eastAsia="宋体" w:cs="宋体"/>
          <w:bCs/>
          <w:sz w:val="24"/>
          <w:szCs w:val="24"/>
          <w:lang w:val="zh-CN"/>
        </w:rPr>
        <w:t>（二）出现影响采购公正的违法、违规行为的；</w:t>
      </w:r>
    </w:p>
    <w:p>
      <w:pPr>
        <w:spacing w:line="360" w:lineRule="auto"/>
        <w:ind w:firstLine="480" w:firstLineChars="200"/>
        <w:textAlignment w:val="baseline"/>
        <w:rPr>
          <w:rFonts w:ascii="Times New Roman" w:hAnsi="Times New Roman" w:eastAsia="宋体" w:cs="宋体"/>
          <w:bCs/>
          <w:sz w:val="24"/>
          <w:szCs w:val="24"/>
          <w:lang w:val="zh-CN"/>
        </w:rPr>
      </w:pPr>
      <w:r>
        <w:rPr>
          <w:rFonts w:hint="eastAsia" w:ascii="Times New Roman" w:hAnsi="Times New Roman" w:eastAsia="宋体" w:cs="宋体"/>
          <w:bCs/>
          <w:sz w:val="24"/>
          <w:szCs w:val="24"/>
          <w:lang w:val="zh-CN"/>
        </w:rPr>
        <w:t>（三）在采购过程中符合要求的供应商不足3家的。</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lang w:val="zh-CN"/>
        </w:rPr>
        <w:t>七</w:t>
      </w:r>
      <w:r>
        <w:rPr>
          <w:rFonts w:hint="eastAsia" w:ascii="Times New Roman" w:hAnsi="Times New Roman" w:eastAsia="宋体" w:cs="宋体"/>
          <w:b/>
          <w:bCs/>
          <w:sz w:val="24"/>
          <w:szCs w:val="24"/>
        </w:rPr>
        <w:t>、成交通知</w:t>
      </w:r>
    </w:p>
    <w:p>
      <w:pPr>
        <w:spacing w:line="360" w:lineRule="auto"/>
        <w:ind w:firstLine="480" w:firstLineChars="200"/>
        <w:textAlignment w:val="baseline"/>
        <w:rPr>
          <w:rFonts w:ascii="Times New Roman" w:hAnsi="Times New Roman" w:eastAsia="宋体" w:cs="宋体"/>
          <w:b/>
          <w:bCs/>
          <w:sz w:val="24"/>
          <w:szCs w:val="24"/>
        </w:rPr>
      </w:pPr>
      <w:r>
        <w:rPr>
          <w:rFonts w:hint="eastAsia" w:ascii="Times New Roman" w:hAnsi="Times New Roman" w:eastAsia="宋体" w:cs="宋体"/>
          <w:bCs/>
          <w:sz w:val="24"/>
          <w:szCs w:val="24"/>
        </w:rPr>
        <w:t>成交结果在指定媒体上公示1个工作日。《成交通知书》一经发出，采购单位改变成交结果，或者成交供应商放弃成交的，各自承担相应的法律责任。《成交通知书》是采购合同的组成部分。</w:t>
      </w:r>
    </w:p>
    <w:p>
      <w:pPr>
        <w:widowControl/>
        <w:jc w:val="left"/>
        <w:rPr>
          <w:rFonts w:ascii="Times New Roman" w:hAnsi="Times New Roman" w:eastAsia="宋体" w:cs="宋体"/>
          <w:b/>
          <w:w w:val="80"/>
          <w:kern w:val="44"/>
          <w:sz w:val="44"/>
          <w:szCs w:val="44"/>
        </w:rPr>
      </w:pPr>
      <w:r>
        <w:rPr>
          <w:rFonts w:ascii="Times New Roman" w:hAnsi="Times New Roman" w:eastAsia="宋体" w:cs="宋体"/>
          <w:w w:val="80"/>
          <w:szCs w:val="44"/>
        </w:rPr>
        <w:br w:type="page"/>
      </w: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第五章 合同授予</w:t>
      </w:r>
    </w:p>
    <w:p>
      <w:pPr>
        <w:spacing w:line="360" w:lineRule="auto"/>
        <w:ind w:firstLine="480" w:firstLineChars="200"/>
        <w:textAlignment w:val="baseline"/>
        <w:rPr>
          <w:rFonts w:ascii="Times New Roman" w:hAnsi="Times New Roman" w:eastAsia="宋体" w:cs="宋体"/>
          <w:bCs/>
          <w:sz w:val="24"/>
          <w:szCs w:val="24"/>
          <w:lang w:val="zh-CN"/>
        </w:rPr>
      </w:pPr>
      <w:bookmarkStart w:id="9" w:name="_Toc363573859"/>
      <w:r>
        <w:rPr>
          <w:rFonts w:hint="eastAsia" w:ascii="Times New Roman" w:hAnsi="Times New Roman" w:eastAsia="宋体" w:cs="宋体"/>
          <w:bCs/>
          <w:sz w:val="24"/>
          <w:szCs w:val="24"/>
          <w:lang w:val="zh-CN"/>
        </w:rPr>
        <w:t>一、中标供应商和采购单位在接到《成交通知书》后十五日内签订合同。合同签订后中标供应商方可履约，否则引起的一切后果由中标人自行承担。所签合同不得对采购文件作实质性修改。采购单位不得向中标供应商提出不合理的要求作为签订合同的条件，不得与中标供应商私下订立背离采购文件实质性内容的协议。</w:t>
      </w:r>
    </w:p>
    <w:p>
      <w:pPr>
        <w:spacing w:line="360" w:lineRule="auto"/>
        <w:ind w:firstLine="480" w:firstLineChars="200"/>
        <w:textAlignment w:val="baseline"/>
        <w:rPr>
          <w:rFonts w:ascii="Times New Roman" w:hAnsi="Times New Roman" w:eastAsia="宋体" w:cs="宋体"/>
          <w:bCs/>
          <w:sz w:val="24"/>
          <w:szCs w:val="24"/>
          <w:lang w:val="zh-CN"/>
        </w:rPr>
      </w:pPr>
      <w:bookmarkStart w:id="10" w:name="OLE_LINK2"/>
      <w:bookmarkStart w:id="11" w:name="OLE_LINK1"/>
      <w:r>
        <w:rPr>
          <w:rFonts w:hint="eastAsia" w:ascii="Times New Roman" w:hAnsi="Times New Roman" w:eastAsia="宋体" w:cs="宋体"/>
          <w:bCs/>
          <w:sz w:val="24"/>
          <w:szCs w:val="24"/>
          <w:lang w:val="zh-CN"/>
        </w:rPr>
        <w:t>二、中标供应商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480" w:firstLineChars="200"/>
        <w:textAlignment w:val="baseline"/>
        <w:rPr>
          <w:rFonts w:ascii="Times New Roman" w:hAnsi="Times New Roman" w:eastAsia="宋体" w:cs="宋体"/>
          <w:bCs/>
          <w:sz w:val="24"/>
          <w:szCs w:val="24"/>
          <w:lang w:val="zh-CN"/>
        </w:rPr>
      </w:pPr>
      <w:r>
        <w:rPr>
          <w:rFonts w:hint="eastAsia" w:ascii="Times New Roman" w:hAnsi="Times New Roman" w:eastAsia="宋体" w:cs="宋体"/>
          <w:bCs/>
          <w:sz w:val="24"/>
          <w:szCs w:val="24"/>
          <w:lang w:val="zh-CN"/>
        </w:rPr>
        <w:t>三、不响应付款方式的，视同无效投标处理。</w:t>
      </w:r>
    </w:p>
    <w:bookmarkEnd w:id="10"/>
    <w:bookmarkEnd w:id="11"/>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lang w:val="zh-CN"/>
        </w:rPr>
        <w:t>四、中标服务费（含招标代理费、</w:t>
      </w:r>
      <w:r>
        <w:rPr>
          <w:rFonts w:hint="eastAsia" w:ascii="Times New Roman" w:hAnsi="Times New Roman" w:eastAsia="宋体" w:cs="宋体"/>
          <w:b/>
          <w:sz w:val="24"/>
          <w:szCs w:val="24"/>
        </w:rPr>
        <w:t>预算编制审核费用</w:t>
      </w:r>
      <w:r>
        <w:rPr>
          <w:rFonts w:hint="eastAsia" w:ascii="Times New Roman" w:hAnsi="Times New Roman" w:eastAsia="宋体" w:cs="宋体"/>
          <w:b/>
          <w:sz w:val="24"/>
          <w:szCs w:val="24"/>
        </w:rPr>
        <w:softHyphen/>
      </w:r>
      <w:r>
        <w:rPr>
          <w:rFonts w:hint="eastAsia" w:ascii="Times New Roman" w:hAnsi="Times New Roman" w:eastAsia="宋体" w:cs="宋体"/>
          <w:b/>
          <w:sz w:val="24"/>
          <w:szCs w:val="24"/>
        </w:rPr>
        <w:t>-</w:t>
      </w:r>
      <w:r>
        <w:rPr>
          <w:rFonts w:hint="eastAsia" w:ascii="Times New Roman" w:hAnsi="Times New Roman" w:eastAsia="宋体" w:cs="宋体"/>
          <w:b/>
          <w:sz w:val="24"/>
          <w:szCs w:val="24"/>
        </w:rPr>
        <w:softHyphen/>
      </w:r>
      <w:r>
        <w:rPr>
          <w:rFonts w:hint="eastAsia" w:ascii="Times New Roman" w:hAnsi="Times New Roman" w:eastAsia="宋体" w:cs="宋体"/>
          <w:b/>
          <w:sz w:val="24"/>
          <w:szCs w:val="24"/>
        </w:rPr>
        <w:softHyphen/>
      </w:r>
      <w:r>
        <w:rPr>
          <w:rFonts w:hint="eastAsia" w:ascii="Times New Roman" w:hAnsi="Times New Roman" w:eastAsia="宋体" w:cs="宋体"/>
          <w:b/>
          <w:sz w:val="24"/>
          <w:szCs w:val="24"/>
        </w:rPr>
        <w:softHyphen/>
      </w:r>
      <w:r>
        <w:rPr>
          <w:rFonts w:hint="eastAsia" w:ascii="Times New Roman" w:hAnsi="Times New Roman" w:eastAsia="宋体" w:cs="宋体"/>
          <w:b/>
          <w:sz w:val="24"/>
          <w:szCs w:val="24"/>
        </w:rPr>
        <w:t>-如有</w:t>
      </w:r>
      <w:r>
        <w:rPr>
          <w:rFonts w:hint="eastAsia" w:ascii="Times New Roman" w:hAnsi="Times New Roman" w:eastAsia="宋体" w:cs="宋体"/>
          <w:b/>
          <w:sz w:val="24"/>
          <w:szCs w:val="24"/>
          <w:lang w:val="zh-CN"/>
        </w:rPr>
        <w:t>）</w:t>
      </w:r>
      <w:r>
        <w:rPr>
          <w:rFonts w:hint="eastAsia" w:ascii="Times New Roman" w:hAnsi="Times New Roman" w:eastAsia="宋体" w:cs="宋体"/>
          <w:b/>
          <w:sz w:val="24"/>
          <w:szCs w:val="24"/>
        </w:rPr>
        <w:t>由代理机构在发放中标通知书时</w:t>
      </w:r>
      <w:r>
        <w:rPr>
          <w:rFonts w:hint="eastAsia" w:ascii="Times New Roman" w:hAnsi="Times New Roman" w:eastAsia="宋体" w:cs="宋体"/>
          <w:b/>
          <w:sz w:val="24"/>
          <w:szCs w:val="24"/>
          <w:lang w:val="zh-CN"/>
        </w:rPr>
        <w:t>向成交供应商收取，不得向供应商收取专家评标劳务费。</w:t>
      </w:r>
    </w:p>
    <w:p>
      <w:pPr>
        <w:spacing w:line="360" w:lineRule="auto"/>
        <w:jc w:val="center"/>
        <w:textAlignment w:val="baseline"/>
        <w:rPr>
          <w:rFonts w:ascii="Times New Roman" w:hAnsi="Times New Roman" w:eastAsia="宋体" w:cs="宋体"/>
          <w:b/>
          <w:bCs/>
          <w:w w:val="80"/>
          <w:kern w:val="44"/>
          <w:sz w:val="24"/>
          <w:szCs w:val="24"/>
        </w:rPr>
      </w:pPr>
    </w:p>
    <w:p>
      <w:pPr>
        <w:pStyle w:val="2"/>
      </w:pPr>
    </w:p>
    <w:p>
      <w:pPr>
        <w:widowControl/>
        <w:jc w:val="left"/>
        <w:rPr>
          <w:rFonts w:ascii="Times New Roman" w:hAnsi="Times New Roman" w:eastAsia="宋体" w:cs="宋体"/>
          <w:b/>
          <w:bCs/>
          <w:w w:val="80"/>
          <w:kern w:val="44"/>
          <w:sz w:val="44"/>
          <w:szCs w:val="44"/>
        </w:rPr>
      </w:pPr>
      <w:r>
        <w:rPr>
          <w:rFonts w:ascii="Times New Roman" w:hAnsi="Times New Roman" w:eastAsia="宋体" w:cs="宋体"/>
          <w:b/>
          <w:bCs/>
          <w:w w:val="80"/>
          <w:kern w:val="44"/>
          <w:sz w:val="44"/>
          <w:szCs w:val="44"/>
        </w:rPr>
        <w:br w:type="page"/>
      </w: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第六章 质疑与投诉</w:t>
      </w:r>
      <w:bookmarkEnd w:id="9"/>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潜在投标人或其他利害关系人对采购文件有异议的，应当在有效时限内提出。代理机构将在收到异议之日起3日内作出答复。潜在投标人应当在法定异议期内一次性提出针对同一采购程序环节的异议，潜在投标人如在法定期限内对同一采购程序环节提出多次异议的，代理机构只对潜在投标人第一次异议作出答复。</w:t>
      </w:r>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异议必须有参加投标供应商法定代表人签字或盖章并加盖投标人公章。若授权代表签字或盖章的必须附法定代表人针对本次异议的特别授权，以传真、电子邮件等方式递交的异议，代理机构不予受理，代理机构只接收以纸质原件形式送达的异议。</w:t>
      </w:r>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3.异议函应当包括下列内容：</w:t>
      </w:r>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（1）异议投标人的名称、地址、邮编、联系人、联系电话；</w:t>
      </w:r>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（2）具体的异议事项及明确的请求；</w:t>
      </w:r>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（3）认为自己合法权益受到损害或可能受到损害的相关证据材料；</w:t>
      </w:r>
    </w:p>
    <w:p>
      <w:pPr>
        <w:adjustRightInd w:val="0"/>
        <w:snapToGrid w:val="0"/>
        <w:spacing w:line="520" w:lineRule="exact"/>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（4）提起异议的日期。</w:t>
      </w:r>
    </w:p>
    <w:p>
      <w:pPr>
        <w:spacing w:line="360" w:lineRule="auto"/>
        <w:ind w:firstLine="480" w:firstLineChars="200"/>
        <w:textAlignment w:val="baseline"/>
        <w:rPr>
          <w:rFonts w:ascii="Times New Roman" w:hAnsi="Times New Roman" w:eastAsia="宋体" w:cs="宋体"/>
          <w:sz w:val="24"/>
          <w:szCs w:val="24"/>
        </w:rPr>
      </w:pPr>
    </w:p>
    <w:p>
      <w:pPr>
        <w:widowControl/>
        <w:jc w:val="left"/>
        <w:textAlignment w:val="baseline"/>
        <w:rPr>
          <w:rFonts w:ascii="Times New Roman" w:hAnsi="Times New Roman" w:eastAsia="宋体"/>
        </w:rPr>
      </w:pPr>
    </w:p>
    <w:p>
      <w:pPr>
        <w:pStyle w:val="2"/>
      </w:pPr>
    </w:p>
    <w:p>
      <w:pPr>
        <w:widowControl/>
        <w:jc w:val="left"/>
        <w:rPr>
          <w:rFonts w:ascii="Times New Roman" w:hAnsi="Times New Roman" w:eastAsia="宋体" w:cs="宋体"/>
          <w:b/>
          <w:bCs/>
          <w:w w:val="80"/>
          <w:kern w:val="44"/>
          <w:sz w:val="44"/>
          <w:szCs w:val="44"/>
        </w:rPr>
      </w:pPr>
      <w:r>
        <w:rPr>
          <w:rFonts w:ascii="Times New Roman" w:hAnsi="Times New Roman" w:eastAsia="宋体" w:cs="宋体"/>
          <w:b/>
          <w:bCs/>
          <w:w w:val="80"/>
          <w:kern w:val="44"/>
          <w:sz w:val="44"/>
          <w:szCs w:val="44"/>
        </w:rPr>
        <w:br w:type="page"/>
      </w:r>
    </w:p>
    <w:p>
      <w:pPr>
        <w:pStyle w:val="3"/>
        <w:keepLines w:val="0"/>
        <w:spacing w:before="0" w:after="0" w:line="720" w:lineRule="auto"/>
        <w:jc w:val="center"/>
        <w:textAlignment w:val="baseline"/>
        <w:rPr>
          <w:rFonts w:ascii="Times New Roman" w:hAnsi="Times New Roman" w:eastAsia="宋体" w:cs="宋体"/>
          <w:w w:val="80"/>
          <w:szCs w:val="44"/>
        </w:rPr>
      </w:pPr>
      <w:r>
        <w:rPr>
          <w:rFonts w:hint="eastAsia" w:ascii="Times New Roman" w:hAnsi="Times New Roman" w:eastAsia="宋体" w:cs="宋体"/>
          <w:w w:val="80"/>
          <w:szCs w:val="44"/>
        </w:rPr>
        <w:t>第七章 响应响应文件组成及格式</w:t>
      </w:r>
    </w:p>
    <w:p>
      <w:pPr>
        <w:spacing w:line="360" w:lineRule="auto"/>
        <w:ind w:firstLine="480" w:firstLineChars="200"/>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一、招标响应文件组成</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响应文件由资格审查文件、技术响应文件、商务报价响应文件三部分组成。本次招标采用资格后审方式，供应商须将资格审查文件作为响应文件组成部分，按招标文件要求装订密封后一起递交。</w:t>
      </w:r>
    </w:p>
    <w:p>
      <w:pPr>
        <w:spacing w:line="360" w:lineRule="auto"/>
        <w:ind w:firstLine="480" w:firstLineChars="200"/>
        <w:jc w:val="left"/>
        <w:textAlignment w:val="baseline"/>
        <w:rPr>
          <w:rFonts w:ascii="Times New Roman" w:hAnsi="Times New Roman" w:eastAsia="宋体" w:cs="宋体"/>
          <w:color w:val="FF0000"/>
          <w:sz w:val="24"/>
          <w:szCs w:val="24"/>
        </w:rPr>
      </w:pPr>
      <w:r>
        <w:rPr>
          <w:rFonts w:hint="eastAsia" w:ascii="Times New Roman" w:hAnsi="Times New Roman" w:eastAsia="宋体" w:cs="宋体"/>
          <w:sz w:val="24"/>
          <w:szCs w:val="24"/>
        </w:rPr>
        <w:t>（一）资格审查文件（单独装订密封），包括但不限于以下内容（如有格式要求，可参见附件）。</w:t>
      </w:r>
    </w:p>
    <w:p>
      <w:pPr>
        <w:spacing w:line="360" w:lineRule="auto"/>
        <w:ind w:firstLine="480" w:firstLineChars="200"/>
        <w:textAlignment w:val="baseline"/>
        <w:rPr>
          <w:rFonts w:ascii="Times New Roman" w:hAnsi="Times New Roman" w:eastAsia="宋体" w:cs="宋体"/>
          <w:color w:val="000000"/>
          <w:sz w:val="24"/>
          <w:szCs w:val="24"/>
        </w:rPr>
      </w:pPr>
      <w:r>
        <w:rPr>
          <w:rFonts w:hint="eastAsia" w:ascii="Times New Roman" w:hAnsi="Times New Roman" w:eastAsia="宋体" w:cs="宋体"/>
          <w:sz w:val="24"/>
          <w:szCs w:val="24"/>
        </w:rPr>
        <w:t>1、供应商的企业法人营业执照（副本）复印件及税务登记证（副本）复印件；或者是三证合一的营业执照（副本）复印件</w:t>
      </w:r>
      <w:r>
        <w:rPr>
          <w:rFonts w:hint="eastAsia" w:ascii="Times New Roman" w:hAnsi="Times New Roman" w:eastAsia="宋体" w:cs="宋体"/>
          <w:color w:val="000000"/>
          <w:sz w:val="24"/>
          <w:szCs w:val="24"/>
        </w:rPr>
        <w:t>。</w:t>
      </w:r>
    </w:p>
    <w:p>
      <w:pPr>
        <w:spacing w:line="360" w:lineRule="auto"/>
        <w:ind w:firstLine="480" w:firstLineChars="200"/>
        <w:textAlignment w:val="baseline"/>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2、供应商法定代表人参加招标活动的，必须提供法定代表人身份证明及法定代表人本人身份证复印件；非法定代表人参加招标活动的，必须提供法定代表人签字或盖章的授权委托书及法定代表人、被授权人的两人身份证的复印件。</w:t>
      </w:r>
    </w:p>
    <w:p>
      <w:pPr>
        <w:spacing w:line="360" w:lineRule="auto"/>
        <w:ind w:firstLine="480" w:firstLineChars="200"/>
        <w:textAlignment w:val="baseline"/>
        <w:rPr>
          <w:rFonts w:ascii="Times New Roman" w:hAnsi="Times New Roman" w:eastAsia="宋体" w:cs="宋体"/>
          <w:color w:val="000000"/>
          <w:sz w:val="24"/>
          <w:szCs w:val="24"/>
        </w:rPr>
      </w:pPr>
      <w:r>
        <w:rPr>
          <w:rFonts w:hint="eastAsia" w:ascii="Times New Roman" w:hAnsi="Times New Roman" w:eastAsia="宋体" w:cs="宋体"/>
          <w:kern w:val="0"/>
          <w:sz w:val="24"/>
          <w:szCs w:val="24"/>
        </w:rPr>
        <w:t>3、</w:t>
      </w:r>
      <w:r>
        <w:rPr>
          <w:rFonts w:hint="eastAsia" w:ascii="Times New Roman" w:hAnsi="Times New Roman" w:eastAsia="宋体" w:cs="宋体"/>
          <w:color w:val="000000"/>
          <w:sz w:val="24"/>
          <w:szCs w:val="24"/>
        </w:rPr>
        <w:t>供应商须提供参与本次项目政府采购活动前三年内，在经营活动中没有重大违法记录的书面《无重大违法记录声明函》（格式参见第七章）。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注：以上材料如为复印件均需加盖供应商公章。</w:t>
      </w:r>
    </w:p>
    <w:p>
      <w:pPr>
        <w:numPr>
          <w:ilvl w:val="0"/>
          <w:numId w:val="1"/>
        </w:num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技术响应文件（单独装订密封）</w:t>
      </w:r>
    </w:p>
    <w:p>
      <w:pPr>
        <w:spacing w:line="360" w:lineRule="auto"/>
        <w:ind w:firstLine="480" w:firstLineChars="200"/>
        <w:jc w:val="left"/>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为方便评委评审，请投标人按评标办法中所涉及的事项顺序进行编制，可以补充相关材料。</w:t>
      </w:r>
    </w:p>
    <w:p>
      <w:pPr>
        <w:spacing w:line="360" w:lineRule="auto"/>
        <w:ind w:firstLine="480" w:firstLineChars="200"/>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（三）商务报价响应文件（单独装订密封）</w:t>
      </w:r>
    </w:p>
    <w:p>
      <w:pPr>
        <w:spacing w:line="360" w:lineRule="auto"/>
        <w:ind w:firstLine="480" w:firstLineChars="200"/>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1、招标响应函；（格式参见第七章）</w:t>
      </w:r>
    </w:p>
    <w:p>
      <w:pPr>
        <w:spacing w:line="360" w:lineRule="auto"/>
        <w:ind w:firstLine="480" w:firstLineChars="200"/>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2、招标响应报价表；（格式参见第七章）</w:t>
      </w:r>
    </w:p>
    <w:p>
      <w:pPr>
        <w:spacing w:line="360" w:lineRule="auto"/>
        <w:ind w:firstLine="480" w:firstLineChars="200"/>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注：为方便评委评审，请供应商按评标办法中所涉及的事项顺序进行编制，可以补充相关材料；</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特别提醒：“资格审查文件”所须提供的材料（须加盖供应商公章）按招标文件要求装订，密封，递交。</w:t>
      </w:r>
    </w:p>
    <w:p>
      <w:pPr>
        <w:snapToGrid w:val="0"/>
        <w:spacing w:line="360" w:lineRule="auto"/>
        <w:jc w:val="left"/>
        <w:textAlignment w:val="baseline"/>
        <w:rPr>
          <w:rFonts w:ascii="Times New Roman" w:hAnsi="Times New Roman" w:eastAsia="宋体" w:cs="宋体"/>
          <w:b/>
          <w:bCs/>
          <w:sz w:val="28"/>
          <w:szCs w:val="28"/>
        </w:rPr>
      </w:pPr>
    </w:p>
    <w:p>
      <w:pPr>
        <w:widowControl/>
        <w:jc w:val="left"/>
        <w:rPr>
          <w:rFonts w:ascii="Times New Roman" w:hAnsi="Times New Roman" w:eastAsia="宋体" w:cs="宋体"/>
          <w:b/>
          <w:bCs/>
          <w:sz w:val="28"/>
          <w:szCs w:val="28"/>
        </w:rPr>
      </w:pPr>
      <w:r>
        <w:rPr>
          <w:rFonts w:ascii="Times New Roman" w:hAnsi="Times New Roman" w:eastAsia="宋体" w:cs="宋体"/>
          <w:b/>
          <w:bCs/>
          <w:sz w:val="28"/>
          <w:szCs w:val="28"/>
        </w:rPr>
        <w:br w:type="page"/>
      </w:r>
    </w:p>
    <w:p>
      <w:pPr>
        <w:snapToGrid w:val="0"/>
        <w:spacing w:line="360" w:lineRule="auto"/>
        <w:jc w:val="left"/>
        <w:textAlignment w:val="baseline"/>
        <w:rPr>
          <w:rFonts w:ascii="Times New Roman" w:hAnsi="Times New Roman" w:eastAsia="宋体" w:cs="宋体"/>
          <w:b/>
          <w:bCs/>
          <w:sz w:val="28"/>
          <w:szCs w:val="28"/>
        </w:rPr>
      </w:pPr>
      <w:r>
        <w:rPr>
          <w:rFonts w:hint="eastAsia" w:ascii="Times New Roman" w:hAnsi="Times New Roman" w:eastAsia="宋体" w:cs="宋体"/>
          <w:b/>
          <w:bCs/>
          <w:sz w:val="28"/>
          <w:szCs w:val="28"/>
        </w:rPr>
        <w:t>附件：</w:t>
      </w:r>
    </w:p>
    <w:p>
      <w:pPr>
        <w:snapToGrid w:val="0"/>
        <w:spacing w:line="360" w:lineRule="auto"/>
        <w:textAlignment w:val="baseline"/>
        <w:rPr>
          <w:rFonts w:ascii="Times New Roman" w:hAnsi="Times New Roman" w:eastAsia="宋体" w:cs="宋体"/>
          <w:b/>
          <w:bCs/>
          <w:sz w:val="28"/>
          <w:szCs w:val="28"/>
        </w:rPr>
      </w:pPr>
      <w:r>
        <w:rPr>
          <w:rFonts w:hint="eastAsia" w:ascii="Times New Roman" w:hAnsi="Times New Roman" w:eastAsia="宋体" w:cs="宋体"/>
          <w:b/>
          <w:bCs/>
          <w:sz w:val="28"/>
          <w:szCs w:val="28"/>
        </w:rPr>
        <w:t>A资格审查文件相关的格式文件及表格（单独密封）</w:t>
      </w:r>
    </w:p>
    <w:p>
      <w:pPr>
        <w:snapToGrid w:val="0"/>
        <w:spacing w:line="360" w:lineRule="auto"/>
        <w:jc w:val="center"/>
        <w:textAlignment w:val="baseline"/>
        <w:rPr>
          <w:rFonts w:ascii="Times New Roman" w:hAnsi="Times New Roman" w:eastAsia="宋体" w:cs="宋体"/>
          <w:b/>
          <w:bCs/>
          <w:sz w:val="28"/>
          <w:szCs w:val="28"/>
        </w:rPr>
      </w:pPr>
    </w:p>
    <w:p>
      <w:pPr>
        <w:snapToGrid w:val="0"/>
        <w:spacing w:line="360" w:lineRule="auto"/>
        <w:jc w:val="center"/>
        <w:textAlignment w:val="baseline"/>
        <w:rPr>
          <w:rFonts w:ascii="Times New Roman" w:hAnsi="Times New Roman" w:eastAsia="宋体" w:cs="宋体"/>
          <w:b/>
          <w:bCs/>
          <w:sz w:val="28"/>
          <w:szCs w:val="28"/>
        </w:rPr>
      </w:pPr>
      <w:r>
        <w:rPr>
          <w:rFonts w:hint="eastAsia" w:ascii="Times New Roman" w:hAnsi="Times New Roman" w:eastAsia="宋体" w:cs="宋体"/>
          <w:b/>
          <w:bCs/>
          <w:sz w:val="28"/>
          <w:szCs w:val="28"/>
        </w:rPr>
        <w:t>1、法定代表人身份证明</w:t>
      </w:r>
    </w:p>
    <w:p>
      <w:pPr>
        <w:snapToGrid w:val="0"/>
        <w:spacing w:line="360" w:lineRule="auto"/>
        <w:jc w:val="center"/>
        <w:textAlignment w:val="baseline"/>
        <w:rPr>
          <w:rFonts w:ascii="Times New Roman" w:hAnsi="Times New Roman" w:eastAsia="宋体" w:cs="宋体"/>
          <w:sz w:val="28"/>
          <w:szCs w:val="28"/>
          <w:u w:val="single"/>
        </w:rPr>
      </w:pPr>
      <w:r>
        <w:rPr>
          <w:rFonts w:hint="eastAsia" w:ascii="Times New Roman" w:hAnsi="Times New Roman" w:eastAsia="宋体" w:cs="宋体"/>
          <w:sz w:val="28"/>
          <w:szCs w:val="28"/>
          <w:u w:val="single" w:color="000000"/>
        </w:rPr>
        <w:t>（法定代表人参加招标时，须出示此证明）</w:t>
      </w:r>
    </w:p>
    <w:p>
      <w:pPr>
        <w:snapToGrid w:val="0"/>
        <w:spacing w:line="360" w:lineRule="auto"/>
        <w:jc w:val="center"/>
        <w:textAlignment w:val="baseline"/>
        <w:rPr>
          <w:rFonts w:ascii="Times New Roman" w:hAnsi="Times New Roman" w:eastAsia="宋体" w:cs="宋体"/>
          <w:sz w:val="28"/>
          <w:szCs w:val="28"/>
        </w:rPr>
      </w:pP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u w:val="single" w:color="000000"/>
        </w:rPr>
        <w:t>南通市第三人民医院</w:t>
      </w:r>
      <w:r>
        <w:rPr>
          <w:rFonts w:hint="eastAsia" w:ascii="Times New Roman" w:hAnsi="Times New Roman" w:eastAsia="宋体" w:cs="宋体"/>
          <w:sz w:val="24"/>
          <w:szCs w:val="24"/>
        </w:rPr>
        <w:t>：</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我公司法定代表人参加贵单位组织的（招标项目名称)项目的招标活动，全权代表我公司处理招标活动的有关事宜。</w:t>
      </w:r>
    </w:p>
    <w:p>
      <w:pPr>
        <w:snapToGrid w:val="0"/>
        <w:spacing w:line="360" w:lineRule="auto"/>
        <w:textAlignment w:val="baseline"/>
        <w:rPr>
          <w:rFonts w:ascii="Times New Roman" w:hAnsi="Times New Roman" w:eastAsia="宋体" w:cs="宋体"/>
          <w:sz w:val="24"/>
          <w:szCs w:val="24"/>
        </w:rPr>
      </w:pPr>
    </w:p>
    <w:p>
      <w:pPr>
        <w:snapToGrid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pPr>
        <w:snapToGrid w:val="0"/>
        <w:spacing w:line="360" w:lineRule="auto"/>
        <w:ind w:firstLine="484" w:firstLineChars="202"/>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napToGrid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napToGrid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napToGrid w:val="0"/>
        <w:spacing w:line="360" w:lineRule="auto"/>
        <w:textAlignment w:val="baseline"/>
        <w:rPr>
          <w:rFonts w:ascii="Times New Roman" w:hAnsi="Times New Roman" w:eastAsia="宋体" w:cs="宋体"/>
          <w:sz w:val="24"/>
          <w:szCs w:val="24"/>
        </w:rPr>
      </w:pP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napToGrid w:val="0"/>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napToGrid w:val="0"/>
        <w:spacing w:line="360" w:lineRule="auto"/>
        <w:textAlignment w:val="baseline"/>
        <w:rPr>
          <w:rFonts w:ascii="Times New Roman" w:hAnsi="Times New Roman" w:eastAsia="宋体" w:cs="宋体"/>
          <w:sz w:val="24"/>
          <w:szCs w:val="24"/>
        </w:rPr>
      </w:pP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napToGrid w:val="0"/>
        <w:spacing w:line="360" w:lineRule="auto"/>
        <w:textAlignment w:val="baseline"/>
        <w:rPr>
          <w:rFonts w:ascii="Times New Roman" w:hAnsi="Times New Roman" w:eastAsia="宋体" w:cs="宋体"/>
          <w:sz w:val="24"/>
          <w:szCs w:val="24"/>
        </w:rPr>
      </w:pPr>
    </w:p>
    <w:p>
      <w:pPr>
        <w:snapToGrid w:val="0"/>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napToGrid w:val="0"/>
        <w:spacing w:line="360" w:lineRule="auto"/>
        <w:ind w:firstLine="2280" w:firstLineChars="950"/>
        <w:textAlignment w:val="baseline"/>
        <w:rPr>
          <w:rFonts w:ascii="Times New Roman" w:hAnsi="Times New Roman" w:eastAsia="宋体" w:cs="宋体"/>
          <w:sz w:val="24"/>
          <w:szCs w:val="24"/>
        </w:rPr>
      </w:pPr>
    </w:p>
    <w:p>
      <w:pPr>
        <w:snapToGrid w:val="0"/>
        <w:spacing w:line="360" w:lineRule="auto"/>
        <w:textAlignment w:val="baseline"/>
        <w:rPr>
          <w:rFonts w:ascii="Times New Roman" w:hAnsi="Times New Roman" w:eastAsia="宋体" w:cs="宋体"/>
          <w:b/>
          <w:bCs/>
          <w:sz w:val="24"/>
          <w:szCs w:val="24"/>
        </w:rPr>
      </w:pPr>
    </w:p>
    <w:p>
      <w:pPr>
        <w:snapToGrid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注:</w:t>
      </w:r>
      <w:r>
        <w:rPr>
          <w:rFonts w:hint="eastAsia" w:ascii="Times New Roman" w:hAnsi="Times New Roman" w:eastAsia="宋体" w:cs="宋体"/>
          <w:sz w:val="24"/>
          <w:szCs w:val="24"/>
        </w:rPr>
        <w:t>如为法定代表人参加招标活动时，须将身份证原件带至开标现场备查。</w:t>
      </w:r>
    </w:p>
    <w:p>
      <w:pPr>
        <w:snapToGrid w:val="0"/>
        <w:spacing w:line="360" w:lineRule="auto"/>
        <w:jc w:val="center"/>
        <w:textAlignment w:val="baseline"/>
        <w:rPr>
          <w:rFonts w:ascii="Times New Roman" w:hAnsi="Times New Roman" w:eastAsia="宋体" w:cs="宋体"/>
          <w:b/>
          <w:bCs/>
          <w:sz w:val="28"/>
          <w:szCs w:val="28"/>
        </w:rPr>
      </w:pPr>
    </w:p>
    <w:p>
      <w:pPr>
        <w:pStyle w:val="2"/>
      </w:pPr>
    </w:p>
    <w:p>
      <w:pPr>
        <w:widowControl/>
        <w:jc w:val="center"/>
        <w:rPr>
          <w:rFonts w:ascii="Times New Roman" w:hAnsi="Times New Roman" w:eastAsia="宋体" w:cs="宋体"/>
          <w:b/>
          <w:bCs/>
          <w:sz w:val="28"/>
          <w:szCs w:val="28"/>
        </w:rPr>
      </w:pPr>
      <w:r>
        <w:rPr>
          <w:rFonts w:ascii="Times New Roman" w:hAnsi="Times New Roman" w:eastAsia="宋体" w:cs="宋体"/>
          <w:b/>
          <w:bCs/>
          <w:sz w:val="28"/>
          <w:szCs w:val="28"/>
        </w:rPr>
        <w:br w:type="page"/>
      </w:r>
      <w:r>
        <w:rPr>
          <w:rFonts w:hint="eastAsia" w:ascii="Times New Roman" w:hAnsi="Times New Roman" w:eastAsia="宋体" w:cs="宋体"/>
          <w:b/>
          <w:bCs/>
          <w:sz w:val="28"/>
          <w:szCs w:val="28"/>
        </w:rPr>
        <w:t>2、授权委托书</w:t>
      </w:r>
    </w:p>
    <w:p>
      <w:pPr>
        <w:snapToGrid w:val="0"/>
        <w:spacing w:line="360" w:lineRule="auto"/>
        <w:jc w:val="center"/>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u w:val="single" w:color="000000"/>
        </w:rPr>
        <w:t>（被授权人参加招标时，须出示此证明）</w:t>
      </w: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u w:val="single" w:color="000000"/>
        </w:rPr>
        <w:t>南通市第三人民医院</w:t>
      </w:r>
      <w:r>
        <w:rPr>
          <w:rFonts w:hint="eastAsia" w:ascii="Times New Roman" w:hAnsi="Times New Roman" w:eastAsia="宋体" w:cs="宋体"/>
          <w:sz w:val="24"/>
          <w:szCs w:val="24"/>
        </w:rPr>
        <w:t>：</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color="000000"/>
        </w:rPr>
        <w:t>（</w:t>
      </w:r>
      <w:r>
        <w:rPr>
          <w:rFonts w:hint="eastAsia" w:ascii="Times New Roman" w:hAnsi="Times New Roman" w:eastAsia="宋体" w:cs="宋体"/>
          <w:sz w:val="24"/>
          <w:szCs w:val="24"/>
        </w:rPr>
        <w:t>被授权人的姓名）代表我公司参加（招标项目名称)项目的招标活动，全权处理一切与该项目招标有关的事务。其在办理上述事宜过程中所签署的所有文件我公司均予以承认。</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被授权人无转委托权。特此委托。</w:t>
      </w:r>
    </w:p>
    <w:p>
      <w:pPr>
        <w:snapToGrid w:val="0"/>
        <w:spacing w:line="360" w:lineRule="auto"/>
        <w:textAlignment w:val="baseline"/>
        <w:rPr>
          <w:rFonts w:ascii="Times New Roman" w:hAnsi="Times New Roman" w:eastAsia="宋体" w:cs="宋体"/>
          <w:sz w:val="24"/>
          <w:szCs w:val="24"/>
        </w:rPr>
      </w:pP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pPr>
        <w:snapToGrid w:val="0"/>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napToGrid w:val="0"/>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napToGrid w:val="0"/>
        <w:spacing w:line="360" w:lineRule="auto"/>
        <w:textAlignment w:val="baseline"/>
        <w:rPr>
          <w:rFonts w:ascii="Times New Roman" w:hAnsi="Times New Roman" w:eastAsia="宋体" w:cs="宋体"/>
          <w:sz w:val="24"/>
          <w:szCs w:val="24"/>
        </w:rPr>
      </w:pPr>
    </w:p>
    <w:p>
      <w:pPr>
        <w:snapToGrid w:val="0"/>
        <w:spacing w:line="360" w:lineRule="auto"/>
        <w:jc w:val="left"/>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napToGrid w:val="0"/>
        <w:spacing w:line="360" w:lineRule="auto"/>
        <w:jc w:val="center"/>
        <w:textAlignment w:val="baseline"/>
        <w:rPr>
          <w:rFonts w:ascii="Times New Roman" w:hAnsi="Times New Roman" w:eastAsia="宋体" w:cs="宋体"/>
          <w:sz w:val="24"/>
          <w:szCs w:val="24"/>
        </w:rPr>
      </w:pPr>
    </w:p>
    <w:p>
      <w:pPr>
        <w:snapToGrid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napToGrid w:val="0"/>
        <w:spacing w:line="360" w:lineRule="auto"/>
        <w:jc w:val="center"/>
        <w:textAlignment w:val="baseline"/>
        <w:rPr>
          <w:rFonts w:ascii="Times New Roman" w:hAnsi="Times New Roman" w:eastAsia="宋体" w:cs="宋体"/>
          <w:sz w:val="24"/>
          <w:szCs w:val="24"/>
        </w:rPr>
      </w:pPr>
    </w:p>
    <w:p>
      <w:pPr>
        <w:snapToGrid w:val="0"/>
        <w:spacing w:line="360" w:lineRule="auto"/>
        <w:jc w:val="center"/>
        <w:textAlignment w:val="baseline"/>
        <w:rPr>
          <w:rFonts w:ascii="Times New Roman" w:hAnsi="Times New Roman" w:eastAsia="宋体" w:cs="宋体"/>
          <w:sz w:val="24"/>
          <w:szCs w:val="24"/>
        </w:rPr>
      </w:pPr>
    </w:p>
    <w:p>
      <w:pPr>
        <w:snapToGrid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pPr>
        <w:snapToGrid w:val="0"/>
        <w:spacing w:line="360" w:lineRule="auto"/>
        <w:jc w:val="center"/>
        <w:textAlignment w:val="baseline"/>
        <w:rPr>
          <w:rFonts w:ascii="Times New Roman" w:hAnsi="Times New Roman" w:eastAsia="宋体" w:cs="宋体"/>
          <w:sz w:val="24"/>
          <w:szCs w:val="24"/>
        </w:rPr>
      </w:pPr>
    </w:p>
    <w:p>
      <w:pPr>
        <w:snapToGrid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napToGrid w:val="0"/>
        <w:spacing w:line="360" w:lineRule="auto"/>
        <w:ind w:firstLine="482" w:firstLineChars="200"/>
        <w:textAlignment w:val="baseline"/>
        <w:rPr>
          <w:rFonts w:ascii="Times New Roman" w:hAnsi="Times New Roman" w:eastAsia="宋体" w:cs="宋体"/>
          <w:b/>
          <w:bCs/>
          <w:sz w:val="24"/>
          <w:szCs w:val="24"/>
        </w:rPr>
      </w:pP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注:如为被授权人参加招标活动时，须将身份证原件带至开标现场备查。</w:t>
      </w:r>
    </w:p>
    <w:p>
      <w:pPr>
        <w:snapToGrid w:val="0"/>
        <w:spacing w:line="360" w:lineRule="auto"/>
        <w:jc w:val="center"/>
        <w:textAlignment w:val="baseline"/>
        <w:rPr>
          <w:rFonts w:ascii="Times New Roman" w:hAnsi="Times New Roman" w:eastAsia="宋体" w:cs="宋体"/>
          <w:b/>
          <w:bCs/>
          <w:sz w:val="28"/>
          <w:szCs w:val="28"/>
        </w:rPr>
      </w:pPr>
    </w:p>
    <w:p>
      <w:pPr>
        <w:pStyle w:val="2"/>
      </w:pPr>
    </w:p>
    <w:p>
      <w:pPr>
        <w:widowControl/>
        <w:jc w:val="left"/>
        <w:rPr>
          <w:rFonts w:ascii="Times New Roman" w:hAnsi="Times New Roman" w:eastAsia="宋体" w:cs="宋体"/>
          <w:b/>
          <w:bCs/>
          <w:sz w:val="28"/>
          <w:szCs w:val="28"/>
        </w:rPr>
      </w:pPr>
      <w:r>
        <w:rPr>
          <w:rFonts w:ascii="Times New Roman" w:hAnsi="Times New Roman" w:eastAsia="宋体" w:cs="宋体"/>
          <w:b/>
          <w:bCs/>
          <w:sz w:val="28"/>
          <w:szCs w:val="28"/>
        </w:rPr>
        <w:br w:type="page"/>
      </w:r>
    </w:p>
    <w:p>
      <w:pPr>
        <w:snapToGrid w:val="0"/>
        <w:spacing w:line="360" w:lineRule="auto"/>
        <w:jc w:val="center"/>
        <w:textAlignment w:val="baseline"/>
        <w:rPr>
          <w:rFonts w:ascii="Times New Roman" w:hAnsi="Times New Roman" w:eastAsia="宋体" w:cs="宋体"/>
          <w:b/>
          <w:sz w:val="28"/>
        </w:rPr>
      </w:pPr>
      <w:r>
        <w:rPr>
          <w:rFonts w:hint="eastAsia" w:ascii="Times New Roman" w:hAnsi="Times New Roman" w:eastAsia="宋体" w:cs="宋体"/>
          <w:b/>
          <w:bCs/>
          <w:sz w:val="28"/>
          <w:szCs w:val="28"/>
        </w:rPr>
        <w:t>3、无重大违法记录声明</w:t>
      </w:r>
    </w:p>
    <w:p>
      <w:pPr>
        <w:snapToGrid w:val="0"/>
        <w:spacing w:line="360" w:lineRule="auto"/>
        <w:textAlignment w:val="baseline"/>
        <w:rPr>
          <w:rFonts w:ascii="Times New Roman" w:hAnsi="Times New Roman" w:eastAsia="宋体" w:cs="宋体"/>
          <w:bCs/>
          <w:sz w:val="24"/>
          <w:szCs w:val="24"/>
        </w:rPr>
      </w:pPr>
      <w:r>
        <w:rPr>
          <w:rFonts w:hint="eastAsia" w:ascii="Times New Roman" w:hAnsi="Times New Roman" w:eastAsia="宋体" w:cs="宋体"/>
          <w:sz w:val="24"/>
          <w:szCs w:val="24"/>
          <w:u w:val="single" w:color="000000"/>
        </w:rPr>
        <w:t>南通市第三人民医院</w:t>
      </w:r>
      <w:r>
        <w:rPr>
          <w:rFonts w:hint="eastAsia" w:ascii="Times New Roman" w:hAnsi="Times New Roman" w:eastAsia="宋体" w:cs="宋体"/>
          <w:bCs/>
          <w:sz w:val="24"/>
          <w:szCs w:val="24"/>
        </w:rPr>
        <w:t>：</w:t>
      </w:r>
    </w:p>
    <w:p>
      <w:pPr>
        <w:spacing w:line="360" w:lineRule="auto"/>
        <w:textAlignment w:val="baseline"/>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我单位（供应商名称）郑重声明：</w:t>
      </w:r>
    </w:p>
    <w:p>
      <w:pPr>
        <w:spacing w:line="360" w:lineRule="auto"/>
        <w:textAlignment w:val="baseline"/>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参加政府采购活动前3年内在经营活动中（在下划线上如实填写：有或没有）重大违法记录。</w:t>
      </w:r>
    </w:p>
    <w:p>
      <w:pPr>
        <w:spacing w:line="360" w:lineRule="auto"/>
        <w:ind w:firstLine="480"/>
        <w:textAlignment w:val="baseline"/>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（说明：政府采购法第二十二条第一款第五项所称重大违法记录，是指供应商因违法经营受到刑事处罚或者责令停产停业、吊销许可证或者执照、较大数额罚款等行政处罚。）</w:t>
      </w:r>
    </w:p>
    <w:p>
      <w:pPr>
        <w:spacing w:line="360" w:lineRule="auto"/>
        <w:jc w:val="right"/>
        <w:textAlignment w:val="baseline"/>
        <w:rPr>
          <w:rFonts w:ascii="Times New Roman" w:hAnsi="Times New Roman" w:eastAsia="宋体" w:cs="宋体"/>
          <w:color w:val="000000"/>
          <w:sz w:val="24"/>
          <w:szCs w:val="24"/>
        </w:rPr>
      </w:pPr>
    </w:p>
    <w:p>
      <w:pPr>
        <w:spacing w:line="360" w:lineRule="auto"/>
        <w:jc w:val="right"/>
        <w:textAlignment w:val="baseline"/>
        <w:rPr>
          <w:rFonts w:ascii="Times New Roman" w:hAnsi="Times New Roman" w:eastAsia="宋体" w:cs="宋体"/>
          <w:color w:val="000000"/>
          <w:sz w:val="24"/>
          <w:szCs w:val="24"/>
        </w:rPr>
      </w:pPr>
    </w:p>
    <w:p>
      <w:pPr>
        <w:spacing w:line="360" w:lineRule="auto"/>
        <w:jc w:val="right"/>
        <w:textAlignment w:val="baseline"/>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声明人：（公章）</w:t>
      </w:r>
    </w:p>
    <w:p>
      <w:pPr>
        <w:spacing w:line="360" w:lineRule="auto"/>
        <w:jc w:val="right"/>
        <w:textAlignment w:val="baseline"/>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年   月    日</w:t>
      </w:r>
    </w:p>
    <w:p>
      <w:pPr>
        <w:widowControl/>
        <w:jc w:val="left"/>
        <w:rPr>
          <w:rFonts w:ascii="Times New Roman" w:hAnsi="Times New Roman" w:eastAsia="宋体" w:cs="宋体"/>
          <w:color w:val="000000"/>
          <w:sz w:val="24"/>
          <w:szCs w:val="24"/>
        </w:rPr>
      </w:pPr>
      <w:r>
        <w:rPr>
          <w:rFonts w:ascii="Times New Roman" w:hAnsi="Times New Roman" w:eastAsia="宋体" w:cs="宋体"/>
          <w:color w:val="000000"/>
          <w:sz w:val="24"/>
          <w:szCs w:val="24"/>
        </w:rPr>
        <w:br w:type="page"/>
      </w:r>
    </w:p>
    <w:p>
      <w:pPr>
        <w:snapToGrid w:val="0"/>
        <w:spacing w:line="360" w:lineRule="auto"/>
        <w:textAlignment w:val="baseline"/>
        <w:rPr>
          <w:rFonts w:ascii="Times New Roman" w:hAnsi="Times New Roman" w:eastAsia="宋体" w:cs="宋体"/>
          <w:b/>
          <w:sz w:val="28"/>
        </w:rPr>
      </w:pPr>
      <w:r>
        <w:rPr>
          <w:rFonts w:hint="eastAsia" w:ascii="Times New Roman" w:hAnsi="Times New Roman" w:eastAsia="宋体" w:cs="宋体"/>
          <w:b/>
          <w:bCs/>
          <w:sz w:val="28"/>
          <w:szCs w:val="28"/>
        </w:rPr>
        <w:t>B商务报价标（单独密封）</w:t>
      </w:r>
    </w:p>
    <w:p>
      <w:pPr>
        <w:snapToGrid w:val="0"/>
        <w:spacing w:line="360" w:lineRule="auto"/>
        <w:jc w:val="center"/>
        <w:textAlignment w:val="baseline"/>
        <w:rPr>
          <w:rFonts w:ascii="Times New Roman" w:hAnsi="Times New Roman" w:eastAsia="宋体" w:cs="宋体"/>
          <w:b/>
          <w:bCs/>
          <w:sz w:val="28"/>
          <w:szCs w:val="28"/>
        </w:rPr>
      </w:pPr>
      <w:r>
        <w:rPr>
          <w:rFonts w:hint="eastAsia" w:ascii="Times New Roman" w:hAnsi="Times New Roman" w:eastAsia="宋体" w:cs="宋体"/>
          <w:b/>
          <w:bCs/>
          <w:sz w:val="28"/>
          <w:szCs w:val="28"/>
        </w:rPr>
        <w:t>1、招标响应函（</w:t>
      </w:r>
      <w:r>
        <w:rPr>
          <w:rFonts w:hint="eastAsia" w:ascii="Times New Roman" w:hAnsi="Times New Roman" w:eastAsia="宋体" w:cs="宋体"/>
          <w:b/>
          <w:bCs/>
          <w:sz w:val="28"/>
          <w:szCs w:val="28"/>
          <w:u w:val="single" w:color="000000"/>
        </w:rPr>
        <w:t>格式不得变动</w:t>
      </w:r>
      <w:r>
        <w:rPr>
          <w:rFonts w:hint="eastAsia" w:ascii="Times New Roman" w:hAnsi="Times New Roman" w:eastAsia="宋体" w:cs="宋体"/>
          <w:b/>
          <w:bCs/>
          <w:sz w:val="28"/>
          <w:szCs w:val="28"/>
        </w:rPr>
        <w:t>）</w:t>
      </w:r>
    </w:p>
    <w:p>
      <w:pPr>
        <w:pStyle w:val="4"/>
        <w:spacing w:line="360" w:lineRule="auto"/>
        <w:ind w:firstLine="0"/>
        <w:rPr>
          <w:rFonts w:eastAsia="宋体" w:cs="宋体"/>
          <w:szCs w:val="24"/>
        </w:rPr>
      </w:pPr>
      <w:r>
        <w:rPr>
          <w:rFonts w:hint="eastAsia" w:eastAsia="宋体" w:cs="宋体"/>
          <w:szCs w:val="24"/>
          <w:u w:val="single" w:color="000000"/>
        </w:rPr>
        <w:t>南通市第三人民医院</w:t>
      </w:r>
      <w:r>
        <w:rPr>
          <w:rFonts w:hint="eastAsia" w:eastAsia="宋体" w:cs="宋体"/>
          <w:szCs w:val="24"/>
        </w:rPr>
        <w:t>：</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依据贵单位委托代理机构组织的（采购项目名称)项目招标的邀请，我方授权（姓名）（职务）为全权代表参加该项目的招标工作，全权处理本次招标的有关事宜。同时，我公司声明如下：</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1.同意并接受招标文件的各项要求，遵守招标文件中的各项规定，按招标文件的要求提供报价。</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2.我公司已经详细阅读了招标文件的全部内容，我方已完全清晰理解招标文件的要求，不存在任何含糊不清和误解之处，同意放弃对招标文件所表述的内容提出异议和质疑的权利。</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3.我公司已毫无保留地向贵方提供一切所需的证明材料。</w:t>
      </w:r>
    </w:p>
    <w:p>
      <w:pPr>
        <w:snapToGrid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4.我公司承诺在本次招标响应中提供的一切文件，无论是原件还是复印件均真实有效，绝无任何虚假、伪造和夸大的成份。否则，愿承担相应的后果和法律责任。</w:t>
      </w:r>
    </w:p>
    <w:p>
      <w:pPr>
        <w:snapToGrid w:val="0"/>
        <w:spacing w:line="360" w:lineRule="auto"/>
        <w:ind w:firstLine="480" w:firstLineChars="200"/>
        <w:textAlignment w:val="baseline"/>
        <w:rPr>
          <w:rFonts w:ascii="Times New Roman" w:hAnsi="Times New Roman" w:eastAsia="宋体" w:cs="宋体"/>
          <w:b/>
          <w:sz w:val="24"/>
          <w:szCs w:val="24"/>
        </w:rPr>
      </w:pPr>
      <w:r>
        <w:rPr>
          <w:rFonts w:hint="eastAsia" w:ascii="Times New Roman" w:hAnsi="Times New Roman" w:eastAsia="宋体" w:cs="宋体"/>
          <w:sz w:val="24"/>
          <w:szCs w:val="24"/>
        </w:rPr>
        <w:t>5.</w:t>
      </w:r>
      <w:r>
        <w:rPr>
          <w:rFonts w:hint="eastAsia" w:ascii="Times New Roman" w:hAnsi="Times New Roman" w:eastAsia="宋体" w:cs="宋体"/>
          <w:b/>
          <w:sz w:val="24"/>
          <w:szCs w:val="24"/>
        </w:rPr>
        <w:t>我公司尊重评标小组所作的评定结果，同时清楚理解到报价最高并非意味着必定获得成交资格。</w:t>
      </w:r>
    </w:p>
    <w:p>
      <w:pPr>
        <w:snapToGrid w:val="0"/>
        <w:spacing w:line="360" w:lineRule="auto"/>
        <w:ind w:firstLine="480" w:firstLineChars="200"/>
        <w:textAlignment w:val="baseline"/>
        <w:rPr>
          <w:rFonts w:ascii="Times New Roman" w:hAnsi="Times New Roman" w:eastAsia="宋体" w:cs="宋体"/>
          <w:sz w:val="24"/>
          <w:szCs w:val="24"/>
          <w:highlight w:val="green"/>
        </w:rPr>
      </w:pPr>
      <w:r>
        <w:rPr>
          <w:rFonts w:ascii="Times New Roman" w:hAnsi="Times New Roman" w:eastAsia="宋体" w:cs="宋体"/>
          <w:sz w:val="24"/>
          <w:szCs w:val="24"/>
        </w:rPr>
        <w:t>6</w:t>
      </w:r>
      <w:r>
        <w:rPr>
          <w:rFonts w:hint="eastAsia" w:ascii="Times New Roman" w:hAnsi="Times New Roman" w:eastAsia="宋体" w:cs="宋体"/>
          <w:sz w:val="24"/>
          <w:szCs w:val="24"/>
        </w:rPr>
        <w:t>.一旦成交，我方承诺无正当理由拒绝签订合同，将被贵方取消成交资格。</w:t>
      </w:r>
    </w:p>
    <w:p>
      <w:pPr>
        <w:snapToGrid w:val="0"/>
        <w:spacing w:line="360" w:lineRule="auto"/>
        <w:ind w:firstLine="480" w:firstLineChars="200"/>
        <w:textAlignment w:val="baseline"/>
        <w:rPr>
          <w:rFonts w:ascii="Times New Roman" w:hAnsi="Times New Roman" w:eastAsia="宋体" w:cs="宋体"/>
          <w:sz w:val="24"/>
          <w:szCs w:val="24"/>
        </w:rPr>
      </w:pPr>
      <w:r>
        <w:rPr>
          <w:rFonts w:ascii="Times New Roman" w:hAnsi="Times New Roman" w:eastAsia="宋体" w:cs="宋体"/>
          <w:sz w:val="24"/>
          <w:szCs w:val="24"/>
        </w:rPr>
        <w:t>7</w:t>
      </w:r>
      <w:r>
        <w:rPr>
          <w:rFonts w:hint="eastAsia" w:ascii="Times New Roman" w:hAnsi="Times New Roman" w:eastAsia="宋体" w:cs="宋体"/>
          <w:sz w:val="24"/>
          <w:szCs w:val="24"/>
        </w:rPr>
        <w:t>.</w:t>
      </w:r>
      <w:r>
        <w:rPr>
          <w:rFonts w:hint="eastAsia" w:ascii="Times New Roman" w:hAnsi="Times New Roman" w:eastAsia="宋体" w:cs="宋体"/>
          <w:b/>
          <w:sz w:val="24"/>
          <w:szCs w:val="24"/>
        </w:rPr>
        <w:t>一旦成交，我方将根据招标文件的规定，严格履行合同规定的责任和义务，并保证在招标文件中规定的时间期限内完成合同项目。</w:t>
      </w:r>
    </w:p>
    <w:p>
      <w:pPr>
        <w:snapToGrid w:val="0"/>
        <w:spacing w:line="360" w:lineRule="auto"/>
        <w:jc w:val="right"/>
        <w:textAlignment w:val="baseline"/>
        <w:rPr>
          <w:rFonts w:ascii="Times New Roman" w:hAnsi="Times New Roman" w:eastAsia="宋体" w:cs="宋体"/>
          <w:sz w:val="24"/>
          <w:szCs w:val="24"/>
        </w:rPr>
      </w:pPr>
    </w:p>
    <w:p>
      <w:pPr>
        <w:spacing w:after="120" w:line="360" w:lineRule="auto"/>
        <w:ind w:left="420" w:leftChars="200" w:firstLine="400" w:firstLineChars="200"/>
        <w:textAlignment w:val="baseline"/>
        <w:rPr>
          <w:rFonts w:ascii="Times New Roman" w:hAnsi="Times New Roman" w:eastAsia="宋体"/>
          <w:sz w:val="20"/>
          <w:szCs w:val="24"/>
        </w:rPr>
      </w:pPr>
    </w:p>
    <w:p>
      <w:pPr>
        <w:snapToGrid w:val="0"/>
        <w:spacing w:line="360" w:lineRule="auto"/>
        <w:ind w:firstLine="2400" w:firstLineChars="1000"/>
        <w:jc w:val="right"/>
        <w:textAlignment w:val="baseline"/>
        <w:rPr>
          <w:rFonts w:ascii="Times New Roman" w:hAnsi="Times New Roman" w:eastAsia="宋体" w:cs="宋体"/>
          <w:sz w:val="24"/>
          <w:szCs w:val="24"/>
        </w:rPr>
      </w:pPr>
    </w:p>
    <w:p>
      <w:pPr>
        <w:snapToGrid w:val="0"/>
        <w:spacing w:line="360" w:lineRule="auto"/>
        <w:ind w:firstLine="2400" w:firstLineChars="1000"/>
        <w:jc w:val="right"/>
        <w:textAlignment w:val="baseline"/>
        <w:rPr>
          <w:rFonts w:ascii="Times New Roman" w:hAnsi="Times New Roman" w:eastAsia="宋体" w:cs="宋体"/>
          <w:sz w:val="24"/>
          <w:szCs w:val="24"/>
        </w:rPr>
      </w:pPr>
    </w:p>
    <w:p>
      <w:pPr>
        <w:snapToGrid w:val="0"/>
        <w:spacing w:line="360" w:lineRule="auto"/>
        <w:ind w:right="480" w:firstLine="2400" w:firstLineChars="1000"/>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供应商：（加盖公章）</w:t>
      </w:r>
    </w:p>
    <w:p>
      <w:pPr>
        <w:snapToGrid w:val="0"/>
        <w:spacing w:line="360" w:lineRule="auto"/>
        <w:ind w:firstLine="2400" w:firstLineChars="1000"/>
        <w:jc w:val="right"/>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pPr>
        <w:snapToGrid w:val="0"/>
        <w:spacing w:line="360" w:lineRule="auto"/>
        <w:jc w:val="right"/>
        <w:textAlignment w:val="baseline"/>
        <w:rPr>
          <w:rFonts w:ascii="Times New Roman" w:hAnsi="Times New Roman" w:eastAsia="宋体" w:cs="宋体"/>
          <w:sz w:val="24"/>
          <w:szCs w:val="24"/>
        </w:rPr>
      </w:pPr>
    </w:p>
    <w:p>
      <w:pPr>
        <w:snapToGrid w:val="0"/>
        <w:spacing w:line="360" w:lineRule="auto"/>
        <w:jc w:val="right"/>
        <w:textAlignment w:val="baseline"/>
        <w:rPr>
          <w:rFonts w:ascii="Times New Roman" w:hAnsi="Times New Roman" w:eastAsia="宋体" w:cs="宋体"/>
          <w:sz w:val="24"/>
          <w:szCs w:val="24"/>
        </w:rPr>
      </w:pPr>
    </w:p>
    <w:p>
      <w:pPr>
        <w:snapToGrid w:val="0"/>
        <w:spacing w:line="360" w:lineRule="auto"/>
        <w:jc w:val="right"/>
        <w:textAlignment w:val="baseline"/>
        <w:rPr>
          <w:rFonts w:ascii="Times New Roman" w:hAnsi="Times New Roman" w:eastAsia="宋体" w:cs="宋体"/>
          <w:sz w:val="24"/>
          <w:szCs w:val="24"/>
        </w:rPr>
      </w:pPr>
    </w:p>
    <w:p>
      <w:pPr>
        <w:snapToGrid w:val="0"/>
        <w:spacing w:line="360" w:lineRule="auto"/>
        <w:jc w:val="right"/>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   月   日</w:t>
      </w:r>
    </w:p>
    <w:p>
      <w:pPr>
        <w:pStyle w:val="2"/>
        <w:rPr>
          <w:rFonts w:ascii="Times New Roman" w:hAnsi="Times New Roman"/>
          <w:b/>
          <w:sz w:val="28"/>
        </w:rPr>
      </w:pPr>
    </w:p>
    <w:p>
      <w:pPr>
        <w:tabs>
          <w:tab w:val="left" w:pos="4050"/>
        </w:tabs>
        <w:spacing w:line="360" w:lineRule="auto"/>
        <w:jc w:val="center"/>
        <w:textAlignment w:val="baseline"/>
        <w:rPr>
          <w:rFonts w:ascii="Times New Roman" w:hAnsi="Times New Roman" w:eastAsia="宋体"/>
          <w:b/>
          <w:color w:val="FF0000"/>
          <w:sz w:val="28"/>
        </w:rPr>
      </w:pPr>
      <w:r>
        <w:rPr>
          <w:rFonts w:hint="eastAsia" w:ascii="Times New Roman" w:hAnsi="Times New Roman" w:eastAsia="宋体"/>
          <w:b/>
          <w:color w:val="000000" w:themeColor="text1"/>
          <w:sz w:val="28"/>
        </w:rPr>
        <w:t>2.招标响应报价总表</w:t>
      </w:r>
    </w:p>
    <w:p>
      <w:pPr>
        <w:snapToGrid w:val="0"/>
        <w:spacing w:line="360" w:lineRule="auto"/>
        <w:ind w:left="1063" w:hanging="1062" w:hangingChars="506"/>
        <w:textAlignment w:val="baseline"/>
        <w:rPr>
          <w:rFonts w:ascii="Times New Roman" w:hAnsi="Times New Roman" w:eastAsia="宋体"/>
          <w:sz w:val="24"/>
          <w:szCs w:val="24"/>
        </w:rPr>
      </w:pPr>
      <w:r>
        <w:rPr>
          <w:rFonts w:hint="eastAsia" w:ascii="Times New Roman" w:hAnsi="Times New Roman" w:eastAsia="宋体" w:cs="Times New Roman"/>
          <w:color w:val="000000"/>
          <w:szCs w:val="26"/>
        </w:rPr>
        <w:t>项目名称：</w:t>
      </w:r>
      <w:r>
        <w:rPr>
          <w:rFonts w:hint="eastAsia" w:ascii="Times New Roman" w:hAnsi="Times New Roman" w:eastAsia="宋体"/>
          <w:szCs w:val="24"/>
        </w:rPr>
        <w:t>南通市第三人民医院住院患者生活陪护服务委托管理项目</w:t>
      </w:r>
    </w:p>
    <w:tbl>
      <w:tblPr>
        <w:tblStyle w:val="15"/>
        <w:tblW w:w="97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5"/>
        <w:gridCol w:w="2694"/>
        <w:gridCol w:w="1984"/>
        <w:gridCol w:w="2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835" w:type="dxa"/>
            <w:vAlign w:val="center"/>
          </w:tcPr>
          <w:p>
            <w:pPr>
              <w:pStyle w:val="28"/>
              <w:spacing w:line="360" w:lineRule="auto"/>
              <w:textAlignment w:val="baseline"/>
              <w:rPr>
                <w:rFonts w:ascii="Times New Roman" w:hAnsi="Times New Roman" w:eastAsia="宋体"/>
                <w:sz w:val="21"/>
                <w:szCs w:val="21"/>
              </w:rPr>
            </w:pPr>
            <w:r>
              <w:rPr>
                <w:rFonts w:hint="eastAsia" w:ascii="Times New Roman" w:hAnsi="Times New Roman" w:eastAsia="宋体"/>
                <w:sz w:val="21"/>
                <w:szCs w:val="21"/>
              </w:rPr>
              <w:t>项目名称</w:t>
            </w:r>
          </w:p>
        </w:tc>
        <w:tc>
          <w:tcPr>
            <w:tcW w:w="2694" w:type="dxa"/>
            <w:vAlign w:val="center"/>
          </w:tcPr>
          <w:p>
            <w:pPr>
              <w:pStyle w:val="28"/>
              <w:spacing w:line="360" w:lineRule="auto"/>
              <w:textAlignment w:val="baseline"/>
              <w:rPr>
                <w:rFonts w:ascii="Times New Roman" w:hAnsi="Times New Roman" w:eastAsia="宋体"/>
                <w:sz w:val="21"/>
                <w:szCs w:val="21"/>
              </w:rPr>
            </w:pPr>
            <w:r>
              <w:rPr>
                <w:rFonts w:hint="eastAsia" w:ascii="Times New Roman" w:hAnsi="Times New Roman" w:eastAsia="宋体"/>
                <w:sz w:val="21"/>
                <w:szCs w:val="21"/>
              </w:rPr>
              <w:t>项目招标报价（元）</w:t>
            </w:r>
          </w:p>
        </w:tc>
        <w:tc>
          <w:tcPr>
            <w:tcW w:w="1984" w:type="dxa"/>
            <w:vAlign w:val="center"/>
          </w:tcPr>
          <w:p>
            <w:pPr>
              <w:pStyle w:val="28"/>
              <w:spacing w:line="360" w:lineRule="auto"/>
              <w:textAlignment w:val="baseline"/>
              <w:rPr>
                <w:rFonts w:ascii="Times New Roman" w:hAnsi="Times New Roman" w:eastAsia="宋体"/>
                <w:sz w:val="21"/>
                <w:szCs w:val="21"/>
              </w:rPr>
            </w:pPr>
            <w:r>
              <w:rPr>
                <w:rFonts w:hint="eastAsia" w:ascii="Times New Roman" w:hAnsi="Times New Roman" w:eastAsia="宋体"/>
                <w:sz w:val="21"/>
                <w:szCs w:val="21"/>
              </w:rPr>
              <w:t>项目完成时间</w:t>
            </w:r>
          </w:p>
        </w:tc>
        <w:tc>
          <w:tcPr>
            <w:tcW w:w="2221" w:type="dxa"/>
            <w:vAlign w:val="center"/>
          </w:tcPr>
          <w:p>
            <w:pPr>
              <w:pStyle w:val="28"/>
              <w:spacing w:line="360" w:lineRule="auto"/>
              <w:ind w:hanging="352"/>
              <w:textAlignment w:val="baseline"/>
              <w:rPr>
                <w:rFonts w:ascii="Times New Roman" w:hAnsi="Times New Roman" w:eastAsia="宋体"/>
                <w:sz w:val="21"/>
                <w:szCs w:val="21"/>
              </w:rPr>
            </w:pPr>
            <w:r>
              <w:rPr>
                <w:rFonts w:hint="eastAsia" w:ascii="Times New Roman" w:hAnsi="Times New Roman" w:eastAsia="宋体"/>
                <w:sz w:val="21"/>
                <w:szCs w:val="21"/>
              </w:rPr>
              <w:t>技术、商务付款条件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2835" w:type="dxa"/>
            <w:vAlign w:val="center"/>
          </w:tcPr>
          <w:p>
            <w:pPr>
              <w:pStyle w:val="28"/>
              <w:spacing w:line="360" w:lineRule="auto"/>
              <w:textAlignment w:val="baseline"/>
              <w:rPr>
                <w:rFonts w:ascii="Times New Roman" w:hAnsi="Times New Roman" w:eastAsia="宋体" w:cs="宋体"/>
                <w:sz w:val="21"/>
                <w:szCs w:val="21"/>
              </w:rPr>
            </w:pPr>
            <w:r>
              <w:rPr>
                <w:rFonts w:hint="eastAsia" w:ascii="Times New Roman" w:hAnsi="Times New Roman" w:eastAsia="宋体"/>
                <w:sz w:val="21"/>
                <w:szCs w:val="21"/>
              </w:rPr>
              <w:t>南通市第三人民医院住院患者生活陪护服务委托管理项目</w:t>
            </w:r>
          </w:p>
        </w:tc>
        <w:tc>
          <w:tcPr>
            <w:tcW w:w="2694" w:type="dxa"/>
            <w:vAlign w:val="center"/>
          </w:tcPr>
          <w:p>
            <w:pPr>
              <w:pStyle w:val="28"/>
              <w:spacing w:line="360" w:lineRule="auto"/>
              <w:ind w:firstLine="1560" w:firstLineChars="650"/>
              <w:jc w:val="both"/>
              <w:textAlignment w:val="baseline"/>
              <w:rPr>
                <w:rFonts w:ascii="Times New Roman" w:hAnsi="Times New Roman" w:eastAsia="宋体" w:cs="宋体"/>
                <w:b/>
                <w:sz w:val="21"/>
                <w:szCs w:val="21"/>
              </w:rPr>
            </w:pPr>
            <w:r>
              <w:rPr>
                <w:rFonts w:hint="eastAsia" w:ascii="Times New Roman" w:hAnsi="Times New Roman" w:eastAsia="宋体"/>
                <w:sz w:val="24"/>
                <w:szCs w:val="24"/>
              </w:rPr>
              <w:t>元/人/天</w:t>
            </w:r>
          </w:p>
        </w:tc>
        <w:tc>
          <w:tcPr>
            <w:tcW w:w="1984" w:type="dxa"/>
            <w:vAlign w:val="center"/>
          </w:tcPr>
          <w:p>
            <w:pPr>
              <w:pStyle w:val="28"/>
              <w:spacing w:line="360" w:lineRule="auto"/>
              <w:textAlignment w:val="baseline"/>
              <w:rPr>
                <w:rFonts w:ascii="Times New Roman" w:hAnsi="Times New Roman" w:eastAsia="宋体" w:cs="宋体"/>
                <w:sz w:val="21"/>
                <w:szCs w:val="21"/>
              </w:rPr>
            </w:pPr>
            <w:r>
              <w:rPr>
                <w:rFonts w:hint="eastAsia" w:ascii="Times New Roman" w:hAnsi="Times New Roman" w:eastAsia="宋体" w:cs="宋体"/>
                <w:sz w:val="21"/>
                <w:szCs w:val="21"/>
              </w:rPr>
              <w:t>完全响应招标</w:t>
            </w:r>
          </w:p>
          <w:p>
            <w:pPr>
              <w:pStyle w:val="28"/>
              <w:spacing w:line="360" w:lineRule="auto"/>
              <w:textAlignment w:val="baseline"/>
              <w:rPr>
                <w:rFonts w:ascii="Times New Roman" w:hAnsi="Times New Roman" w:eastAsia="宋体" w:cs="宋体"/>
                <w:sz w:val="21"/>
                <w:szCs w:val="21"/>
              </w:rPr>
            </w:pPr>
            <w:r>
              <w:rPr>
                <w:rFonts w:hint="eastAsia" w:ascii="Times New Roman" w:hAnsi="Times New Roman" w:eastAsia="宋体" w:cs="宋体"/>
                <w:sz w:val="21"/>
                <w:szCs w:val="21"/>
              </w:rPr>
              <w:t>文件要求</w:t>
            </w:r>
          </w:p>
        </w:tc>
        <w:tc>
          <w:tcPr>
            <w:tcW w:w="2221" w:type="dxa"/>
            <w:vAlign w:val="center"/>
          </w:tcPr>
          <w:p>
            <w:pPr>
              <w:pStyle w:val="28"/>
              <w:spacing w:line="360" w:lineRule="auto"/>
              <w:textAlignment w:val="baseline"/>
              <w:rPr>
                <w:rFonts w:ascii="Times New Roman" w:hAnsi="Times New Roman" w:eastAsia="宋体" w:cs="宋体"/>
                <w:sz w:val="21"/>
                <w:szCs w:val="21"/>
              </w:rPr>
            </w:pPr>
            <w:r>
              <w:rPr>
                <w:rFonts w:hint="eastAsia" w:ascii="Times New Roman" w:hAnsi="Times New Roman" w:eastAsia="宋体" w:cs="宋体"/>
                <w:sz w:val="21"/>
                <w:szCs w:val="21"/>
              </w:rPr>
              <w:t>完全接受并响应</w:t>
            </w:r>
          </w:p>
          <w:p>
            <w:pPr>
              <w:pStyle w:val="28"/>
              <w:spacing w:line="360" w:lineRule="auto"/>
              <w:textAlignment w:val="baseline"/>
              <w:rPr>
                <w:rFonts w:ascii="Times New Roman" w:hAnsi="Times New Roman" w:eastAsia="宋体" w:cs="宋体"/>
                <w:sz w:val="21"/>
                <w:szCs w:val="21"/>
              </w:rPr>
            </w:pPr>
            <w:r>
              <w:rPr>
                <w:rFonts w:hint="eastAsia" w:ascii="Times New Roman" w:hAnsi="Times New Roman" w:eastAsia="宋体" w:cs="宋体"/>
                <w:sz w:val="21"/>
                <w:szCs w:val="21"/>
              </w:rPr>
              <w:t>招标文件要求</w:t>
            </w:r>
          </w:p>
        </w:tc>
      </w:tr>
    </w:tbl>
    <w:p>
      <w:pPr>
        <w:spacing w:line="360" w:lineRule="auto"/>
        <w:textAlignment w:val="baseline"/>
        <w:rPr>
          <w:rFonts w:ascii="Times New Roman" w:hAnsi="Times New Roman" w:eastAsia="宋体"/>
          <w:color w:val="000000"/>
          <w:sz w:val="24"/>
        </w:rPr>
      </w:pPr>
      <w:r>
        <w:rPr>
          <w:rFonts w:hint="eastAsia" w:ascii="Times New Roman" w:hAnsi="Times New Roman" w:eastAsia="宋体"/>
          <w:color w:val="000000"/>
          <w:sz w:val="24"/>
        </w:rPr>
        <w:t>供应商：（盖章）</w:t>
      </w:r>
    </w:p>
    <w:p>
      <w:pPr>
        <w:spacing w:line="360" w:lineRule="auto"/>
        <w:textAlignment w:val="baseline"/>
        <w:rPr>
          <w:rFonts w:ascii="Times New Roman" w:hAnsi="Times New Roman" w:eastAsia="宋体"/>
          <w:color w:val="000000"/>
          <w:sz w:val="24"/>
        </w:rPr>
      </w:pPr>
      <w:r>
        <w:rPr>
          <w:rFonts w:hint="eastAsia" w:ascii="Times New Roman" w:hAnsi="Times New Roman" w:eastAsia="宋体"/>
          <w:color w:val="000000"/>
          <w:sz w:val="24"/>
        </w:rPr>
        <w:t>法定代表人或被委托授权人（签字）：</w:t>
      </w:r>
    </w:p>
    <w:p>
      <w:pPr>
        <w:pStyle w:val="7"/>
        <w:spacing w:line="360" w:lineRule="auto"/>
        <w:textAlignment w:val="baseline"/>
        <w:rPr>
          <w:rFonts w:ascii="Times New Roman" w:hAnsi="Times New Roman" w:eastAsia="宋体" w:cs="Times New Roman"/>
          <w:color w:val="000000"/>
          <w:szCs w:val="26"/>
        </w:rPr>
      </w:pPr>
      <w:r>
        <w:rPr>
          <w:rFonts w:hint="eastAsia" w:ascii="Times New Roman" w:hAnsi="Times New Roman" w:eastAsia="宋体" w:cs="Times New Roman"/>
          <w:color w:val="000000"/>
          <w:szCs w:val="26"/>
        </w:rPr>
        <w:t>日期：</w:t>
      </w:r>
    </w:p>
    <w:p>
      <w:pPr>
        <w:pStyle w:val="7"/>
        <w:spacing w:line="360" w:lineRule="auto"/>
        <w:ind w:firstLine="480" w:firstLineChars="200"/>
        <w:textAlignment w:val="baseline"/>
        <w:rPr>
          <w:rFonts w:ascii="Times New Roman" w:hAnsi="Times New Roman" w:eastAsia="宋体" w:cs="Times New Roman"/>
          <w:color w:val="000000"/>
          <w:szCs w:val="26"/>
        </w:rPr>
      </w:pPr>
    </w:p>
    <w:p>
      <w:pPr>
        <w:pStyle w:val="7"/>
        <w:spacing w:line="360" w:lineRule="auto"/>
        <w:ind w:firstLine="480" w:firstLineChars="200"/>
        <w:textAlignment w:val="baseline"/>
        <w:rPr>
          <w:rFonts w:ascii="Times New Roman" w:hAnsi="Times New Roman" w:eastAsia="宋体" w:cs="Times New Roman"/>
          <w:color w:val="000000"/>
          <w:szCs w:val="26"/>
        </w:rPr>
      </w:pPr>
    </w:p>
    <w:p>
      <w:pPr>
        <w:spacing w:line="360" w:lineRule="auto"/>
        <w:ind w:firstLine="480" w:firstLineChars="200"/>
        <w:textAlignment w:val="baseline"/>
        <w:rPr>
          <w:rFonts w:ascii="Times New Roman" w:hAnsi="Times New Roman" w:eastAsia="宋体"/>
          <w:color w:val="000000"/>
          <w:sz w:val="24"/>
        </w:rPr>
      </w:pPr>
      <w:r>
        <w:rPr>
          <w:rFonts w:hint="eastAsia" w:ascii="Times New Roman" w:hAnsi="Times New Roman" w:eastAsia="宋体"/>
          <w:color w:val="000000"/>
          <w:sz w:val="24"/>
        </w:rPr>
        <w:t>注：（1）本表格式，不得自行改动。</w:t>
      </w:r>
    </w:p>
    <w:p>
      <w:pPr>
        <w:spacing w:line="360" w:lineRule="auto"/>
        <w:ind w:firstLine="480" w:firstLineChars="200"/>
        <w:textAlignment w:val="baseline"/>
        <w:rPr>
          <w:rFonts w:ascii="Times New Roman" w:hAnsi="Times New Roman" w:eastAsia="宋体"/>
          <w:color w:val="000000"/>
          <w:sz w:val="24"/>
        </w:rPr>
      </w:pPr>
      <w:r>
        <w:rPr>
          <w:rFonts w:hint="eastAsia" w:ascii="Times New Roman" w:hAnsi="Times New Roman" w:eastAsia="宋体"/>
          <w:color w:val="000000"/>
          <w:sz w:val="24"/>
        </w:rPr>
        <w:t>（2）招标响应总报价（以人民币计价）包含供应商为完成本项目规定的各项工作所承担的全部费用、利润和税金及政策性文件规定合同包含内的所有风险责任等各项费用，不论其在招标文件中是否提及。</w:t>
      </w:r>
    </w:p>
    <w:p>
      <w:pPr>
        <w:tabs>
          <w:tab w:val="left" w:pos="4050"/>
        </w:tabs>
        <w:spacing w:line="360" w:lineRule="auto"/>
        <w:ind w:left="562"/>
        <w:jc w:val="center"/>
        <w:textAlignment w:val="baseline"/>
        <w:rPr>
          <w:rFonts w:ascii="Times New Roman" w:hAnsi="Times New Roman" w:eastAsia="宋体"/>
          <w:b/>
          <w:color w:val="FF0000"/>
          <w:sz w:val="28"/>
        </w:rPr>
      </w:pPr>
    </w:p>
    <w:p>
      <w:pPr>
        <w:pStyle w:val="2"/>
      </w:pPr>
    </w:p>
    <w:p>
      <w:pPr>
        <w:widowControl/>
        <w:jc w:val="left"/>
        <w:rPr>
          <w:rFonts w:ascii="Times New Roman" w:hAnsi="Times New Roman" w:eastAsia="宋体" w:cs="宋体"/>
          <w:b/>
          <w:bCs/>
          <w:color w:val="FF0000"/>
          <w:sz w:val="28"/>
          <w:szCs w:val="28"/>
        </w:rPr>
      </w:pP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27019"/>
    <w:multiLevelType w:val="singleLevel"/>
    <w:tmpl w:val="4B9270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1A66"/>
    <w:rsid w:val="00004166"/>
    <w:rsid w:val="00027375"/>
    <w:rsid w:val="00041F85"/>
    <w:rsid w:val="0004564D"/>
    <w:rsid w:val="0005539B"/>
    <w:rsid w:val="00095785"/>
    <w:rsid w:val="000D0A3D"/>
    <w:rsid w:val="000E7EED"/>
    <w:rsid w:val="00105802"/>
    <w:rsid w:val="00136C25"/>
    <w:rsid w:val="00137A5D"/>
    <w:rsid w:val="0014671E"/>
    <w:rsid w:val="001561DA"/>
    <w:rsid w:val="0016140B"/>
    <w:rsid w:val="001675E7"/>
    <w:rsid w:val="001B7E7E"/>
    <w:rsid w:val="001C4688"/>
    <w:rsid w:val="001C516E"/>
    <w:rsid w:val="001E3C52"/>
    <w:rsid w:val="002014D5"/>
    <w:rsid w:val="002068E5"/>
    <w:rsid w:val="00211DDE"/>
    <w:rsid w:val="00213ABD"/>
    <w:rsid w:val="00277A29"/>
    <w:rsid w:val="002973F8"/>
    <w:rsid w:val="002A0529"/>
    <w:rsid w:val="002A2E53"/>
    <w:rsid w:val="002A5A51"/>
    <w:rsid w:val="002A5FE6"/>
    <w:rsid w:val="002A6FBB"/>
    <w:rsid w:val="002C1E9F"/>
    <w:rsid w:val="00302D81"/>
    <w:rsid w:val="00312DB1"/>
    <w:rsid w:val="00382590"/>
    <w:rsid w:val="00390652"/>
    <w:rsid w:val="003E331F"/>
    <w:rsid w:val="00406448"/>
    <w:rsid w:val="00424FBA"/>
    <w:rsid w:val="00445B57"/>
    <w:rsid w:val="00446136"/>
    <w:rsid w:val="004831CE"/>
    <w:rsid w:val="0048626B"/>
    <w:rsid w:val="004A1A48"/>
    <w:rsid w:val="004C3018"/>
    <w:rsid w:val="004C66F9"/>
    <w:rsid w:val="004C6948"/>
    <w:rsid w:val="004C7843"/>
    <w:rsid w:val="004D2B97"/>
    <w:rsid w:val="004E379A"/>
    <w:rsid w:val="004E474D"/>
    <w:rsid w:val="004E78E1"/>
    <w:rsid w:val="004F4174"/>
    <w:rsid w:val="0050054D"/>
    <w:rsid w:val="00500DC9"/>
    <w:rsid w:val="005013B2"/>
    <w:rsid w:val="0050572C"/>
    <w:rsid w:val="0050649C"/>
    <w:rsid w:val="00514B1C"/>
    <w:rsid w:val="00516272"/>
    <w:rsid w:val="0052279E"/>
    <w:rsid w:val="005249DF"/>
    <w:rsid w:val="00526C5E"/>
    <w:rsid w:val="00531082"/>
    <w:rsid w:val="0053721F"/>
    <w:rsid w:val="00540751"/>
    <w:rsid w:val="00541A0E"/>
    <w:rsid w:val="00550743"/>
    <w:rsid w:val="005548C9"/>
    <w:rsid w:val="0057426D"/>
    <w:rsid w:val="00581ACE"/>
    <w:rsid w:val="005842CF"/>
    <w:rsid w:val="00586310"/>
    <w:rsid w:val="00587500"/>
    <w:rsid w:val="00593ABF"/>
    <w:rsid w:val="005A3087"/>
    <w:rsid w:val="005A388F"/>
    <w:rsid w:val="005A3C38"/>
    <w:rsid w:val="005D5DB7"/>
    <w:rsid w:val="005E2403"/>
    <w:rsid w:val="005F4780"/>
    <w:rsid w:val="00612CA3"/>
    <w:rsid w:val="00612F4B"/>
    <w:rsid w:val="00640388"/>
    <w:rsid w:val="00651C81"/>
    <w:rsid w:val="00657D73"/>
    <w:rsid w:val="006906BE"/>
    <w:rsid w:val="006A22D8"/>
    <w:rsid w:val="006A4E09"/>
    <w:rsid w:val="006A65DE"/>
    <w:rsid w:val="006A68B9"/>
    <w:rsid w:val="006B1F71"/>
    <w:rsid w:val="006B240B"/>
    <w:rsid w:val="006B4774"/>
    <w:rsid w:val="006B585C"/>
    <w:rsid w:val="006C2E80"/>
    <w:rsid w:val="006C6CC1"/>
    <w:rsid w:val="006D308B"/>
    <w:rsid w:val="006D54ED"/>
    <w:rsid w:val="006D79E0"/>
    <w:rsid w:val="006F3491"/>
    <w:rsid w:val="007109EF"/>
    <w:rsid w:val="00716C68"/>
    <w:rsid w:val="00720D98"/>
    <w:rsid w:val="00725B20"/>
    <w:rsid w:val="0072638C"/>
    <w:rsid w:val="00730718"/>
    <w:rsid w:val="00734B6F"/>
    <w:rsid w:val="007371E9"/>
    <w:rsid w:val="00741B2A"/>
    <w:rsid w:val="00765E4E"/>
    <w:rsid w:val="00771162"/>
    <w:rsid w:val="007719E3"/>
    <w:rsid w:val="007A2737"/>
    <w:rsid w:val="00810470"/>
    <w:rsid w:val="00816866"/>
    <w:rsid w:val="00824752"/>
    <w:rsid w:val="0082766C"/>
    <w:rsid w:val="00837575"/>
    <w:rsid w:val="00841A0C"/>
    <w:rsid w:val="0087353F"/>
    <w:rsid w:val="00874AE1"/>
    <w:rsid w:val="008774BB"/>
    <w:rsid w:val="008825BA"/>
    <w:rsid w:val="00885740"/>
    <w:rsid w:val="008A2521"/>
    <w:rsid w:val="008C22F0"/>
    <w:rsid w:val="008D2AD9"/>
    <w:rsid w:val="008F109C"/>
    <w:rsid w:val="008F327C"/>
    <w:rsid w:val="008F46F6"/>
    <w:rsid w:val="00904B5F"/>
    <w:rsid w:val="009257CA"/>
    <w:rsid w:val="00946C6E"/>
    <w:rsid w:val="00947792"/>
    <w:rsid w:val="00951A77"/>
    <w:rsid w:val="00953E4B"/>
    <w:rsid w:val="009651BD"/>
    <w:rsid w:val="0097584B"/>
    <w:rsid w:val="00986CB2"/>
    <w:rsid w:val="00987810"/>
    <w:rsid w:val="009C05F0"/>
    <w:rsid w:val="009C1084"/>
    <w:rsid w:val="009D07E2"/>
    <w:rsid w:val="009D2A92"/>
    <w:rsid w:val="009D38D4"/>
    <w:rsid w:val="009E21E2"/>
    <w:rsid w:val="009E62C2"/>
    <w:rsid w:val="009F0AE7"/>
    <w:rsid w:val="009F6F4A"/>
    <w:rsid w:val="00A104A8"/>
    <w:rsid w:val="00A134B5"/>
    <w:rsid w:val="00A20472"/>
    <w:rsid w:val="00A22966"/>
    <w:rsid w:val="00A33029"/>
    <w:rsid w:val="00A541EF"/>
    <w:rsid w:val="00A5443A"/>
    <w:rsid w:val="00A603A8"/>
    <w:rsid w:val="00AA2BE2"/>
    <w:rsid w:val="00AA7B37"/>
    <w:rsid w:val="00AB1197"/>
    <w:rsid w:val="00AC025E"/>
    <w:rsid w:val="00AE68AD"/>
    <w:rsid w:val="00AF58D0"/>
    <w:rsid w:val="00B10F52"/>
    <w:rsid w:val="00B37271"/>
    <w:rsid w:val="00B45587"/>
    <w:rsid w:val="00B5668E"/>
    <w:rsid w:val="00B62B10"/>
    <w:rsid w:val="00B64117"/>
    <w:rsid w:val="00B77E60"/>
    <w:rsid w:val="00B807E8"/>
    <w:rsid w:val="00B90F94"/>
    <w:rsid w:val="00BC270A"/>
    <w:rsid w:val="00BC3109"/>
    <w:rsid w:val="00BC7D8B"/>
    <w:rsid w:val="00BD50EA"/>
    <w:rsid w:val="00BF0419"/>
    <w:rsid w:val="00C07B78"/>
    <w:rsid w:val="00C3603F"/>
    <w:rsid w:val="00C77A53"/>
    <w:rsid w:val="00C94BF8"/>
    <w:rsid w:val="00CA1A66"/>
    <w:rsid w:val="00CB3758"/>
    <w:rsid w:val="00CB6EA7"/>
    <w:rsid w:val="00CC1464"/>
    <w:rsid w:val="00CC1DD1"/>
    <w:rsid w:val="00CD55C7"/>
    <w:rsid w:val="00CD5DFF"/>
    <w:rsid w:val="00CF6D66"/>
    <w:rsid w:val="00D01CD3"/>
    <w:rsid w:val="00D127EC"/>
    <w:rsid w:val="00D24E09"/>
    <w:rsid w:val="00D52421"/>
    <w:rsid w:val="00D73CA4"/>
    <w:rsid w:val="00D757FD"/>
    <w:rsid w:val="00D77713"/>
    <w:rsid w:val="00D90324"/>
    <w:rsid w:val="00D92EB9"/>
    <w:rsid w:val="00DA5C22"/>
    <w:rsid w:val="00DB4DCC"/>
    <w:rsid w:val="00DC32B8"/>
    <w:rsid w:val="00DE466D"/>
    <w:rsid w:val="00DF1F25"/>
    <w:rsid w:val="00E203EE"/>
    <w:rsid w:val="00E36965"/>
    <w:rsid w:val="00E60B86"/>
    <w:rsid w:val="00E61822"/>
    <w:rsid w:val="00E74482"/>
    <w:rsid w:val="00E75A20"/>
    <w:rsid w:val="00E779C0"/>
    <w:rsid w:val="00E92756"/>
    <w:rsid w:val="00EA3A79"/>
    <w:rsid w:val="00EB4F6D"/>
    <w:rsid w:val="00EC22F4"/>
    <w:rsid w:val="00EF55C3"/>
    <w:rsid w:val="00F1169E"/>
    <w:rsid w:val="00F134F3"/>
    <w:rsid w:val="00F258F3"/>
    <w:rsid w:val="00F33DC7"/>
    <w:rsid w:val="00F34003"/>
    <w:rsid w:val="00F35BD2"/>
    <w:rsid w:val="00F50DF4"/>
    <w:rsid w:val="00F63D80"/>
    <w:rsid w:val="00F80CF4"/>
    <w:rsid w:val="00F8101B"/>
    <w:rsid w:val="00F923C6"/>
    <w:rsid w:val="00F93F9E"/>
    <w:rsid w:val="00FA52A2"/>
    <w:rsid w:val="00FB009D"/>
    <w:rsid w:val="00FB158C"/>
    <w:rsid w:val="00FC5415"/>
    <w:rsid w:val="00FD7BB3"/>
    <w:rsid w:val="00FF363F"/>
    <w:rsid w:val="05E30BAC"/>
    <w:rsid w:val="067F3B0F"/>
    <w:rsid w:val="07774266"/>
    <w:rsid w:val="07C114AE"/>
    <w:rsid w:val="0971413D"/>
    <w:rsid w:val="0A1B14BE"/>
    <w:rsid w:val="0A886720"/>
    <w:rsid w:val="0BDE4302"/>
    <w:rsid w:val="0C1741FF"/>
    <w:rsid w:val="0D984ECC"/>
    <w:rsid w:val="174D78F6"/>
    <w:rsid w:val="17A56B63"/>
    <w:rsid w:val="1A530AF8"/>
    <w:rsid w:val="1A9B06F7"/>
    <w:rsid w:val="1BDD5CC2"/>
    <w:rsid w:val="1BE74E8C"/>
    <w:rsid w:val="1D363DD1"/>
    <w:rsid w:val="1EF81C6E"/>
    <w:rsid w:val="284657F9"/>
    <w:rsid w:val="2BC730F4"/>
    <w:rsid w:val="385F2E1B"/>
    <w:rsid w:val="388252AA"/>
    <w:rsid w:val="3BB95EF1"/>
    <w:rsid w:val="3C5204AF"/>
    <w:rsid w:val="408F3190"/>
    <w:rsid w:val="418A6C4A"/>
    <w:rsid w:val="41905055"/>
    <w:rsid w:val="42370AFD"/>
    <w:rsid w:val="43E8197B"/>
    <w:rsid w:val="46471178"/>
    <w:rsid w:val="468862C9"/>
    <w:rsid w:val="47BA1CEF"/>
    <w:rsid w:val="47EA26D1"/>
    <w:rsid w:val="4A82120D"/>
    <w:rsid w:val="4B694CFE"/>
    <w:rsid w:val="4C63431C"/>
    <w:rsid w:val="53BB281F"/>
    <w:rsid w:val="5417108B"/>
    <w:rsid w:val="57B27F05"/>
    <w:rsid w:val="59BC6E80"/>
    <w:rsid w:val="5BA65531"/>
    <w:rsid w:val="5CD32DF8"/>
    <w:rsid w:val="5F4C4D88"/>
    <w:rsid w:val="62C47A06"/>
    <w:rsid w:val="63497970"/>
    <w:rsid w:val="63FC418B"/>
    <w:rsid w:val="6B3E7FD6"/>
    <w:rsid w:val="6FE74798"/>
    <w:rsid w:val="77065E4C"/>
    <w:rsid w:val="77627FB0"/>
    <w:rsid w:val="784309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0"/>
    <w:pPr>
      <w:keepNext/>
      <w:keepLines/>
      <w:spacing w:before="340" w:after="330" w:line="578" w:lineRule="auto"/>
      <w:outlineLvl w:val="0"/>
    </w:pPr>
    <w:rPr>
      <w:rFonts w:ascii="Calibri" w:hAnsi="Calibri" w:eastAsia="楷体_GB2312" w:cs="Times New Roman"/>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Normal Indent"/>
    <w:basedOn w:val="1"/>
    <w:qFormat/>
    <w:uiPriority w:val="0"/>
    <w:pPr>
      <w:adjustRightInd w:val="0"/>
      <w:ind w:firstLine="420"/>
      <w:jc w:val="left"/>
      <w:textAlignment w:val="baseline"/>
    </w:pPr>
    <w:rPr>
      <w:rFonts w:ascii="Times New Roman" w:hAnsi="Times New Roman" w:eastAsia="楷体_GB2312" w:cs="Times New Roman"/>
      <w:sz w:val="24"/>
      <w:szCs w:val="20"/>
    </w:rPr>
  </w:style>
  <w:style w:type="paragraph" w:styleId="5">
    <w:name w:val="Document Map"/>
    <w:basedOn w:val="1"/>
    <w:link w:val="29"/>
    <w:semiHidden/>
    <w:unhideWhenUsed/>
    <w:qFormat/>
    <w:uiPriority w:val="99"/>
    <w:rPr>
      <w:rFonts w:ascii="宋体" w:eastAsia="宋体"/>
      <w:sz w:val="18"/>
      <w:szCs w:val="18"/>
    </w:rPr>
  </w:style>
  <w:style w:type="paragraph" w:styleId="6">
    <w:name w:val="annotation text"/>
    <w:basedOn w:val="1"/>
    <w:link w:val="34"/>
    <w:semiHidden/>
    <w:unhideWhenUsed/>
    <w:qFormat/>
    <w:uiPriority w:val="99"/>
    <w:pPr>
      <w:jc w:val="left"/>
    </w:pPr>
  </w:style>
  <w:style w:type="paragraph" w:styleId="7">
    <w:name w:val="Body Text"/>
    <w:basedOn w:val="1"/>
    <w:link w:val="26"/>
    <w:qFormat/>
    <w:uiPriority w:val="1"/>
    <w:rPr>
      <w:rFonts w:ascii="仿宋" w:hAnsi="仿宋" w:eastAsia="仿宋" w:cs="仿宋"/>
      <w:sz w:val="24"/>
      <w:szCs w:val="24"/>
    </w:rPr>
  </w:style>
  <w:style w:type="paragraph" w:styleId="8">
    <w:name w:val="Plain Text"/>
    <w:basedOn w:val="1"/>
    <w:link w:val="25"/>
    <w:qFormat/>
    <w:uiPriority w:val="0"/>
    <w:rPr>
      <w:rFonts w:ascii="宋体" w:hAnsi="Courier New" w:eastAsia="楷体_GB2312" w:cs="Times New Roman"/>
      <w:sz w:val="26"/>
      <w:szCs w:val="26"/>
    </w:rPr>
  </w:style>
  <w:style w:type="paragraph" w:styleId="9">
    <w:name w:val="Balloon Text"/>
    <w:basedOn w:val="1"/>
    <w:link w:val="32"/>
    <w:semiHidden/>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adjustRightInd w:val="0"/>
      <w:jc w:val="left"/>
      <w:textAlignment w:val="baseline"/>
    </w:pPr>
    <w:rPr>
      <w:rFonts w:ascii="Times New Roman" w:hAnsi="Times New Roman" w:eastAsia="楷体_GB2312" w:cs="Times New Roman"/>
      <w:sz w:val="24"/>
      <w:szCs w:val="24"/>
    </w:rPr>
  </w:style>
  <w:style w:type="paragraph" w:styleId="13">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0"/>
    </w:rPr>
  </w:style>
  <w:style w:type="paragraph" w:styleId="14">
    <w:name w:val="annotation subject"/>
    <w:basedOn w:val="6"/>
    <w:next w:val="6"/>
    <w:link w:val="35"/>
    <w:semiHidden/>
    <w:unhideWhenUsed/>
    <w:qFormat/>
    <w:uiPriority w:val="99"/>
    <w:rPr>
      <w:b/>
      <w:bCs/>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11"/>
    <w:qFormat/>
    <w:uiPriority w:val="99"/>
    <w:rPr>
      <w:sz w:val="18"/>
      <w:szCs w:val="18"/>
    </w:rPr>
  </w:style>
  <w:style w:type="character" w:customStyle="1" w:styleId="21">
    <w:name w:val="页脚 Char"/>
    <w:basedOn w:val="17"/>
    <w:link w:val="10"/>
    <w:semiHidden/>
    <w:qFormat/>
    <w:uiPriority w:val="99"/>
    <w:rPr>
      <w:sz w:val="18"/>
      <w:szCs w:val="18"/>
    </w:rPr>
  </w:style>
  <w:style w:type="character" w:customStyle="1" w:styleId="22">
    <w:name w:val="标题 1 Char"/>
    <w:basedOn w:val="17"/>
    <w:link w:val="3"/>
    <w:qFormat/>
    <w:uiPriority w:val="0"/>
    <w:rPr>
      <w:rFonts w:ascii="Calibri" w:hAnsi="Calibri" w:eastAsia="楷体_GB2312" w:cs="Times New Roman"/>
      <w:b/>
      <w:kern w:val="44"/>
      <w:sz w:val="44"/>
      <w:szCs w:val="20"/>
    </w:rPr>
  </w:style>
  <w:style w:type="paragraph" w:customStyle="1" w:styleId="23">
    <w:name w:val="正文缩进2格"/>
    <w:basedOn w:val="1"/>
    <w:link w:val="24"/>
    <w:qFormat/>
    <w:uiPriority w:val="0"/>
    <w:pPr>
      <w:spacing w:line="600" w:lineRule="exact"/>
      <w:ind w:firstLine="639" w:firstLineChars="206"/>
    </w:pPr>
    <w:rPr>
      <w:rFonts w:ascii="仿宋_GB2312" w:hAnsi="宋体" w:eastAsia="仿宋_GB2312" w:cs="Times New Roman"/>
      <w:sz w:val="31"/>
      <w:szCs w:val="28"/>
    </w:rPr>
  </w:style>
  <w:style w:type="character" w:customStyle="1" w:styleId="24">
    <w:name w:val="正文缩进2格 Char"/>
    <w:link w:val="23"/>
    <w:qFormat/>
    <w:locked/>
    <w:uiPriority w:val="0"/>
    <w:rPr>
      <w:rFonts w:ascii="仿宋_GB2312" w:hAnsi="宋体" w:eastAsia="仿宋_GB2312" w:cs="Times New Roman"/>
      <w:sz w:val="31"/>
      <w:szCs w:val="28"/>
    </w:rPr>
  </w:style>
  <w:style w:type="character" w:customStyle="1" w:styleId="25">
    <w:name w:val="纯文本 Char"/>
    <w:basedOn w:val="17"/>
    <w:link w:val="8"/>
    <w:qFormat/>
    <w:uiPriority w:val="0"/>
    <w:rPr>
      <w:rFonts w:ascii="宋体" w:hAnsi="Courier New" w:eastAsia="楷体_GB2312" w:cs="Times New Roman"/>
      <w:sz w:val="26"/>
      <w:szCs w:val="26"/>
    </w:rPr>
  </w:style>
  <w:style w:type="character" w:customStyle="1" w:styleId="26">
    <w:name w:val="正文文本 Char"/>
    <w:basedOn w:val="17"/>
    <w:link w:val="7"/>
    <w:qFormat/>
    <w:uiPriority w:val="1"/>
    <w:rPr>
      <w:rFonts w:ascii="仿宋" w:hAnsi="仿宋" w:eastAsia="仿宋" w:cs="仿宋"/>
      <w:sz w:val="24"/>
      <w:szCs w:val="24"/>
    </w:rPr>
  </w:style>
  <w:style w:type="paragraph" w:styleId="27">
    <w:name w:val="List Paragraph"/>
    <w:basedOn w:val="1"/>
    <w:qFormat/>
    <w:uiPriority w:val="0"/>
    <w:pPr>
      <w:ind w:firstLine="420" w:firstLineChars="200"/>
    </w:pPr>
  </w:style>
  <w:style w:type="paragraph" w:customStyle="1" w:styleId="28">
    <w:name w:val="Table Paragraph"/>
    <w:basedOn w:val="1"/>
    <w:qFormat/>
    <w:uiPriority w:val="1"/>
    <w:pPr>
      <w:spacing w:line="324" w:lineRule="exact"/>
      <w:jc w:val="center"/>
    </w:pPr>
    <w:rPr>
      <w:rFonts w:ascii="仿宋" w:hAnsi="仿宋" w:eastAsia="仿宋" w:cs="仿宋"/>
      <w:sz w:val="26"/>
      <w:szCs w:val="26"/>
    </w:rPr>
  </w:style>
  <w:style w:type="character" w:customStyle="1" w:styleId="29">
    <w:name w:val="文档结构图 Char"/>
    <w:basedOn w:val="17"/>
    <w:link w:val="5"/>
    <w:semiHidden/>
    <w:qFormat/>
    <w:uiPriority w:val="99"/>
    <w:rPr>
      <w:rFonts w:ascii="宋体" w:eastAsia="宋体"/>
      <w:sz w:val="18"/>
      <w:szCs w:val="18"/>
    </w:rPr>
  </w:style>
  <w:style w:type="paragraph" w:customStyle="1" w:styleId="30">
    <w:name w:val="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32">
    <w:name w:val="批注框文本 Char"/>
    <w:basedOn w:val="17"/>
    <w:link w:val="9"/>
    <w:semiHidden/>
    <w:qFormat/>
    <w:uiPriority w:val="99"/>
    <w:rPr>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Char"/>
    <w:basedOn w:val="17"/>
    <w:link w:val="6"/>
    <w:semiHidden/>
    <w:qFormat/>
    <w:uiPriority w:val="99"/>
    <w:rPr>
      <w:kern w:val="2"/>
      <w:sz w:val="21"/>
      <w:szCs w:val="22"/>
    </w:rPr>
  </w:style>
  <w:style w:type="character" w:customStyle="1" w:styleId="35">
    <w:name w:val="批注主题 Char"/>
    <w:basedOn w:val="34"/>
    <w:link w:val="14"/>
    <w:semiHidden/>
    <w:qFormat/>
    <w:uiPriority w:val="99"/>
    <w:rPr>
      <w:b/>
      <w:bCs/>
      <w:kern w:val="2"/>
      <w:sz w:val="21"/>
      <w:szCs w:val="22"/>
    </w:r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441B-E0A2-436C-BD32-9561B689F4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1996</Words>
  <Characters>11383</Characters>
  <Lines>94</Lines>
  <Paragraphs>26</Paragraphs>
  <TotalTime>1</TotalTime>
  <ScaleCrop>false</ScaleCrop>
  <LinksUpToDate>false</LinksUpToDate>
  <CharactersWithSpaces>13353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2022-03-23T03:33:00Z</dcterms:created>
  <dc:creator>Administrator</dc:creator>
  <cp:lastModifiedBy>Administrator</cp:lastModifiedBy>
  <cp:lastPrinted>2022-03-19T05:30:00Z</cp:lastPrinted>
  <dcterms:modified xsi:type="dcterms:W3CDTF">2022-03-23T06:39:52Z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230FA057CFFC463A8823721E9E00389C</vt:lpwstr>
  </property>
</Properties>
</file>