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6D5" w:rsidRPr="00BC46D5" w:rsidRDefault="00BC46D5" w:rsidP="00BC46D5">
      <w:pPr>
        <w:rPr>
          <w:rFonts w:asciiTheme="minorEastAsia" w:hAnsiTheme="minorEastAsia"/>
          <w:b/>
          <w:sz w:val="32"/>
          <w:szCs w:val="32"/>
        </w:rPr>
      </w:pPr>
      <w:r w:rsidRPr="00BC46D5">
        <w:rPr>
          <w:rFonts w:asciiTheme="minorEastAsia" w:hAnsiTheme="minorEastAsia" w:hint="eastAsia"/>
          <w:b/>
          <w:sz w:val="32"/>
          <w:szCs w:val="32"/>
        </w:rPr>
        <w:t>需求一：</w:t>
      </w:r>
    </w:p>
    <w:p w:rsidR="00CC1F1A" w:rsidRPr="00BC46D5" w:rsidRDefault="00CC1F1A" w:rsidP="006A4A8B">
      <w:pPr>
        <w:jc w:val="center"/>
        <w:rPr>
          <w:rFonts w:asciiTheme="minorEastAsia" w:hAnsiTheme="minorEastAsia"/>
          <w:b/>
          <w:sz w:val="32"/>
          <w:szCs w:val="32"/>
        </w:rPr>
      </w:pPr>
      <w:r w:rsidRPr="00CC1F1A">
        <w:rPr>
          <w:rFonts w:ascii="宋体" w:hAnsi="宋体" w:cs="Times New Roman" w:hint="eastAsia"/>
          <w:b/>
          <w:sz w:val="32"/>
          <w:szCs w:val="32"/>
        </w:rPr>
        <w:t>南通市第三人民医院“</w:t>
      </w:r>
      <w:r w:rsidR="00CD0BB7">
        <w:rPr>
          <w:rFonts w:ascii="宋体" w:hAnsi="宋体" w:cs="Times New Roman" w:hint="eastAsia"/>
          <w:b/>
          <w:sz w:val="32"/>
          <w:szCs w:val="32"/>
        </w:rPr>
        <w:t>急诊系统</w:t>
      </w:r>
      <w:r w:rsidRPr="00CC1F1A">
        <w:rPr>
          <w:rFonts w:ascii="宋体" w:hAnsi="宋体" w:cs="Times New Roman" w:hint="eastAsia"/>
          <w:b/>
          <w:sz w:val="32"/>
          <w:szCs w:val="32"/>
        </w:rPr>
        <w:t>”项目技术</w:t>
      </w:r>
      <w:r w:rsidR="00D71316">
        <w:rPr>
          <w:rFonts w:ascii="宋体" w:hAnsi="宋体" w:cs="Times New Roman" w:hint="eastAsia"/>
          <w:b/>
          <w:sz w:val="32"/>
          <w:szCs w:val="32"/>
        </w:rPr>
        <w:t>需</w:t>
      </w:r>
      <w:r w:rsidRPr="00CC1F1A">
        <w:rPr>
          <w:rFonts w:ascii="宋体" w:hAnsi="宋体" w:cs="Times New Roman" w:hint="eastAsia"/>
          <w:b/>
          <w:sz w:val="32"/>
          <w:szCs w:val="32"/>
        </w:rPr>
        <w:t>求</w:t>
      </w:r>
    </w:p>
    <w:p w:rsidR="00744BAE" w:rsidRPr="00744BAE" w:rsidRDefault="002E20F6" w:rsidP="002E20F6">
      <w:pPr>
        <w:keepNext/>
        <w:keepLines/>
        <w:widowControl w:val="0"/>
        <w:adjustRightInd/>
        <w:snapToGrid/>
        <w:spacing w:before="340" w:after="330" w:line="578" w:lineRule="auto"/>
        <w:jc w:val="both"/>
        <w:outlineLvl w:val="0"/>
        <w:rPr>
          <w:rFonts w:ascii="宋体" w:eastAsia="宋体" w:hAnsi="宋体" w:cs="Times New Roman"/>
          <w:b/>
          <w:bCs/>
          <w:kern w:val="44"/>
          <w:sz w:val="28"/>
          <w:szCs w:val="44"/>
        </w:rPr>
      </w:pPr>
      <w:r w:rsidRPr="002D1980">
        <w:rPr>
          <w:rFonts w:ascii="宋体" w:eastAsia="宋体" w:hAnsi="宋体" w:cs="Times New Roman" w:hint="eastAsia"/>
          <w:b/>
          <w:bCs/>
          <w:kern w:val="44"/>
          <w:sz w:val="28"/>
          <w:szCs w:val="44"/>
        </w:rPr>
        <w:t>一、</w:t>
      </w:r>
      <w:r w:rsidR="00744BAE" w:rsidRPr="00744BAE">
        <w:rPr>
          <w:rFonts w:ascii="宋体" w:eastAsia="宋体" w:hAnsi="宋体" w:cs="Times New Roman" w:hint="eastAsia"/>
          <w:b/>
          <w:bCs/>
          <w:kern w:val="44"/>
          <w:sz w:val="28"/>
          <w:szCs w:val="44"/>
        </w:rPr>
        <w:t>需求清单</w:t>
      </w:r>
    </w:p>
    <w:tbl>
      <w:tblPr>
        <w:tblStyle w:val="a7"/>
        <w:tblW w:w="5000" w:type="pct"/>
        <w:jc w:val="center"/>
        <w:tblLook w:val="04A0"/>
      </w:tblPr>
      <w:tblGrid>
        <w:gridCol w:w="1812"/>
        <w:gridCol w:w="2882"/>
        <w:gridCol w:w="2310"/>
        <w:gridCol w:w="1190"/>
        <w:gridCol w:w="1092"/>
      </w:tblGrid>
      <w:tr w:rsidR="00744BAE" w:rsidRPr="00744BAE" w:rsidTr="00744BAE">
        <w:trPr>
          <w:jc w:val="center"/>
        </w:trPr>
        <w:tc>
          <w:tcPr>
            <w:tcW w:w="975" w:type="pct"/>
            <w:shd w:val="clear" w:color="auto" w:fill="B4C6E7"/>
            <w:vAlign w:val="center"/>
          </w:tcPr>
          <w:p w:rsidR="00744BAE" w:rsidRPr="00744BAE" w:rsidRDefault="00744BAE" w:rsidP="00744BAE">
            <w:pPr>
              <w:widowControl w:val="0"/>
              <w:adjustRightInd/>
              <w:snapToGrid/>
              <w:spacing w:line="240" w:lineRule="atLeast"/>
              <w:jc w:val="center"/>
              <w:rPr>
                <w:rFonts w:ascii="宋体" w:hAnsi="宋体" w:cs="Times New Roman"/>
                <w:b/>
                <w:szCs w:val="21"/>
              </w:rPr>
            </w:pPr>
            <w:r w:rsidRPr="00744BAE">
              <w:rPr>
                <w:rFonts w:ascii="宋体" w:hAnsi="宋体" w:cs="Times New Roman" w:hint="eastAsia"/>
                <w:b/>
                <w:szCs w:val="21"/>
              </w:rPr>
              <w:t>产品名称</w:t>
            </w:r>
          </w:p>
        </w:tc>
        <w:tc>
          <w:tcPr>
            <w:tcW w:w="1552" w:type="pct"/>
            <w:shd w:val="clear" w:color="auto" w:fill="B4C6E7"/>
            <w:vAlign w:val="center"/>
          </w:tcPr>
          <w:p w:rsidR="00744BAE" w:rsidRPr="00744BAE" w:rsidRDefault="00744BAE" w:rsidP="00744BAE">
            <w:pPr>
              <w:widowControl w:val="0"/>
              <w:adjustRightInd/>
              <w:snapToGrid/>
              <w:spacing w:line="240" w:lineRule="atLeast"/>
              <w:jc w:val="center"/>
              <w:rPr>
                <w:rFonts w:ascii="宋体" w:hAnsi="宋体" w:cs="Times New Roman"/>
                <w:b/>
                <w:szCs w:val="21"/>
              </w:rPr>
            </w:pPr>
            <w:r w:rsidRPr="00744BAE">
              <w:rPr>
                <w:rFonts w:ascii="宋体" w:hAnsi="宋体" w:cs="Times New Roman" w:hint="eastAsia"/>
                <w:b/>
                <w:szCs w:val="21"/>
              </w:rPr>
              <w:t>类别</w:t>
            </w:r>
          </w:p>
        </w:tc>
        <w:tc>
          <w:tcPr>
            <w:tcW w:w="1244" w:type="pct"/>
            <w:shd w:val="clear" w:color="auto" w:fill="B4C6E7"/>
            <w:vAlign w:val="center"/>
          </w:tcPr>
          <w:p w:rsidR="00744BAE" w:rsidRPr="00744BAE" w:rsidRDefault="00744BAE" w:rsidP="00744BAE">
            <w:pPr>
              <w:widowControl w:val="0"/>
              <w:adjustRightInd/>
              <w:snapToGrid/>
              <w:spacing w:line="240" w:lineRule="atLeast"/>
              <w:jc w:val="center"/>
              <w:rPr>
                <w:rFonts w:ascii="宋体" w:hAnsi="宋体" w:cs="Times New Roman"/>
                <w:b/>
                <w:szCs w:val="21"/>
              </w:rPr>
            </w:pPr>
            <w:r w:rsidRPr="00744BAE">
              <w:rPr>
                <w:rFonts w:ascii="宋体" w:hAnsi="宋体" w:cs="Times New Roman" w:hint="eastAsia"/>
                <w:b/>
                <w:szCs w:val="21"/>
              </w:rPr>
              <w:t>模块名称</w:t>
            </w:r>
          </w:p>
        </w:tc>
        <w:tc>
          <w:tcPr>
            <w:tcW w:w="641" w:type="pct"/>
            <w:shd w:val="clear" w:color="auto" w:fill="B4C6E7"/>
            <w:vAlign w:val="center"/>
          </w:tcPr>
          <w:p w:rsidR="00744BAE" w:rsidRPr="00744BAE" w:rsidRDefault="00744BAE" w:rsidP="00744BAE">
            <w:pPr>
              <w:widowControl w:val="0"/>
              <w:adjustRightInd/>
              <w:snapToGrid/>
              <w:spacing w:line="240" w:lineRule="atLeast"/>
              <w:jc w:val="center"/>
              <w:rPr>
                <w:rFonts w:ascii="宋体" w:hAnsi="宋体" w:cs="Times New Roman"/>
                <w:b/>
                <w:szCs w:val="21"/>
              </w:rPr>
            </w:pPr>
            <w:r w:rsidRPr="00744BAE">
              <w:rPr>
                <w:rFonts w:ascii="宋体" w:hAnsi="宋体" w:cs="Times New Roman" w:hint="eastAsia"/>
                <w:b/>
                <w:szCs w:val="21"/>
              </w:rPr>
              <w:t>数量</w:t>
            </w:r>
          </w:p>
        </w:tc>
        <w:tc>
          <w:tcPr>
            <w:tcW w:w="588" w:type="pct"/>
            <w:shd w:val="clear" w:color="auto" w:fill="B4C6E7"/>
            <w:vAlign w:val="center"/>
          </w:tcPr>
          <w:p w:rsidR="00744BAE" w:rsidRPr="00744BAE" w:rsidRDefault="00744BAE" w:rsidP="00744BAE">
            <w:pPr>
              <w:widowControl w:val="0"/>
              <w:adjustRightInd/>
              <w:snapToGrid/>
              <w:spacing w:line="240" w:lineRule="atLeast"/>
              <w:jc w:val="center"/>
              <w:rPr>
                <w:rFonts w:ascii="宋体" w:hAnsi="宋体" w:cs="Times New Roman"/>
                <w:b/>
                <w:szCs w:val="21"/>
              </w:rPr>
            </w:pPr>
            <w:r w:rsidRPr="00744BAE">
              <w:rPr>
                <w:rFonts w:ascii="宋体" w:hAnsi="宋体" w:cs="Times New Roman" w:hint="eastAsia"/>
                <w:b/>
                <w:szCs w:val="21"/>
              </w:rPr>
              <w:t>单位</w:t>
            </w:r>
          </w:p>
        </w:tc>
      </w:tr>
      <w:tr w:rsidR="00744BAE" w:rsidRPr="00744BAE" w:rsidTr="00A32434">
        <w:trPr>
          <w:trHeight w:val="480"/>
          <w:jc w:val="center"/>
        </w:trPr>
        <w:tc>
          <w:tcPr>
            <w:tcW w:w="975" w:type="pct"/>
            <w:vMerge w:val="restart"/>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hint="eastAsia"/>
                <w:szCs w:val="21"/>
              </w:rPr>
              <w:t>急诊及胸痛中心信息化</w:t>
            </w:r>
          </w:p>
        </w:tc>
        <w:tc>
          <w:tcPr>
            <w:tcW w:w="1552" w:type="pct"/>
            <w:vMerge w:val="restart"/>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hint="eastAsia"/>
                <w:szCs w:val="21"/>
              </w:rPr>
              <w:t>1.急诊临床信息系统</w:t>
            </w:r>
          </w:p>
        </w:tc>
        <w:tc>
          <w:tcPr>
            <w:tcW w:w="1244" w:type="pct"/>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hint="eastAsia"/>
                <w:szCs w:val="21"/>
              </w:rPr>
              <w:t>急诊预检分诊系统</w:t>
            </w:r>
          </w:p>
        </w:tc>
        <w:tc>
          <w:tcPr>
            <w:tcW w:w="641" w:type="pct"/>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hint="eastAsia"/>
                <w:szCs w:val="21"/>
              </w:rPr>
              <w:t>1</w:t>
            </w:r>
          </w:p>
        </w:tc>
        <w:tc>
          <w:tcPr>
            <w:tcW w:w="588" w:type="pct"/>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hint="eastAsia"/>
                <w:szCs w:val="21"/>
              </w:rPr>
              <w:t>套</w:t>
            </w:r>
          </w:p>
        </w:tc>
      </w:tr>
      <w:tr w:rsidR="00744BAE" w:rsidRPr="00744BAE" w:rsidTr="00A32434">
        <w:trPr>
          <w:trHeight w:val="560"/>
          <w:jc w:val="center"/>
        </w:trPr>
        <w:tc>
          <w:tcPr>
            <w:tcW w:w="975" w:type="pct"/>
            <w:vMerge/>
            <w:vAlign w:val="center"/>
          </w:tcPr>
          <w:p w:rsidR="00744BAE" w:rsidRPr="00744BAE" w:rsidRDefault="00744BAE" w:rsidP="00744BAE">
            <w:pPr>
              <w:widowControl w:val="0"/>
              <w:adjustRightInd/>
              <w:snapToGrid/>
              <w:spacing w:line="240" w:lineRule="atLeast"/>
              <w:rPr>
                <w:rFonts w:ascii="宋体" w:hAnsi="宋体" w:cs="Times New Roman"/>
                <w:szCs w:val="21"/>
              </w:rPr>
            </w:pPr>
          </w:p>
        </w:tc>
        <w:tc>
          <w:tcPr>
            <w:tcW w:w="1552" w:type="pct"/>
            <w:vMerge/>
            <w:vAlign w:val="center"/>
          </w:tcPr>
          <w:p w:rsidR="00744BAE" w:rsidRPr="00744BAE" w:rsidRDefault="00744BAE" w:rsidP="00744BAE">
            <w:pPr>
              <w:widowControl w:val="0"/>
              <w:adjustRightInd/>
              <w:snapToGrid/>
              <w:spacing w:line="240" w:lineRule="atLeast"/>
              <w:rPr>
                <w:rFonts w:ascii="宋体" w:hAnsi="宋体" w:cs="Times New Roman"/>
                <w:b/>
                <w:szCs w:val="21"/>
              </w:rPr>
            </w:pPr>
          </w:p>
        </w:tc>
        <w:tc>
          <w:tcPr>
            <w:tcW w:w="1244" w:type="pct"/>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hint="eastAsia"/>
                <w:szCs w:val="21"/>
              </w:rPr>
              <w:t>抢救医护一体工作站</w:t>
            </w:r>
          </w:p>
        </w:tc>
        <w:tc>
          <w:tcPr>
            <w:tcW w:w="641" w:type="pct"/>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hint="eastAsia"/>
                <w:szCs w:val="21"/>
              </w:rPr>
              <w:t>1</w:t>
            </w:r>
          </w:p>
        </w:tc>
        <w:tc>
          <w:tcPr>
            <w:tcW w:w="588" w:type="pct"/>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hint="eastAsia"/>
                <w:szCs w:val="21"/>
              </w:rPr>
              <w:t>套</w:t>
            </w:r>
          </w:p>
        </w:tc>
      </w:tr>
      <w:tr w:rsidR="00744BAE" w:rsidRPr="00744BAE" w:rsidTr="00A32434">
        <w:trPr>
          <w:jc w:val="center"/>
        </w:trPr>
        <w:tc>
          <w:tcPr>
            <w:tcW w:w="975" w:type="pct"/>
            <w:vMerge/>
            <w:vAlign w:val="center"/>
          </w:tcPr>
          <w:p w:rsidR="00744BAE" w:rsidRPr="00744BAE" w:rsidRDefault="00744BAE" w:rsidP="00744BAE">
            <w:pPr>
              <w:widowControl w:val="0"/>
              <w:adjustRightInd/>
              <w:snapToGrid/>
              <w:spacing w:line="240" w:lineRule="atLeast"/>
              <w:rPr>
                <w:rFonts w:ascii="宋体" w:hAnsi="宋体" w:cs="Times New Roman"/>
                <w:szCs w:val="21"/>
              </w:rPr>
            </w:pPr>
          </w:p>
        </w:tc>
        <w:tc>
          <w:tcPr>
            <w:tcW w:w="1552" w:type="pct"/>
            <w:vMerge/>
            <w:shd w:val="clear" w:color="auto" w:fill="auto"/>
            <w:vAlign w:val="center"/>
          </w:tcPr>
          <w:p w:rsidR="00744BAE" w:rsidRPr="00744BAE" w:rsidRDefault="00744BAE" w:rsidP="00744BAE">
            <w:pPr>
              <w:widowControl w:val="0"/>
              <w:adjustRightInd/>
              <w:snapToGrid/>
              <w:spacing w:line="240" w:lineRule="atLeast"/>
              <w:rPr>
                <w:rFonts w:ascii="宋体" w:hAnsi="宋体" w:cs="Times New Roman"/>
                <w:b/>
                <w:szCs w:val="21"/>
              </w:rPr>
            </w:pPr>
          </w:p>
        </w:tc>
        <w:tc>
          <w:tcPr>
            <w:tcW w:w="1244" w:type="pct"/>
            <w:shd w:val="clear" w:color="auto" w:fill="auto"/>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hint="eastAsia"/>
                <w:szCs w:val="21"/>
              </w:rPr>
              <w:t>留观医护一体化工作站</w:t>
            </w:r>
          </w:p>
        </w:tc>
        <w:tc>
          <w:tcPr>
            <w:tcW w:w="641" w:type="pct"/>
            <w:shd w:val="clear" w:color="auto" w:fill="auto"/>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hint="eastAsia"/>
                <w:szCs w:val="21"/>
              </w:rPr>
              <w:t>1</w:t>
            </w:r>
          </w:p>
        </w:tc>
        <w:tc>
          <w:tcPr>
            <w:tcW w:w="588" w:type="pct"/>
            <w:shd w:val="clear" w:color="auto" w:fill="auto"/>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szCs w:val="21"/>
              </w:rPr>
              <w:t>套</w:t>
            </w:r>
          </w:p>
        </w:tc>
      </w:tr>
      <w:tr w:rsidR="00744BAE" w:rsidRPr="00744BAE" w:rsidTr="00A32434">
        <w:trPr>
          <w:jc w:val="center"/>
        </w:trPr>
        <w:tc>
          <w:tcPr>
            <w:tcW w:w="975" w:type="pct"/>
            <w:vMerge/>
            <w:vAlign w:val="center"/>
          </w:tcPr>
          <w:p w:rsidR="00744BAE" w:rsidRPr="00744BAE" w:rsidRDefault="00744BAE" w:rsidP="00744BAE">
            <w:pPr>
              <w:widowControl w:val="0"/>
              <w:adjustRightInd/>
              <w:snapToGrid/>
              <w:spacing w:line="240" w:lineRule="atLeast"/>
              <w:rPr>
                <w:rFonts w:ascii="宋体" w:hAnsi="宋体" w:cs="Times New Roman"/>
                <w:szCs w:val="21"/>
              </w:rPr>
            </w:pPr>
          </w:p>
        </w:tc>
        <w:tc>
          <w:tcPr>
            <w:tcW w:w="1552" w:type="pct"/>
            <w:vMerge/>
            <w:shd w:val="clear" w:color="auto" w:fill="auto"/>
            <w:vAlign w:val="center"/>
          </w:tcPr>
          <w:p w:rsidR="00744BAE" w:rsidRPr="00744BAE" w:rsidRDefault="00744BAE" w:rsidP="00744BAE">
            <w:pPr>
              <w:widowControl w:val="0"/>
              <w:adjustRightInd/>
              <w:snapToGrid/>
              <w:spacing w:line="240" w:lineRule="atLeast"/>
              <w:rPr>
                <w:rFonts w:ascii="宋体" w:hAnsi="宋体" w:cs="Times New Roman"/>
                <w:b/>
                <w:szCs w:val="21"/>
              </w:rPr>
            </w:pPr>
          </w:p>
        </w:tc>
        <w:tc>
          <w:tcPr>
            <w:tcW w:w="1244" w:type="pct"/>
            <w:shd w:val="clear" w:color="auto" w:fill="auto"/>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hint="eastAsia"/>
                <w:szCs w:val="21"/>
              </w:rPr>
              <w:t>急诊移动护理系统</w:t>
            </w:r>
          </w:p>
        </w:tc>
        <w:tc>
          <w:tcPr>
            <w:tcW w:w="641" w:type="pct"/>
            <w:shd w:val="clear" w:color="auto" w:fill="auto"/>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hint="eastAsia"/>
                <w:szCs w:val="21"/>
              </w:rPr>
              <w:t>1</w:t>
            </w:r>
          </w:p>
        </w:tc>
        <w:tc>
          <w:tcPr>
            <w:tcW w:w="588" w:type="pct"/>
            <w:shd w:val="clear" w:color="auto" w:fill="auto"/>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szCs w:val="21"/>
              </w:rPr>
              <w:t>套</w:t>
            </w:r>
          </w:p>
        </w:tc>
      </w:tr>
      <w:tr w:rsidR="00744BAE" w:rsidRPr="00744BAE" w:rsidTr="00A32434">
        <w:trPr>
          <w:jc w:val="center"/>
        </w:trPr>
        <w:tc>
          <w:tcPr>
            <w:tcW w:w="975" w:type="pct"/>
            <w:vMerge/>
            <w:vAlign w:val="center"/>
          </w:tcPr>
          <w:p w:rsidR="00744BAE" w:rsidRPr="00744BAE" w:rsidRDefault="00744BAE" w:rsidP="00744BAE">
            <w:pPr>
              <w:widowControl w:val="0"/>
              <w:adjustRightInd/>
              <w:snapToGrid/>
              <w:spacing w:line="240" w:lineRule="atLeast"/>
              <w:rPr>
                <w:rFonts w:ascii="宋体" w:hAnsi="宋体" w:cs="Times New Roman"/>
                <w:szCs w:val="21"/>
              </w:rPr>
            </w:pPr>
          </w:p>
        </w:tc>
        <w:tc>
          <w:tcPr>
            <w:tcW w:w="1552" w:type="pct"/>
            <w:vMerge/>
            <w:shd w:val="clear" w:color="auto" w:fill="auto"/>
            <w:vAlign w:val="center"/>
          </w:tcPr>
          <w:p w:rsidR="00744BAE" w:rsidRPr="00744BAE" w:rsidRDefault="00744BAE" w:rsidP="00744BAE">
            <w:pPr>
              <w:widowControl w:val="0"/>
              <w:adjustRightInd/>
              <w:snapToGrid/>
              <w:spacing w:line="240" w:lineRule="atLeast"/>
              <w:rPr>
                <w:rFonts w:ascii="宋体" w:hAnsi="宋体" w:cs="Times New Roman"/>
                <w:b/>
                <w:szCs w:val="21"/>
              </w:rPr>
            </w:pPr>
          </w:p>
        </w:tc>
        <w:tc>
          <w:tcPr>
            <w:tcW w:w="1244" w:type="pct"/>
            <w:shd w:val="clear" w:color="auto" w:fill="auto"/>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hint="eastAsia"/>
                <w:szCs w:val="21"/>
              </w:rPr>
              <w:t>急诊决策支持看板</w:t>
            </w:r>
          </w:p>
        </w:tc>
        <w:tc>
          <w:tcPr>
            <w:tcW w:w="641" w:type="pct"/>
            <w:shd w:val="clear" w:color="auto" w:fill="auto"/>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hint="eastAsia"/>
                <w:szCs w:val="21"/>
              </w:rPr>
              <w:t>1</w:t>
            </w:r>
          </w:p>
        </w:tc>
        <w:tc>
          <w:tcPr>
            <w:tcW w:w="588" w:type="pct"/>
            <w:shd w:val="clear" w:color="auto" w:fill="auto"/>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szCs w:val="21"/>
              </w:rPr>
              <w:t>套</w:t>
            </w:r>
          </w:p>
        </w:tc>
      </w:tr>
      <w:tr w:rsidR="00744BAE" w:rsidRPr="00744BAE" w:rsidTr="00A32434">
        <w:trPr>
          <w:jc w:val="center"/>
        </w:trPr>
        <w:tc>
          <w:tcPr>
            <w:tcW w:w="975" w:type="pct"/>
            <w:vMerge/>
            <w:vAlign w:val="center"/>
          </w:tcPr>
          <w:p w:rsidR="00744BAE" w:rsidRPr="00744BAE" w:rsidRDefault="00744BAE" w:rsidP="00744BAE">
            <w:pPr>
              <w:widowControl w:val="0"/>
              <w:adjustRightInd/>
              <w:snapToGrid/>
              <w:spacing w:line="240" w:lineRule="atLeast"/>
              <w:rPr>
                <w:rFonts w:ascii="宋体" w:hAnsi="宋体" w:cs="Times New Roman"/>
                <w:szCs w:val="21"/>
              </w:rPr>
            </w:pPr>
          </w:p>
        </w:tc>
        <w:tc>
          <w:tcPr>
            <w:tcW w:w="1552" w:type="pct"/>
            <w:vMerge/>
            <w:shd w:val="clear" w:color="auto" w:fill="auto"/>
            <w:vAlign w:val="center"/>
          </w:tcPr>
          <w:p w:rsidR="00744BAE" w:rsidRPr="00744BAE" w:rsidRDefault="00744BAE" w:rsidP="00744BAE">
            <w:pPr>
              <w:widowControl w:val="0"/>
              <w:adjustRightInd/>
              <w:snapToGrid/>
              <w:spacing w:line="240" w:lineRule="atLeast"/>
              <w:rPr>
                <w:rFonts w:ascii="宋体" w:hAnsi="宋体" w:cs="Times New Roman"/>
                <w:b/>
                <w:szCs w:val="21"/>
              </w:rPr>
            </w:pPr>
          </w:p>
        </w:tc>
        <w:tc>
          <w:tcPr>
            <w:tcW w:w="1244" w:type="pct"/>
            <w:shd w:val="clear" w:color="auto" w:fill="auto"/>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hint="eastAsia"/>
                <w:szCs w:val="21"/>
              </w:rPr>
              <w:t>急诊管理APP</w:t>
            </w:r>
          </w:p>
        </w:tc>
        <w:tc>
          <w:tcPr>
            <w:tcW w:w="641" w:type="pct"/>
            <w:shd w:val="clear" w:color="auto" w:fill="auto"/>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hint="eastAsia"/>
                <w:szCs w:val="21"/>
              </w:rPr>
              <w:t>1</w:t>
            </w:r>
          </w:p>
        </w:tc>
        <w:tc>
          <w:tcPr>
            <w:tcW w:w="588" w:type="pct"/>
            <w:shd w:val="clear" w:color="auto" w:fill="auto"/>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szCs w:val="21"/>
              </w:rPr>
              <w:t>套</w:t>
            </w:r>
          </w:p>
        </w:tc>
      </w:tr>
      <w:tr w:rsidR="00744BAE" w:rsidRPr="00744BAE" w:rsidTr="00A32434">
        <w:trPr>
          <w:trHeight w:val="956"/>
          <w:jc w:val="center"/>
        </w:trPr>
        <w:tc>
          <w:tcPr>
            <w:tcW w:w="975" w:type="pct"/>
            <w:vMerge/>
            <w:vAlign w:val="center"/>
          </w:tcPr>
          <w:p w:rsidR="00744BAE" w:rsidRPr="00744BAE" w:rsidRDefault="00744BAE" w:rsidP="00744BAE">
            <w:pPr>
              <w:widowControl w:val="0"/>
              <w:adjustRightInd/>
              <w:snapToGrid/>
              <w:spacing w:line="240" w:lineRule="atLeast"/>
              <w:rPr>
                <w:rFonts w:ascii="宋体" w:hAnsi="宋体" w:cs="Times New Roman"/>
                <w:szCs w:val="21"/>
              </w:rPr>
            </w:pPr>
          </w:p>
        </w:tc>
        <w:tc>
          <w:tcPr>
            <w:tcW w:w="1552" w:type="pct"/>
            <w:vMerge/>
            <w:shd w:val="clear" w:color="auto" w:fill="auto"/>
            <w:vAlign w:val="center"/>
          </w:tcPr>
          <w:p w:rsidR="00744BAE" w:rsidRPr="00744BAE" w:rsidRDefault="00744BAE" w:rsidP="00744BAE">
            <w:pPr>
              <w:widowControl w:val="0"/>
              <w:adjustRightInd/>
              <w:snapToGrid/>
              <w:spacing w:line="240" w:lineRule="atLeast"/>
              <w:rPr>
                <w:rFonts w:ascii="宋体" w:hAnsi="宋体" w:cs="Times New Roman"/>
                <w:b/>
                <w:szCs w:val="21"/>
              </w:rPr>
            </w:pPr>
          </w:p>
        </w:tc>
        <w:tc>
          <w:tcPr>
            <w:tcW w:w="1244" w:type="pct"/>
            <w:shd w:val="clear" w:color="auto" w:fill="auto"/>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hint="eastAsia"/>
                <w:szCs w:val="21"/>
              </w:rPr>
              <w:t>质控管理系统</w:t>
            </w:r>
          </w:p>
        </w:tc>
        <w:tc>
          <w:tcPr>
            <w:tcW w:w="641" w:type="pct"/>
            <w:shd w:val="clear" w:color="auto" w:fill="auto"/>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hint="eastAsia"/>
                <w:szCs w:val="21"/>
              </w:rPr>
              <w:t>1</w:t>
            </w:r>
          </w:p>
        </w:tc>
        <w:tc>
          <w:tcPr>
            <w:tcW w:w="588" w:type="pct"/>
            <w:shd w:val="clear" w:color="auto" w:fill="auto"/>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szCs w:val="21"/>
              </w:rPr>
              <w:t>套</w:t>
            </w:r>
          </w:p>
        </w:tc>
      </w:tr>
      <w:tr w:rsidR="00744BAE" w:rsidRPr="00744BAE" w:rsidTr="00A32434">
        <w:trPr>
          <w:trHeight w:val="700"/>
          <w:jc w:val="center"/>
        </w:trPr>
        <w:tc>
          <w:tcPr>
            <w:tcW w:w="975" w:type="pct"/>
            <w:vMerge/>
            <w:vAlign w:val="center"/>
          </w:tcPr>
          <w:p w:rsidR="00744BAE" w:rsidRPr="00744BAE" w:rsidRDefault="00744BAE" w:rsidP="00744BAE">
            <w:pPr>
              <w:widowControl w:val="0"/>
              <w:adjustRightInd/>
              <w:snapToGrid/>
              <w:spacing w:line="240" w:lineRule="atLeast"/>
              <w:rPr>
                <w:rFonts w:ascii="宋体" w:hAnsi="宋体" w:cs="Times New Roman"/>
                <w:szCs w:val="21"/>
              </w:rPr>
            </w:pPr>
          </w:p>
        </w:tc>
        <w:tc>
          <w:tcPr>
            <w:tcW w:w="1552" w:type="pct"/>
            <w:vMerge w:val="restart"/>
            <w:vAlign w:val="center"/>
          </w:tcPr>
          <w:p w:rsidR="00744BAE" w:rsidRPr="00744BAE" w:rsidRDefault="00744BAE" w:rsidP="00744BAE">
            <w:pPr>
              <w:widowControl w:val="0"/>
              <w:adjustRightInd/>
              <w:snapToGrid/>
              <w:spacing w:line="240" w:lineRule="atLeast"/>
              <w:rPr>
                <w:rFonts w:ascii="宋体" w:hAnsi="宋体" w:cs="Times New Roman"/>
                <w:b/>
                <w:szCs w:val="21"/>
              </w:rPr>
            </w:pPr>
            <w:r w:rsidRPr="00744BAE">
              <w:rPr>
                <w:rFonts w:ascii="宋体" w:hAnsi="宋体" w:cs="Times New Roman" w:hint="eastAsia"/>
                <w:szCs w:val="21"/>
              </w:rPr>
              <w:t>2.</w:t>
            </w:r>
            <w:r w:rsidRPr="00744BAE">
              <w:rPr>
                <w:rFonts w:ascii="宋体" w:hAnsi="宋体" w:cs="Times New Roman"/>
                <w:szCs w:val="21"/>
              </w:rPr>
              <w:t xml:space="preserve"> 胸痛中心系统</w:t>
            </w:r>
          </w:p>
        </w:tc>
        <w:tc>
          <w:tcPr>
            <w:tcW w:w="1244" w:type="pct"/>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szCs w:val="21"/>
              </w:rPr>
              <w:t>软件</w:t>
            </w:r>
          </w:p>
        </w:tc>
        <w:tc>
          <w:tcPr>
            <w:tcW w:w="641" w:type="pct"/>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hint="eastAsia"/>
                <w:szCs w:val="21"/>
              </w:rPr>
              <w:t>1</w:t>
            </w:r>
          </w:p>
        </w:tc>
        <w:tc>
          <w:tcPr>
            <w:tcW w:w="588" w:type="pct"/>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szCs w:val="21"/>
              </w:rPr>
              <w:t>套</w:t>
            </w:r>
          </w:p>
        </w:tc>
      </w:tr>
      <w:tr w:rsidR="00744BAE" w:rsidRPr="00744BAE" w:rsidTr="00A32434">
        <w:trPr>
          <w:trHeight w:val="700"/>
          <w:jc w:val="center"/>
        </w:trPr>
        <w:tc>
          <w:tcPr>
            <w:tcW w:w="975" w:type="pct"/>
            <w:vMerge/>
            <w:vAlign w:val="center"/>
          </w:tcPr>
          <w:p w:rsidR="00744BAE" w:rsidRPr="00744BAE" w:rsidRDefault="00744BAE" w:rsidP="00744BAE">
            <w:pPr>
              <w:widowControl w:val="0"/>
              <w:adjustRightInd/>
              <w:snapToGrid/>
              <w:spacing w:line="240" w:lineRule="atLeast"/>
              <w:rPr>
                <w:rFonts w:ascii="宋体" w:hAnsi="宋体" w:cs="Times New Roman"/>
                <w:szCs w:val="21"/>
              </w:rPr>
            </w:pPr>
          </w:p>
        </w:tc>
        <w:tc>
          <w:tcPr>
            <w:tcW w:w="1552" w:type="pct"/>
            <w:vMerge/>
            <w:vAlign w:val="center"/>
          </w:tcPr>
          <w:p w:rsidR="00744BAE" w:rsidRPr="00744BAE" w:rsidRDefault="00744BAE" w:rsidP="00744BAE">
            <w:pPr>
              <w:widowControl w:val="0"/>
              <w:adjustRightInd/>
              <w:snapToGrid/>
              <w:spacing w:line="240" w:lineRule="atLeast"/>
              <w:rPr>
                <w:rFonts w:ascii="宋体" w:hAnsi="宋体" w:cs="Times New Roman"/>
                <w:szCs w:val="21"/>
              </w:rPr>
            </w:pPr>
          </w:p>
        </w:tc>
        <w:tc>
          <w:tcPr>
            <w:tcW w:w="1244" w:type="pct"/>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szCs w:val="21"/>
              </w:rPr>
              <w:t>配套专用硬件</w:t>
            </w:r>
          </w:p>
        </w:tc>
        <w:tc>
          <w:tcPr>
            <w:tcW w:w="641" w:type="pct"/>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hint="eastAsia"/>
                <w:szCs w:val="21"/>
              </w:rPr>
              <w:t>1</w:t>
            </w:r>
          </w:p>
        </w:tc>
        <w:tc>
          <w:tcPr>
            <w:tcW w:w="588" w:type="pct"/>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szCs w:val="21"/>
              </w:rPr>
              <w:t>批</w:t>
            </w:r>
          </w:p>
        </w:tc>
      </w:tr>
      <w:tr w:rsidR="00744BAE" w:rsidRPr="00744BAE" w:rsidTr="00A32434">
        <w:trPr>
          <w:trHeight w:val="700"/>
          <w:jc w:val="center"/>
        </w:trPr>
        <w:tc>
          <w:tcPr>
            <w:tcW w:w="975" w:type="pct"/>
            <w:vMerge/>
            <w:vAlign w:val="center"/>
          </w:tcPr>
          <w:p w:rsidR="00744BAE" w:rsidRPr="00744BAE" w:rsidRDefault="00744BAE" w:rsidP="00744BAE">
            <w:pPr>
              <w:widowControl w:val="0"/>
              <w:adjustRightInd/>
              <w:snapToGrid/>
              <w:spacing w:line="240" w:lineRule="atLeast"/>
              <w:rPr>
                <w:rFonts w:ascii="宋体" w:hAnsi="宋体" w:cs="Times New Roman"/>
                <w:szCs w:val="21"/>
              </w:rPr>
            </w:pPr>
          </w:p>
        </w:tc>
        <w:tc>
          <w:tcPr>
            <w:tcW w:w="1552" w:type="pct"/>
            <w:vMerge/>
            <w:vAlign w:val="center"/>
          </w:tcPr>
          <w:p w:rsidR="00744BAE" w:rsidRPr="00744BAE" w:rsidRDefault="00744BAE" w:rsidP="00744BAE">
            <w:pPr>
              <w:widowControl w:val="0"/>
              <w:adjustRightInd/>
              <w:snapToGrid/>
              <w:spacing w:line="240" w:lineRule="atLeast"/>
              <w:rPr>
                <w:rFonts w:ascii="宋体" w:hAnsi="宋体" w:cs="Times New Roman"/>
                <w:szCs w:val="21"/>
              </w:rPr>
            </w:pPr>
          </w:p>
        </w:tc>
        <w:tc>
          <w:tcPr>
            <w:tcW w:w="1244" w:type="pct"/>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szCs w:val="21"/>
              </w:rPr>
              <w:t>心血管联盟接口上报</w:t>
            </w:r>
          </w:p>
        </w:tc>
        <w:tc>
          <w:tcPr>
            <w:tcW w:w="641" w:type="pct"/>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hint="eastAsia"/>
                <w:szCs w:val="21"/>
              </w:rPr>
              <w:t>3</w:t>
            </w:r>
          </w:p>
        </w:tc>
        <w:tc>
          <w:tcPr>
            <w:tcW w:w="588" w:type="pct"/>
            <w:vAlign w:val="center"/>
          </w:tcPr>
          <w:p w:rsidR="00744BAE" w:rsidRPr="00744BAE" w:rsidRDefault="00744BAE" w:rsidP="00744BAE">
            <w:pPr>
              <w:widowControl w:val="0"/>
              <w:adjustRightInd/>
              <w:snapToGrid/>
              <w:spacing w:line="240" w:lineRule="atLeast"/>
              <w:rPr>
                <w:rFonts w:ascii="宋体" w:hAnsi="宋体" w:cs="Times New Roman"/>
                <w:szCs w:val="21"/>
              </w:rPr>
            </w:pPr>
            <w:r w:rsidRPr="00744BAE">
              <w:rPr>
                <w:rFonts w:ascii="宋体" w:hAnsi="宋体" w:cs="Times New Roman"/>
                <w:szCs w:val="21"/>
              </w:rPr>
              <w:t>年</w:t>
            </w:r>
          </w:p>
        </w:tc>
      </w:tr>
    </w:tbl>
    <w:p w:rsidR="00744BAE" w:rsidRPr="00744BAE" w:rsidRDefault="00744BAE" w:rsidP="00744BAE">
      <w:pPr>
        <w:widowControl w:val="0"/>
        <w:adjustRightInd/>
        <w:snapToGrid/>
        <w:spacing w:after="0" w:line="360" w:lineRule="auto"/>
        <w:jc w:val="both"/>
        <w:rPr>
          <w:rFonts w:ascii="宋体" w:eastAsia="宋体" w:hAnsi="宋体" w:cs="Times New Roman"/>
          <w:kern w:val="2"/>
          <w:sz w:val="21"/>
          <w:szCs w:val="20"/>
        </w:rPr>
      </w:pPr>
    </w:p>
    <w:p w:rsidR="00744BAE" w:rsidRPr="00744BAE" w:rsidRDefault="00744BAE" w:rsidP="00744BAE">
      <w:pPr>
        <w:adjustRightInd/>
        <w:snapToGrid/>
        <w:spacing w:after="0"/>
        <w:rPr>
          <w:rFonts w:ascii="Times New Roman" w:eastAsia="等线" w:hAnsi="Times New Roman" w:cs="Times New Roman"/>
          <w:kern w:val="2"/>
          <w:sz w:val="21"/>
          <w:szCs w:val="20"/>
        </w:rPr>
      </w:pPr>
      <w:r w:rsidRPr="00744BAE">
        <w:rPr>
          <w:rFonts w:ascii="Times New Roman" w:eastAsia="等线" w:hAnsi="Times New Roman" w:cs="Times New Roman"/>
          <w:kern w:val="2"/>
          <w:sz w:val="21"/>
          <w:szCs w:val="20"/>
        </w:rPr>
        <w:br w:type="page"/>
      </w:r>
    </w:p>
    <w:p w:rsidR="00744BAE" w:rsidRPr="00744BAE" w:rsidRDefault="002E20F6" w:rsidP="002E20F6">
      <w:pPr>
        <w:keepNext/>
        <w:keepLines/>
        <w:widowControl w:val="0"/>
        <w:adjustRightInd/>
        <w:snapToGrid/>
        <w:spacing w:before="340" w:after="330" w:line="578" w:lineRule="auto"/>
        <w:jc w:val="both"/>
        <w:outlineLvl w:val="0"/>
        <w:rPr>
          <w:rFonts w:ascii="宋体" w:eastAsia="宋体" w:hAnsi="宋体" w:cs="Times New Roman"/>
          <w:b/>
          <w:bCs/>
          <w:kern w:val="44"/>
          <w:sz w:val="28"/>
          <w:szCs w:val="44"/>
        </w:rPr>
      </w:pPr>
      <w:r w:rsidRPr="002D1980">
        <w:rPr>
          <w:rFonts w:ascii="宋体" w:eastAsia="宋体" w:hAnsi="宋体" w:cs="Times New Roman" w:hint="eastAsia"/>
          <w:b/>
          <w:bCs/>
          <w:kern w:val="44"/>
          <w:sz w:val="28"/>
          <w:szCs w:val="44"/>
        </w:rPr>
        <w:lastRenderedPageBreak/>
        <w:t>二、</w:t>
      </w:r>
      <w:r w:rsidR="0037699F">
        <w:rPr>
          <w:rFonts w:ascii="宋体" w:eastAsia="宋体" w:hAnsi="宋体" w:cs="Times New Roman" w:hint="eastAsia"/>
          <w:b/>
          <w:bCs/>
          <w:kern w:val="44"/>
          <w:sz w:val="28"/>
          <w:szCs w:val="44"/>
        </w:rPr>
        <w:t>软件</w:t>
      </w:r>
      <w:r w:rsidR="00744BAE" w:rsidRPr="00744BAE">
        <w:rPr>
          <w:rFonts w:ascii="宋体" w:eastAsia="宋体" w:hAnsi="宋体" w:cs="Times New Roman" w:hint="eastAsia"/>
          <w:b/>
          <w:bCs/>
          <w:kern w:val="44"/>
          <w:sz w:val="28"/>
          <w:szCs w:val="44"/>
        </w:rPr>
        <w:t>需求</w:t>
      </w:r>
      <w:r w:rsidR="00744BAE" w:rsidRPr="00744BAE">
        <w:rPr>
          <w:rFonts w:ascii="宋体" w:eastAsia="宋体" w:hAnsi="宋体" w:cs="Times New Roman"/>
          <w:b/>
          <w:bCs/>
          <w:kern w:val="44"/>
          <w:sz w:val="28"/>
          <w:szCs w:val="44"/>
        </w:rPr>
        <w:t>概述</w:t>
      </w:r>
    </w:p>
    <w:tbl>
      <w:tblPr>
        <w:tblStyle w:val="a7"/>
        <w:tblW w:w="5000" w:type="pct"/>
        <w:jc w:val="center"/>
        <w:shd w:val="clear" w:color="auto" w:fill="FFFFFF"/>
        <w:tblLook w:val="04A0"/>
      </w:tblPr>
      <w:tblGrid>
        <w:gridCol w:w="9286"/>
      </w:tblGrid>
      <w:tr w:rsidR="00744BAE" w:rsidRPr="00744BAE" w:rsidTr="00744BAE">
        <w:trPr>
          <w:trHeight w:val="20"/>
          <w:jc w:val="center"/>
        </w:trPr>
        <w:tc>
          <w:tcPr>
            <w:tcW w:w="0" w:type="auto"/>
            <w:shd w:val="clear" w:color="auto" w:fill="FFFFFF"/>
          </w:tcPr>
          <w:p w:rsidR="00744BAE" w:rsidRPr="00744BAE" w:rsidRDefault="00744BAE" w:rsidP="00744BAE">
            <w:pPr>
              <w:widowControl w:val="0"/>
              <w:adjustRightInd/>
              <w:snapToGrid/>
              <w:spacing w:line="360" w:lineRule="auto"/>
              <w:jc w:val="center"/>
              <w:rPr>
                <w:rFonts w:ascii="宋体" w:hAnsi="宋体" w:cs="Times New Roman"/>
                <w:b/>
                <w:szCs w:val="20"/>
              </w:rPr>
            </w:pPr>
            <w:r w:rsidRPr="00744BAE">
              <w:rPr>
                <w:rFonts w:ascii="宋体" w:hAnsi="宋体" w:cs="Times New Roman" w:hint="eastAsia"/>
                <w:b/>
                <w:szCs w:val="20"/>
              </w:rPr>
              <w:t>急诊临床信息系统</w:t>
            </w:r>
          </w:p>
        </w:tc>
      </w:tr>
    </w:tbl>
    <w:tbl>
      <w:tblPr>
        <w:tblW w:w="5000" w:type="pct"/>
        <w:tblLook w:val="04A0"/>
      </w:tblPr>
      <w:tblGrid>
        <w:gridCol w:w="522"/>
        <w:gridCol w:w="1681"/>
        <w:gridCol w:w="1107"/>
        <w:gridCol w:w="5976"/>
      </w:tblGrid>
      <w:tr w:rsidR="00744BAE" w:rsidRPr="00744BAE" w:rsidTr="00A32434">
        <w:trPr>
          <w:trHeight w:val="600"/>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序号</w:t>
            </w:r>
          </w:p>
        </w:tc>
        <w:tc>
          <w:tcPr>
            <w:tcW w:w="905"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模块</w:t>
            </w: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kern w:val="2"/>
                <w:sz w:val="21"/>
                <w:szCs w:val="21"/>
              </w:rPr>
              <w:t>功能</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功能明细</w:t>
            </w:r>
          </w:p>
        </w:tc>
      </w:tr>
      <w:tr w:rsidR="00744BAE" w:rsidRPr="00744BAE" w:rsidTr="00A32434">
        <w:trPr>
          <w:trHeight w:val="2800"/>
        </w:trPr>
        <w:tc>
          <w:tcPr>
            <w:tcW w:w="281" w:type="pct"/>
            <w:vMerge w:val="restar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1</w:t>
            </w:r>
          </w:p>
        </w:tc>
        <w:tc>
          <w:tcPr>
            <w:tcW w:w="905" w:type="pct"/>
            <w:vMerge w:val="restar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急诊分诊工作站</w:t>
            </w: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患者登记</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1）支持登记读卡功能，可通过读取就诊卡、身份证、医保卡途径获取患者信息；</w:t>
            </w:r>
            <w:r w:rsidRPr="00744BAE">
              <w:rPr>
                <w:rFonts w:ascii="宋体" w:eastAsia="宋体" w:hAnsi="宋体" w:cs="Times New Roman" w:hint="eastAsia"/>
                <w:kern w:val="2"/>
                <w:sz w:val="21"/>
                <w:szCs w:val="21"/>
              </w:rPr>
              <w:br/>
              <w:t>2）支持与HIS挂号系统进行患者信息共享，减少二次录入；</w:t>
            </w:r>
            <w:r w:rsidRPr="00744BAE">
              <w:rPr>
                <w:rFonts w:ascii="宋体" w:eastAsia="宋体" w:hAnsi="宋体" w:cs="Times New Roman" w:hint="eastAsia"/>
                <w:kern w:val="2"/>
                <w:sz w:val="21"/>
                <w:szCs w:val="21"/>
              </w:rPr>
              <w:br/>
              <w:t>3）支持直接录入患者信息；</w:t>
            </w:r>
            <w:r w:rsidRPr="00744BAE">
              <w:rPr>
                <w:rFonts w:ascii="宋体" w:eastAsia="宋体" w:hAnsi="宋体" w:cs="Times New Roman" w:hint="eastAsia"/>
                <w:kern w:val="2"/>
                <w:sz w:val="21"/>
                <w:szCs w:val="21"/>
              </w:rPr>
              <w:br/>
              <w:t>4）支持三无患者登记：系统可自动分配预检号进行登记，后期可与挂号信息进行匹配；</w:t>
            </w:r>
            <w:r w:rsidRPr="00744BAE">
              <w:rPr>
                <w:rFonts w:ascii="宋体" w:eastAsia="宋体" w:hAnsi="宋体" w:cs="Times New Roman" w:hint="eastAsia"/>
                <w:kern w:val="2"/>
                <w:sz w:val="21"/>
                <w:szCs w:val="21"/>
              </w:rPr>
              <w:br/>
              <w:t>5）支持绿色通道患者登记：对于需开通绿色通道的急危重症患者，允许先抢救，利用抢救过程采集的体征对分诊信息进行补录；</w:t>
            </w:r>
            <w:r w:rsidRPr="00744BAE">
              <w:rPr>
                <w:rFonts w:ascii="宋体" w:eastAsia="宋体" w:hAnsi="宋体" w:cs="Times New Roman" w:hint="eastAsia"/>
                <w:kern w:val="2"/>
                <w:sz w:val="21"/>
                <w:szCs w:val="21"/>
              </w:rPr>
              <w:br/>
              <w:t>6）支持群伤事件患者快速登记、批量管理，患者追踪等功能；</w:t>
            </w:r>
            <w:r w:rsidRPr="00744BAE">
              <w:rPr>
                <w:rFonts w:ascii="宋体" w:eastAsia="宋体" w:hAnsi="宋体" w:cs="Times New Roman" w:hint="eastAsia"/>
                <w:kern w:val="2"/>
                <w:sz w:val="21"/>
                <w:szCs w:val="21"/>
              </w:rPr>
              <w:br/>
              <w:t>7）支持患者来院方式、发病时间、流行病学指标登记；</w:t>
            </w:r>
          </w:p>
        </w:tc>
      </w:tr>
      <w:tr w:rsidR="00744BAE" w:rsidRPr="00744BAE" w:rsidTr="00A32434">
        <w:trPr>
          <w:trHeight w:val="1960"/>
        </w:trPr>
        <w:tc>
          <w:tcPr>
            <w:tcW w:w="281"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患者分诊</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可按照三区四级进行患者分级分区，将患者分配到最合适的区域就诊：</w:t>
            </w:r>
            <w:r w:rsidRPr="00744BAE">
              <w:rPr>
                <w:rFonts w:ascii="宋体" w:eastAsia="宋体" w:hAnsi="宋体" w:cs="Times New Roman" w:hint="eastAsia"/>
                <w:kern w:val="2"/>
                <w:sz w:val="21"/>
                <w:szCs w:val="21"/>
              </w:rPr>
              <w:br/>
              <w:t>1）支持分诊知识库进行分级；</w:t>
            </w:r>
            <w:r w:rsidRPr="00744BAE">
              <w:rPr>
                <w:rFonts w:ascii="宋体" w:eastAsia="宋体" w:hAnsi="宋体" w:cs="Times New Roman" w:hint="eastAsia"/>
                <w:kern w:val="2"/>
                <w:sz w:val="21"/>
                <w:szCs w:val="21"/>
              </w:rPr>
              <w:br/>
              <w:t>2）支持患者生命体征进行分级；</w:t>
            </w:r>
            <w:r w:rsidRPr="00744BAE">
              <w:rPr>
                <w:rFonts w:ascii="宋体" w:eastAsia="宋体" w:hAnsi="宋体" w:cs="Times New Roman" w:hint="eastAsia"/>
                <w:kern w:val="2"/>
                <w:sz w:val="21"/>
                <w:szCs w:val="21"/>
              </w:rPr>
              <w:br/>
              <w:t>3）支持引入患者评分进行分级；</w:t>
            </w:r>
            <w:r w:rsidRPr="00744BAE">
              <w:rPr>
                <w:rFonts w:ascii="宋体" w:eastAsia="宋体" w:hAnsi="宋体" w:cs="Times New Roman" w:hint="eastAsia"/>
                <w:kern w:val="2"/>
                <w:sz w:val="21"/>
                <w:szCs w:val="21"/>
              </w:rPr>
              <w:br/>
              <w:t>4）支持常见病症的快捷分诊；</w:t>
            </w:r>
            <w:r w:rsidRPr="00744BAE">
              <w:rPr>
                <w:rFonts w:ascii="宋体" w:eastAsia="宋体" w:hAnsi="宋体" w:cs="Times New Roman" w:hint="eastAsia"/>
                <w:kern w:val="2"/>
                <w:sz w:val="21"/>
                <w:szCs w:val="21"/>
              </w:rPr>
              <w:br/>
              <w:t>实现自动分级、自动选择患者去向，分诊人员做最后判断。</w:t>
            </w:r>
          </w:p>
        </w:tc>
      </w:tr>
      <w:tr w:rsidR="00744BAE" w:rsidRPr="00744BAE" w:rsidTr="00A32434">
        <w:trPr>
          <w:trHeight w:val="1960"/>
        </w:trPr>
        <w:tc>
          <w:tcPr>
            <w:tcW w:w="281"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分诊知识库</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1）系统提供分级分诊的检伤知识库，包含外伤和非外伤两大系统；分诊知识库具备患者主诉、主诉判断依据，供预检分诊作为依据；</w:t>
            </w:r>
            <w:r w:rsidRPr="00744BAE">
              <w:rPr>
                <w:rFonts w:ascii="宋体" w:eastAsia="宋体" w:hAnsi="宋体" w:cs="Times New Roman" w:hint="eastAsia"/>
                <w:kern w:val="2"/>
                <w:sz w:val="21"/>
                <w:szCs w:val="21"/>
              </w:rPr>
              <w:br/>
              <w:t>2）分诊时可通过调用知识库，选择主诉判断依据后进行自动分诊；</w:t>
            </w:r>
            <w:r w:rsidRPr="00744BAE">
              <w:rPr>
                <w:rFonts w:ascii="宋体" w:eastAsia="宋体" w:hAnsi="宋体" w:cs="Times New Roman" w:hint="eastAsia"/>
                <w:kern w:val="2"/>
                <w:sz w:val="21"/>
                <w:szCs w:val="21"/>
              </w:rPr>
              <w:br/>
              <w:t>3）允许分诊护士对自动分级信息进行修正；</w:t>
            </w:r>
            <w:r w:rsidRPr="00744BAE">
              <w:rPr>
                <w:rFonts w:ascii="宋体" w:eastAsia="宋体" w:hAnsi="宋体" w:cs="Times New Roman" w:hint="eastAsia"/>
                <w:kern w:val="2"/>
                <w:sz w:val="21"/>
                <w:szCs w:val="21"/>
              </w:rPr>
              <w:br/>
              <w:t>4）授权人员可对分诊知识库进行自定义配置与维护，不断完善知识库内容；</w:t>
            </w:r>
            <w:r w:rsidRPr="00744BAE">
              <w:rPr>
                <w:rFonts w:ascii="宋体" w:eastAsia="宋体" w:hAnsi="宋体" w:cs="Times New Roman" w:hint="eastAsia"/>
                <w:kern w:val="2"/>
                <w:sz w:val="21"/>
                <w:szCs w:val="21"/>
              </w:rPr>
              <w:br/>
              <w:t>5）主诉支持快捷键，允许快速选择。</w:t>
            </w:r>
          </w:p>
        </w:tc>
      </w:tr>
      <w:tr w:rsidR="00744BAE" w:rsidRPr="00744BAE" w:rsidTr="00A32434">
        <w:trPr>
          <w:trHeight w:val="840"/>
        </w:trPr>
        <w:tc>
          <w:tcPr>
            <w:tcW w:w="281"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生命体征采集</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1）支持患者生命体征信息采集录入；</w:t>
            </w:r>
            <w:r w:rsidRPr="00744BAE">
              <w:rPr>
                <w:rFonts w:ascii="宋体" w:eastAsia="宋体" w:hAnsi="宋体" w:cs="Times New Roman" w:hint="eastAsia"/>
                <w:kern w:val="2"/>
                <w:sz w:val="21"/>
                <w:szCs w:val="21"/>
              </w:rPr>
              <w:br/>
              <w:t>2）能够录入收缩压、舒张压、SpO2、心率、体温；</w:t>
            </w:r>
            <w:r w:rsidRPr="00744BAE">
              <w:rPr>
                <w:rFonts w:ascii="宋体" w:eastAsia="宋体" w:hAnsi="宋体" w:cs="Times New Roman" w:hint="eastAsia"/>
                <w:kern w:val="2"/>
                <w:sz w:val="21"/>
                <w:szCs w:val="21"/>
              </w:rPr>
              <w:br/>
              <w:t>3）可以连接监护仪、臂式血压计设备完成体征自动采集；</w:t>
            </w:r>
          </w:p>
        </w:tc>
      </w:tr>
      <w:tr w:rsidR="00744BAE" w:rsidRPr="00744BAE" w:rsidTr="00A32434">
        <w:trPr>
          <w:trHeight w:val="840"/>
        </w:trPr>
        <w:tc>
          <w:tcPr>
            <w:tcW w:w="281"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患者评分</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支持通过自动采集的体征，引入评分系统实现对患者病情的评估。支持MEWS评分、REMS评分、GCS评分、创伤评分、痛疼评分等评分管理。</w:t>
            </w:r>
          </w:p>
        </w:tc>
      </w:tr>
      <w:tr w:rsidR="00744BAE" w:rsidRPr="00744BAE" w:rsidTr="00A32434">
        <w:trPr>
          <w:trHeight w:val="560"/>
        </w:trPr>
        <w:tc>
          <w:tcPr>
            <w:tcW w:w="281"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患者标示</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系统支持打印患者分诊信息在凭条、腕带上，实现患者唯一标示；可根据医院需要配置打印的分诊信息。</w:t>
            </w:r>
          </w:p>
        </w:tc>
      </w:tr>
      <w:tr w:rsidR="00744BAE" w:rsidRPr="00744BAE" w:rsidTr="00A32434">
        <w:trPr>
          <w:trHeight w:val="280"/>
        </w:trPr>
        <w:tc>
          <w:tcPr>
            <w:tcW w:w="281"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患者去向</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分诊后自动记录患者去向，同时支持手动更改去向信息。</w:t>
            </w:r>
          </w:p>
        </w:tc>
      </w:tr>
      <w:tr w:rsidR="00744BAE" w:rsidRPr="00744BAE" w:rsidTr="00A32434">
        <w:trPr>
          <w:trHeight w:val="560"/>
        </w:trPr>
        <w:tc>
          <w:tcPr>
            <w:tcW w:w="281"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查询导出</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提供患者列表包含基本信息、分诊级别、患者主诉、分诊去向、诊断等内容的导出功能。</w:t>
            </w:r>
          </w:p>
        </w:tc>
      </w:tr>
      <w:tr w:rsidR="00744BAE" w:rsidRPr="00744BAE" w:rsidTr="00A32434">
        <w:trPr>
          <w:trHeight w:val="560"/>
        </w:trPr>
        <w:tc>
          <w:tcPr>
            <w:tcW w:w="281" w:type="pct"/>
            <w:vMerge w:val="restart"/>
            <w:tcBorders>
              <w:top w:val="single" w:sz="4" w:space="0" w:color="auto"/>
              <w:left w:val="single" w:sz="4" w:space="0" w:color="auto"/>
              <w:bottom w:val="nil"/>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2</w:t>
            </w:r>
          </w:p>
        </w:tc>
        <w:tc>
          <w:tcPr>
            <w:tcW w:w="905" w:type="pct"/>
            <w:vMerge w:val="restart"/>
            <w:tcBorders>
              <w:top w:val="single" w:sz="4" w:space="0" w:color="auto"/>
              <w:left w:val="single" w:sz="4" w:space="0" w:color="auto"/>
              <w:bottom w:val="nil"/>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抢救医护一体工作站</w:t>
            </w: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临床信息集成</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实现和医院现有HIS、LIS、PACS、EMR信息系统对接；</w:t>
            </w:r>
          </w:p>
        </w:tc>
      </w:tr>
      <w:tr w:rsidR="00744BAE" w:rsidRPr="00744BAE" w:rsidTr="00A32434">
        <w:trPr>
          <w:trHeight w:val="84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设备集成</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自动采集床边具有输出协议的监护设备的数据，服务器同步数据存储，采集到的体征数据信息需要提供数字、曲线图多种方式展现，对于异常情况可以进行数据修正和报警；</w:t>
            </w:r>
          </w:p>
        </w:tc>
      </w:tr>
      <w:tr w:rsidR="00744BAE" w:rsidRPr="00744BAE" w:rsidTr="00A32434">
        <w:trPr>
          <w:trHeight w:val="56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基本信息管理</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支持对抢救患者信息的查询功能，可根据日期、ID、级别、姓名、病种等条件自定义查询；支持床头卡和列表两种显示方式；</w:t>
            </w:r>
          </w:p>
        </w:tc>
      </w:tr>
      <w:tr w:rsidR="00744BAE" w:rsidRPr="00744BAE" w:rsidTr="00A32434">
        <w:trPr>
          <w:trHeight w:val="56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床位管理</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支持患者床位管理功能，方便护士对抢救床位资源及患者病情的管理；</w:t>
            </w:r>
          </w:p>
        </w:tc>
      </w:tr>
      <w:tr w:rsidR="00744BAE" w:rsidRPr="00744BAE" w:rsidTr="00A32434">
        <w:trPr>
          <w:trHeight w:val="28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患者首页</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显示患者体征趋势图、医嘱等信息，实现患者病情的获取；</w:t>
            </w:r>
          </w:p>
        </w:tc>
      </w:tr>
      <w:tr w:rsidR="00744BAE" w:rsidRPr="00744BAE" w:rsidTr="00A32434">
        <w:trPr>
          <w:trHeight w:val="56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分诊信息回顾</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抢救医生可调阅分诊时患者主诉，体征等详细信息，支持分诊信息修改；</w:t>
            </w:r>
          </w:p>
        </w:tc>
      </w:tr>
      <w:tr w:rsidR="00744BAE" w:rsidRPr="00744BAE" w:rsidTr="00A32434">
        <w:trPr>
          <w:trHeight w:val="28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检查检验</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支持检查检验结果的调阅；</w:t>
            </w:r>
          </w:p>
        </w:tc>
      </w:tr>
      <w:tr w:rsidR="00744BAE" w:rsidRPr="00744BAE" w:rsidTr="00A32434">
        <w:trPr>
          <w:trHeight w:val="28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病种监控</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实现患者诊断与质控病种的关联，达到对病种质控的目的；</w:t>
            </w:r>
          </w:p>
        </w:tc>
      </w:tr>
      <w:tr w:rsidR="00744BAE" w:rsidRPr="00744BAE" w:rsidTr="00A32434">
        <w:trPr>
          <w:trHeight w:val="56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绿色通道</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支持危重患者的绿色通道诊疗，可实现先抢救后分诊，先记录诊疗措施后付费的模式；</w:t>
            </w:r>
          </w:p>
        </w:tc>
      </w:tr>
      <w:tr w:rsidR="00744BAE" w:rsidRPr="00744BAE" w:rsidTr="00A32434">
        <w:trPr>
          <w:trHeight w:val="84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患者诊断</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支持ICD10标准诊断库与手工录入诊断两种方式，诊断信息自动体现在病历中；医生根据病情诊疗情况，可对初步诊断进行确认或修订；</w:t>
            </w:r>
          </w:p>
        </w:tc>
      </w:tr>
      <w:tr w:rsidR="00744BAE" w:rsidRPr="00744BAE" w:rsidTr="00A32434">
        <w:trPr>
          <w:trHeight w:val="420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抢救记录</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抢救记录单：根据临床科室需要合理展现生命体征数据、护理措施信息，医嘱核对与执行信息，减少护士文字书写时间。</w:t>
            </w:r>
            <w:r w:rsidRPr="00744BAE">
              <w:rPr>
                <w:rFonts w:ascii="宋体" w:eastAsia="宋体" w:hAnsi="宋体" w:cs="Times New Roman" w:hint="eastAsia"/>
                <w:kern w:val="2"/>
                <w:sz w:val="21"/>
                <w:szCs w:val="21"/>
              </w:rPr>
              <w:br/>
              <w:t>1）护理措施：根据抢救护理的具体需要，具有以下功能：</w:t>
            </w:r>
            <w:r w:rsidRPr="00744BAE">
              <w:rPr>
                <w:rFonts w:ascii="宋体" w:eastAsia="宋体" w:hAnsi="宋体" w:cs="Times New Roman" w:hint="eastAsia"/>
                <w:kern w:val="2"/>
                <w:sz w:val="21"/>
                <w:szCs w:val="21"/>
              </w:rPr>
              <w:br/>
              <w:t>a） 基础护理措施模板，可自定义模板内容</w:t>
            </w:r>
            <w:r w:rsidRPr="00744BAE">
              <w:rPr>
                <w:rFonts w:ascii="宋体" w:eastAsia="宋体" w:hAnsi="宋体" w:cs="Times New Roman" w:hint="eastAsia"/>
                <w:kern w:val="2"/>
                <w:sz w:val="21"/>
                <w:szCs w:val="21"/>
              </w:rPr>
              <w:br/>
              <w:t>b） 支持护士手动录入护理措施。</w:t>
            </w:r>
            <w:r w:rsidRPr="00744BAE">
              <w:rPr>
                <w:rFonts w:ascii="宋体" w:eastAsia="宋体" w:hAnsi="宋体" w:cs="Times New Roman" w:hint="eastAsia"/>
                <w:kern w:val="2"/>
                <w:sz w:val="21"/>
                <w:szCs w:val="21"/>
              </w:rPr>
              <w:br/>
              <w:t>2）医嘱核对与执行：显示详细的医嘱执行信息，包括：</w:t>
            </w:r>
            <w:r w:rsidRPr="00744BAE">
              <w:rPr>
                <w:rFonts w:ascii="宋体" w:eastAsia="宋体" w:hAnsi="宋体" w:cs="Times New Roman" w:hint="eastAsia"/>
                <w:kern w:val="2"/>
                <w:sz w:val="21"/>
                <w:szCs w:val="21"/>
              </w:rPr>
              <w:br/>
              <w:t>a） 支持通过数据接口形式集成同步HIS电子医嘱中的医嘱信息，并将医嘱进行分类，方便医护人员核对、执行医嘱。</w:t>
            </w:r>
            <w:r w:rsidRPr="00744BAE">
              <w:rPr>
                <w:rFonts w:ascii="宋体" w:eastAsia="宋体" w:hAnsi="宋体" w:cs="Times New Roman" w:hint="eastAsia"/>
                <w:kern w:val="2"/>
                <w:sz w:val="21"/>
                <w:szCs w:val="21"/>
              </w:rPr>
              <w:br/>
              <w:t>b） 支持显示医嘱的具体名称、剂量、单位、途径、用法内容，执行后的医嘱可自动记录到抢救记录单中。</w:t>
            </w:r>
            <w:r w:rsidRPr="00744BAE">
              <w:rPr>
                <w:rFonts w:ascii="宋体" w:eastAsia="宋体" w:hAnsi="宋体" w:cs="Times New Roman" w:hint="eastAsia"/>
                <w:kern w:val="2"/>
                <w:sz w:val="21"/>
                <w:szCs w:val="21"/>
              </w:rPr>
              <w:br/>
              <w:t>3）生命体征：支持自动采集床边仪器上的数据，数据可记录在抢救记录单上，无需护士再次抄写。</w:t>
            </w:r>
            <w:r w:rsidRPr="00744BAE">
              <w:rPr>
                <w:rFonts w:ascii="宋体" w:eastAsia="宋体" w:hAnsi="宋体" w:cs="Times New Roman" w:hint="eastAsia"/>
                <w:kern w:val="2"/>
                <w:sz w:val="21"/>
                <w:szCs w:val="21"/>
              </w:rPr>
              <w:br/>
              <w:t>4）特殊护理记录：支持记录患者在抢救护理过程中的特殊护理（气管插管，洗胃，心肺复苏）操作，最终形成统计信息。</w:t>
            </w:r>
            <w:r w:rsidRPr="00744BAE">
              <w:rPr>
                <w:rFonts w:ascii="宋体" w:eastAsia="宋体" w:hAnsi="宋体" w:cs="Times New Roman" w:hint="eastAsia"/>
                <w:kern w:val="2"/>
                <w:sz w:val="21"/>
                <w:szCs w:val="21"/>
              </w:rPr>
              <w:br/>
              <w:t>抢救记录单实现与住院部科室的无纸化交接。</w:t>
            </w:r>
          </w:p>
        </w:tc>
      </w:tr>
      <w:tr w:rsidR="00744BAE" w:rsidRPr="00744BAE" w:rsidTr="00A32434">
        <w:trPr>
          <w:trHeight w:val="56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护理文书</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支持医院所有格式的护理文书，包括抢救记录单、各类评分类文书，各种同意书等；</w:t>
            </w:r>
          </w:p>
        </w:tc>
      </w:tr>
      <w:tr w:rsidR="00744BAE" w:rsidRPr="00744BAE" w:rsidTr="00A32434">
        <w:trPr>
          <w:trHeight w:val="28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护理评估</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支持压疮评估、跌倒评估、导管滑落评估等护理评估；</w:t>
            </w:r>
          </w:p>
        </w:tc>
      </w:tr>
      <w:tr w:rsidR="00744BAE" w:rsidRPr="00744BAE" w:rsidTr="00A32434">
        <w:trPr>
          <w:trHeight w:val="28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出入量管理</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记录患者的出量与入量信息，并最后计算总量；</w:t>
            </w:r>
          </w:p>
        </w:tc>
      </w:tr>
      <w:tr w:rsidR="00744BAE" w:rsidRPr="00744BAE" w:rsidTr="00A32434">
        <w:trPr>
          <w:trHeight w:val="28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患者转归</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支持记录患者去向信息；</w:t>
            </w:r>
          </w:p>
        </w:tc>
      </w:tr>
      <w:tr w:rsidR="00744BAE" w:rsidRPr="00744BAE" w:rsidTr="00A32434">
        <w:trPr>
          <w:trHeight w:val="56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抢救时间轴</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以时间为轴实现患者行为跟踪，记录每个时间点的医疗措施与医疗记录，方便对患者诊疗的分析；</w:t>
            </w:r>
          </w:p>
        </w:tc>
      </w:tr>
      <w:tr w:rsidR="00744BAE" w:rsidRPr="00744BAE" w:rsidTr="00A32434">
        <w:trPr>
          <w:trHeight w:val="28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000000" w:fill="FFFFFF"/>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危急值管理</w:t>
            </w:r>
          </w:p>
        </w:tc>
        <w:tc>
          <w:tcPr>
            <w:tcW w:w="3218" w:type="pct"/>
            <w:tcBorders>
              <w:top w:val="nil"/>
              <w:left w:val="nil"/>
              <w:bottom w:val="single" w:sz="4" w:space="0" w:color="auto"/>
              <w:right w:val="single" w:sz="4" w:space="0" w:color="auto"/>
            </w:tcBorders>
            <w:shd w:val="clear" w:color="000000" w:fill="FFFFFF"/>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实现对体征、评分等数据的危急值预警功能。</w:t>
            </w:r>
          </w:p>
        </w:tc>
      </w:tr>
      <w:tr w:rsidR="00744BAE" w:rsidRPr="00744BAE" w:rsidTr="00A32434">
        <w:trPr>
          <w:trHeight w:val="28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病情交接单</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实现抢救室危重患者与接收科室的病情电子化交接；</w:t>
            </w:r>
          </w:p>
        </w:tc>
      </w:tr>
      <w:tr w:rsidR="00744BAE" w:rsidRPr="00744BAE" w:rsidTr="00A32434">
        <w:trPr>
          <w:trHeight w:val="56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医护交班</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系统自动生成交班所需统计汇总信息，交接双方书写交班记录并保存。</w:t>
            </w:r>
          </w:p>
        </w:tc>
      </w:tr>
      <w:tr w:rsidR="00744BAE" w:rsidRPr="00744BAE" w:rsidTr="00A32434">
        <w:trPr>
          <w:trHeight w:val="56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会诊管理</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实现会诊申请，会诊状态及会诊意见的汇总。能够对接医院现有信息通知平台对接，呼叫医生；</w:t>
            </w:r>
          </w:p>
        </w:tc>
      </w:tr>
      <w:tr w:rsidR="00744BAE" w:rsidRPr="00744BAE" w:rsidTr="00A32434">
        <w:trPr>
          <w:trHeight w:val="560"/>
        </w:trPr>
        <w:tc>
          <w:tcPr>
            <w:tcW w:w="281" w:type="pct"/>
            <w:vMerge w:val="restart"/>
            <w:tcBorders>
              <w:top w:val="single" w:sz="4" w:space="0" w:color="auto"/>
              <w:left w:val="single" w:sz="4" w:space="0" w:color="auto"/>
              <w:bottom w:val="nil"/>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lastRenderedPageBreak/>
              <w:t>3</w:t>
            </w:r>
          </w:p>
        </w:tc>
        <w:tc>
          <w:tcPr>
            <w:tcW w:w="905" w:type="pct"/>
            <w:vMerge w:val="restart"/>
            <w:tcBorders>
              <w:top w:val="single" w:sz="4" w:space="0" w:color="auto"/>
              <w:left w:val="single" w:sz="4" w:space="0" w:color="auto"/>
              <w:bottom w:val="nil"/>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留观医护一体工作站</w:t>
            </w: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临床信息集成</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实现和医院现有HIS、LIS、PACS、EMR信息系统对接；</w:t>
            </w:r>
          </w:p>
        </w:tc>
      </w:tr>
      <w:tr w:rsidR="00744BAE" w:rsidRPr="00744BAE" w:rsidTr="00A32434">
        <w:trPr>
          <w:trHeight w:val="84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设备集成</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自动采集床边具有输出协议的监护设备的数据，服务器同步数据存储，采集到的体征数据信息需要提供数字、曲线图多种方式展现，对于异常情况可以进行数据修正和报警；</w:t>
            </w:r>
          </w:p>
        </w:tc>
      </w:tr>
      <w:tr w:rsidR="00744BAE" w:rsidRPr="00744BAE" w:rsidTr="00A32434">
        <w:trPr>
          <w:trHeight w:val="56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基本信息管理</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支持对留观患者信息的查询功能，可根据日期、ID、级别、姓名、病种等条件自定义查询；支持床头卡和列表两种显示方式；</w:t>
            </w:r>
          </w:p>
        </w:tc>
      </w:tr>
      <w:tr w:rsidR="00744BAE" w:rsidRPr="00744BAE" w:rsidTr="00A32434">
        <w:trPr>
          <w:trHeight w:val="56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床位管理</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支持患者床位管理功能，方便护士对抢救床位资源及患者病情的管理；</w:t>
            </w:r>
          </w:p>
        </w:tc>
      </w:tr>
      <w:tr w:rsidR="00744BAE" w:rsidRPr="00744BAE" w:rsidTr="00A32434">
        <w:trPr>
          <w:trHeight w:val="28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患者首页</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显示患者体征趋势图、医嘱等信息，实现患者病情的获取；</w:t>
            </w:r>
          </w:p>
        </w:tc>
      </w:tr>
      <w:tr w:rsidR="00744BAE" w:rsidRPr="00744BAE" w:rsidTr="00A32434">
        <w:trPr>
          <w:trHeight w:val="56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分诊信息回顾</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留观医生可调阅分诊时患者主诉，体征等详细信息，支持分诊信息修改；</w:t>
            </w:r>
          </w:p>
        </w:tc>
      </w:tr>
      <w:tr w:rsidR="00744BAE" w:rsidRPr="00744BAE" w:rsidTr="00A32434">
        <w:trPr>
          <w:trHeight w:val="28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检查检验</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支持检查检验结果的调阅；</w:t>
            </w:r>
          </w:p>
        </w:tc>
      </w:tr>
      <w:tr w:rsidR="00744BAE" w:rsidRPr="00744BAE" w:rsidTr="00A32434">
        <w:trPr>
          <w:trHeight w:val="28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病种监控</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实现患者诊断与质控病种的关联，达到对病种质控的目的；</w:t>
            </w:r>
          </w:p>
        </w:tc>
      </w:tr>
      <w:tr w:rsidR="00744BAE" w:rsidRPr="00744BAE" w:rsidTr="00A32434">
        <w:trPr>
          <w:trHeight w:val="84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患者诊断</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支持ICD10标准诊断库与手工录入诊断两种方式，诊断信息自动体现在病历中；医生根据病情诊疗情况，可对初步诊断进行确认或修订；</w:t>
            </w:r>
          </w:p>
        </w:tc>
      </w:tr>
      <w:tr w:rsidR="00744BAE" w:rsidRPr="00744BAE" w:rsidTr="00A32434">
        <w:trPr>
          <w:trHeight w:val="28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留观记录</w:t>
            </w:r>
          </w:p>
        </w:tc>
        <w:tc>
          <w:tcPr>
            <w:tcW w:w="3218" w:type="pct"/>
            <w:tcBorders>
              <w:top w:val="nil"/>
              <w:left w:val="nil"/>
              <w:bottom w:val="nil"/>
              <w:right w:val="nil"/>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可按照病种提供留观护理模板，快速录入护理措施；</w:t>
            </w:r>
          </w:p>
        </w:tc>
      </w:tr>
      <w:tr w:rsidR="00744BAE" w:rsidRPr="00744BAE" w:rsidTr="00A32434">
        <w:trPr>
          <w:trHeight w:val="56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护理文书</w:t>
            </w:r>
          </w:p>
        </w:tc>
        <w:tc>
          <w:tcPr>
            <w:tcW w:w="3218" w:type="pct"/>
            <w:tcBorders>
              <w:top w:val="single" w:sz="4" w:space="0" w:color="auto"/>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支持医院所有格式的护理文书，包括留观记录单、各类评分类文书，各种同意书；</w:t>
            </w:r>
          </w:p>
        </w:tc>
      </w:tr>
      <w:tr w:rsidR="00744BAE" w:rsidRPr="00744BAE" w:rsidTr="00A32434">
        <w:trPr>
          <w:trHeight w:val="28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护理评估</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支持压疮评估、跌倒评估、导管滑落评估等护理评估；</w:t>
            </w:r>
          </w:p>
        </w:tc>
      </w:tr>
      <w:tr w:rsidR="00744BAE" w:rsidRPr="00744BAE" w:rsidTr="00A32434">
        <w:trPr>
          <w:trHeight w:val="112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医嘱核对与执行</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通过数据接口形式集成同步HIS电子医嘱中的医嘱信息，并将医嘱进行分类，方便医护人员核对、执行医嘱；需显示医嘱的具体名称、剂量、单位、途径、用法内容，执行后的医嘱可自动记录到抢救记录单中。</w:t>
            </w:r>
          </w:p>
        </w:tc>
      </w:tr>
      <w:tr w:rsidR="00744BAE" w:rsidRPr="00744BAE" w:rsidTr="00A32434">
        <w:trPr>
          <w:trHeight w:val="28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出入量管理</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记录患者的出量与入量信息，并最后计算总量；</w:t>
            </w:r>
          </w:p>
        </w:tc>
      </w:tr>
      <w:tr w:rsidR="00744BAE" w:rsidRPr="00744BAE" w:rsidTr="00A32434">
        <w:trPr>
          <w:trHeight w:val="28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患者转归</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系统提供患者去向记录功能；</w:t>
            </w:r>
          </w:p>
        </w:tc>
      </w:tr>
      <w:tr w:rsidR="00744BAE" w:rsidRPr="00744BAE" w:rsidTr="00A32434">
        <w:trPr>
          <w:trHeight w:val="56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留观时间轴</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以时间为轴实现患者行为跟踪，记录每个时间点的医疗措施与医疗记录，方便对患者诊疗的分析；</w:t>
            </w:r>
          </w:p>
        </w:tc>
      </w:tr>
      <w:tr w:rsidR="00744BAE" w:rsidRPr="00744BAE" w:rsidTr="00A32434">
        <w:trPr>
          <w:trHeight w:val="28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000000" w:fill="FFFFFF"/>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危急值管理</w:t>
            </w:r>
          </w:p>
        </w:tc>
        <w:tc>
          <w:tcPr>
            <w:tcW w:w="3218" w:type="pct"/>
            <w:tcBorders>
              <w:top w:val="nil"/>
              <w:left w:val="nil"/>
              <w:bottom w:val="single" w:sz="4" w:space="0" w:color="auto"/>
              <w:right w:val="single" w:sz="4" w:space="0" w:color="auto"/>
            </w:tcBorders>
            <w:shd w:val="clear" w:color="000000" w:fill="FFFFFF"/>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实现对体征、评分等数据的危急值预警功能。</w:t>
            </w:r>
          </w:p>
        </w:tc>
      </w:tr>
      <w:tr w:rsidR="00744BAE" w:rsidRPr="00744BAE" w:rsidTr="00A32434">
        <w:trPr>
          <w:trHeight w:val="28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病情交接单</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实现留观患者与接收科室的病情电子化交接；</w:t>
            </w:r>
          </w:p>
        </w:tc>
      </w:tr>
      <w:tr w:rsidR="00744BAE" w:rsidRPr="00744BAE" w:rsidTr="00A32434">
        <w:trPr>
          <w:trHeight w:val="56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医护交班</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系统自动生成交班所需统计汇总信息，交接双方书写交班记录并保存。</w:t>
            </w:r>
          </w:p>
        </w:tc>
      </w:tr>
      <w:tr w:rsidR="00744BAE" w:rsidRPr="00744BAE" w:rsidTr="00A32434">
        <w:trPr>
          <w:trHeight w:val="560"/>
        </w:trPr>
        <w:tc>
          <w:tcPr>
            <w:tcW w:w="281"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会诊管理</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实现会诊申请，会诊状态及会诊意见的汇总。能够对接医院现有信息通知平台对接，呼叫医生；</w:t>
            </w:r>
          </w:p>
        </w:tc>
      </w:tr>
      <w:tr w:rsidR="00744BAE" w:rsidRPr="00744BAE" w:rsidTr="00A32434">
        <w:trPr>
          <w:trHeight w:val="540"/>
        </w:trPr>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4</w:t>
            </w:r>
          </w:p>
        </w:tc>
        <w:tc>
          <w:tcPr>
            <w:tcW w:w="9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急诊电子病历</w:t>
            </w: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病历规范</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依据电子病历规范提供结构化电子病历；</w:t>
            </w:r>
          </w:p>
        </w:tc>
      </w:tr>
      <w:tr w:rsidR="00744BAE" w:rsidRPr="00744BAE" w:rsidTr="00A32434">
        <w:trPr>
          <w:trHeight w:val="840"/>
        </w:trPr>
        <w:tc>
          <w:tcPr>
            <w:tcW w:w="281" w:type="pct"/>
            <w:vMerge/>
            <w:tcBorders>
              <w:top w:val="single" w:sz="4" w:space="0" w:color="auto"/>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病历模版</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按照管理需求提供病种、科室、个人提供病历模板；</w:t>
            </w:r>
            <w:r w:rsidRPr="00744BAE">
              <w:rPr>
                <w:rFonts w:ascii="宋体" w:eastAsia="宋体" w:hAnsi="宋体" w:cs="Times New Roman" w:hint="eastAsia"/>
                <w:kern w:val="2"/>
                <w:sz w:val="21"/>
                <w:szCs w:val="21"/>
              </w:rPr>
              <w:br/>
              <w:t>提供病历模板配置工具，允许科室自己维护各种结构化病历模板；</w:t>
            </w:r>
            <w:r w:rsidRPr="00744BAE">
              <w:rPr>
                <w:rFonts w:ascii="宋体" w:eastAsia="宋体" w:hAnsi="宋体" w:cs="Times New Roman" w:hint="eastAsia"/>
                <w:kern w:val="2"/>
                <w:sz w:val="21"/>
                <w:szCs w:val="21"/>
              </w:rPr>
              <w:br/>
              <w:t>支持将现有病历内容保存为病历模板功能；</w:t>
            </w:r>
          </w:p>
        </w:tc>
      </w:tr>
      <w:tr w:rsidR="00744BAE" w:rsidRPr="00744BAE" w:rsidTr="00A32434">
        <w:trPr>
          <w:trHeight w:val="540"/>
        </w:trPr>
        <w:tc>
          <w:tcPr>
            <w:tcW w:w="281" w:type="pct"/>
            <w:vMerge/>
            <w:tcBorders>
              <w:top w:val="single" w:sz="4" w:space="0" w:color="auto"/>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病历书写</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支持医学术语、检验结果、处方内容动态插入病历文书中；</w:t>
            </w:r>
          </w:p>
        </w:tc>
      </w:tr>
      <w:tr w:rsidR="00744BAE" w:rsidRPr="00744BAE" w:rsidTr="00A32434">
        <w:trPr>
          <w:trHeight w:val="540"/>
        </w:trPr>
        <w:tc>
          <w:tcPr>
            <w:tcW w:w="281" w:type="pct"/>
            <w:vMerge/>
            <w:tcBorders>
              <w:top w:val="single" w:sz="4" w:space="0" w:color="auto"/>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会诊记录单</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记录会诊时间，内容，参与人员，会诊摘要与意见；</w:t>
            </w:r>
          </w:p>
        </w:tc>
      </w:tr>
      <w:tr w:rsidR="00744BAE" w:rsidRPr="00744BAE" w:rsidTr="00A32434">
        <w:trPr>
          <w:trHeight w:val="840"/>
        </w:trPr>
        <w:tc>
          <w:tcPr>
            <w:tcW w:w="281" w:type="pct"/>
            <w:vMerge/>
            <w:tcBorders>
              <w:top w:val="single" w:sz="4" w:space="0" w:color="auto"/>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病程记录</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支持上级医生查房，患者留观的病程记录；</w:t>
            </w:r>
            <w:r w:rsidRPr="00744BAE">
              <w:rPr>
                <w:rFonts w:ascii="宋体" w:eastAsia="宋体" w:hAnsi="宋体" w:cs="Times New Roman" w:hint="eastAsia"/>
                <w:kern w:val="2"/>
                <w:sz w:val="21"/>
                <w:szCs w:val="21"/>
              </w:rPr>
              <w:br/>
              <w:t>支持病程记录的续写及续打功能；</w:t>
            </w:r>
            <w:r w:rsidRPr="00744BAE">
              <w:rPr>
                <w:rFonts w:ascii="宋体" w:eastAsia="宋体" w:hAnsi="宋体" w:cs="Times New Roman" w:hint="eastAsia"/>
                <w:kern w:val="2"/>
                <w:sz w:val="21"/>
                <w:szCs w:val="21"/>
              </w:rPr>
              <w:br/>
              <w:t>支持病程记录的合并打印功能；</w:t>
            </w:r>
          </w:p>
        </w:tc>
      </w:tr>
      <w:tr w:rsidR="00744BAE" w:rsidRPr="00744BAE" w:rsidTr="00A32434">
        <w:trPr>
          <w:trHeight w:val="540"/>
        </w:trPr>
        <w:tc>
          <w:tcPr>
            <w:tcW w:w="281" w:type="pct"/>
            <w:vMerge/>
            <w:tcBorders>
              <w:top w:val="single" w:sz="4" w:space="0" w:color="auto"/>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抢救病历</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可按照医院抢救病历格式进行定制；</w:t>
            </w:r>
          </w:p>
        </w:tc>
      </w:tr>
      <w:tr w:rsidR="00744BAE" w:rsidRPr="00744BAE" w:rsidTr="00A32434">
        <w:trPr>
          <w:trHeight w:val="540"/>
        </w:trPr>
        <w:tc>
          <w:tcPr>
            <w:tcW w:w="281" w:type="pct"/>
            <w:vMerge/>
            <w:tcBorders>
              <w:top w:val="single" w:sz="4" w:space="0" w:color="auto"/>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留观病历</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可按照医院留观病历格式进行定制；</w:t>
            </w:r>
          </w:p>
        </w:tc>
      </w:tr>
      <w:tr w:rsidR="00744BAE" w:rsidRPr="00744BAE" w:rsidTr="00A32434">
        <w:trPr>
          <w:trHeight w:val="930"/>
        </w:trPr>
        <w:tc>
          <w:tcPr>
            <w:tcW w:w="281" w:type="pct"/>
            <w:vMerge/>
            <w:tcBorders>
              <w:top w:val="single" w:sz="4" w:space="0" w:color="auto"/>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病历集成</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实现临床数据的“单次输入，全程共享”，能够自动导入和选择导入相结合的方式，实现病历、护理间数据的充分衔接；</w:t>
            </w:r>
            <w:r w:rsidRPr="00744BAE">
              <w:rPr>
                <w:rFonts w:ascii="宋体" w:eastAsia="宋体" w:hAnsi="宋体" w:cs="Times New Roman" w:hint="eastAsia"/>
                <w:kern w:val="2"/>
                <w:sz w:val="21"/>
                <w:szCs w:val="21"/>
              </w:rPr>
              <w:br/>
              <w:t>实现与住院电子病历的集成，实现急诊与住院病历的共享</w:t>
            </w:r>
          </w:p>
        </w:tc>
      </w:tr>
      <w:tr w:rsidR="00744BAE" w:rsidRPr="00744BAE" w:rsidTr="00A32434">
        <w:trPr>
          <w:trHeight w:val="540"/>
        </w:trPr>
        <w:tc>
          <w:tcPr>
            <w:tcW w:w="281" w:type="pct"/>
            <w:vMerge/>
            <w:tcBorders>
              <w:top w:val="single" w:sz="4" w:space="0" w:color="auto"/>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病历质控</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病历支持权限管理，记录病历修改痕迹，对数据合理性判断；</w:t>
            </w:r>
          </w:p>
        </w:tc>
      </w:tr>
      <w:tr w:rsidR="00744BAE" w:rsidRPr="00744BAE" w:rsidTr="00A32434">
        <w:trPr>
          <w:trHeight w:val="540"/>
        </w:trPr>
        <w:tc>
          <w:tcPr>
            <w:tcW w:w="281" w:type="pct"/>
            <w:vMerge/>
            <w:tcBorders>
              <w:top w:val="single" w:sz="4" w:space="0" w:color="auto"/>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知情同意书</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支持各种同意书的电子化；</w:t>
            </w:r>
          </w:p>
        </w:tc>
      </w:tr>
      <w:tr w:rsidR="00744BAE" w:rsidRPr="00744BAE" w:rsidTr="00A32434">
        <w:trPr>
          <w:trHeight w:val="560"/>
        </w:trPr>
        <w:tc>
          <w:tcPr>
            <w:tcW w:w="281" w:type="pct"/>
            <w:vMerge/>
            <w:tcBorders>
              <w:top w:val="single" w:sz="4" w:space="0" w:color="auto"/>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病历存储打印</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所有病历文书均可打印；</w:t>
            </w:r>
          </w:p>
        </w:tc>
      </w:tr>
      <w:tr w:rsidR="00744BAE" w:rsidRPr="00744BAE" w:rsidTr="00A32434">
        <w:trPr>
          <w:trHeight w:val="560"/>
        </w:trPr>
        <w:tc>
          <w:tcPr>
            <w:tcW w:w="281" w:type="pct"/>
            <w:tcBorders>
              <w:top w:val="single" w:sz="4" w:space="0" w:color="auto"/>
              <w:left w:val="single" w:sz="4" w:space="0" w:color="auto"/>
              <w:bottom w:val="single" w:sz="4" w:space="0" w:color="auto"/>
              <w:right w:val="single" w:sz="4" w:space="0" w:color="auto"/>
            </w:tcBorders>
            <w:vAlign w:val="center"/>
          </w:tcPr>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5</w:t>
            </w:r>
          </w:p>
        </w:tc>
        <w:tc>
          <w:tcPr>
            <w:tcW w:w="905" w:type="pct"/>
            <w:tcBorders>
              <w:top w:val="single" w:sz="4" w:space="0" w:color="auto"/>
              <w:left w:val="single" w:sz="4" w:space="0" w:color="auto"/>
              <w:bottom w:val="single" w:sz="4" w:space="0" w:color="auto"/>
              <w:right w:val="single" w:sz="4" w:space="0" w:color="auto"/>
            </w:tcBorders>
            <w:vAlign w:val="center"/>
          </w:tcPr>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color w:val="000000"/>
                <w:kern w:val="2"/>
                <w:sz w:val="21"/>
                <w:szCs w:val="21"/>
              </w:rPr>
              <w:t>移动护理</w:t>
            </w:r>
          </w:p>
        </w:tc>
        <w:tc>
          <w:tcPr>
            <w:tcW w:w="596" w:type="pct"/>
            <w:tcBorders>
              <w:top w:val="nil"/>
              <w:left w:val="nil"/>
              <w:bottom w:val="single" w:sz="4" w:space="0" w:color="auto"/>
              <w:right w:val="single" w:sz="4" w:space="0" w:color="auto"/>
            </w:tcBorders>
            <w:shd w:val="clear" w:color="auto" w:fill="auto"/>
            <w:vAlign w:val="center"/>
          </w:tcPr>
          <w:p w:rsidR="00744BAE" w:rsidRPr="00744BAE" w:rsidRDefault="00744BAE" w:rsidP="00744BAE">
            <w:pPr>
              <w:adjustRightInd/>
              <w:snapToGrid/>
              <w:spacing w:after="0"/>
              <w:jc w:val="center"/>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移动护理</w:t>
            </w:r>
          </w:p>
        </w:tc>
        <w:tc>
          <w:tcPr>
            <w:tcW w:w="3218" w:type="pct"/>
            <w:tcBorders>
              <w:top w:val="nil"/>
              <w:left w:val="nil"/>
              <w:bottom w:val="single" w:sz="4" w:space="0" w:color="auto"/>
              <w:right w:val="single" w:sz="4" w:space="0" w:color="auto"/>
            </w:tcBorders>
            <w:shd w:val="clear" w:color="auto" w:fill="auto"/>
            <w:vAlign w:val="center"/>
          </w:tcPr>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系统实现在移动PDA终端可查看病人基本信息、查看和执行医嘱、条码识别核对病人信息、床旁查看和录入护理措施以及特殊护理记录等功能；</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支持护士输入用户名和密码登录个人账号；</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支持多院区、多区域的配置；</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支持显示在科患者的基本信息；</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支持患者入出床操作，并将操作信息同步到急诊信息系统，确保信息的一致性；</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支持扫描患者识别码，快速准确的识别出患者身份信息；</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支持查看患者信息：姓名，年龄，性别，床号，详情（诊断，分诊时间，入床时间，滞留时间，出床时间，责任医生，责任护士）；</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支持扫描患者识别码和输液标签，进行核对，避免医疗差错；支持扫描瓶贴执行医嘱并记录执行时间；</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支持查看医嘱执行情况，快速查看已执行、未执行、已完成的医嘱，方便护士核对检查；</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支持床旁护理措施录入，提供常用的护理措施模板，护士通过点选的方式可快速录入护理措施，同时支持手动填写，以及编辑修改的功能，护理措施填写后同步至急诊信息系统，保持数据的一致性；</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支持床旁快速记录患者生命体征、观察项目，并计入患者的急诊护理记录单；</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支持床旁记录特殊护理操作，统计特殊护理操作，并将保存的数据同步到急诊信息系统，方便医护人员及时根据患者病情变化采取相应的措施；</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支持进行临床评分和护理评估，系统提供多种评估评分单，包括格拉斯哥昏迷评分、疼痛评分、改良早期评分等；</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支持通过扫描二维码进行患者救治关键时间点快速记录，实现了时间的统一管理，解决了手动填写时间的问题，提高护士的工作效率。</w:t>
            </w:r>
          </w:p>
        </w:tc>
      </w:tr>
      <w:tr w:rsidR="00744BAE" w:rsidRPr="00744BAE" w:rsidTr="00A32434">
        <w:trPr>
          <w:trHeight w:val="2240"/>
        </w:trPr>
        <w:tc>
          <w:tcPr>
            <w:tcW w:w="281" w:type="pct"/>
            <w:vMerge w:val="restar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lastRenderedPageBreak/>
              <w:t>6</w:t>
            </w:r>
          </w:p>
        </w:tc>
        <w:tc>
          <w:tcPr>
            <w:tcW w:w="905" w:type="pct"/>
            <w:vMerge w:val="restar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质控管理</w:t>
            </w: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质控报表</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1）患者分诊登记表</w:t>
            </w:r>
            <w:r w:rsidRPr="00744BAE">
              <w:rPr>
                <w:rFonts w:ascii="宋体" w:eastAsia="宋体" w:hAnsi="宋体" w:cs="Times New Roman" w:hint="eastAsia"/>
                <w:kern w:val="2"/>
                <w:sz w:val="21"/>
                <w:szCs w:val="21"/>
              </w:rPr>
              <w:br/>
              <w:t>2）急诊疾病谱分布</w:t>
            </w:r>
            <w:r w:rsidRPr="00744BAE">
              <w:rPr>
                <w:rFonts w:ascii="宋体" w:eastAsia="宋体" w:hAnsi="宋体" w:cs="Times New Roman" w:hint="eastAsia"/>
                <w:kern w:val="2"/>
                <w:sz w:val="21"/>
                <w:szCs w:val="21"/>
              </w:rPr>
              <w:br/>
              <w:t>3）急诊日报表统计</w:t>
            </w:r>
            <w:r w:rsidRPr="00744BAE">
              <w:rPr>
                <w:rFonts w:ascii="宋体" w:eastAsia="宋体" w:hAnsi="宋体" w:cs="Times New Roman" w:hint="eastAsia"/>
                <w:kern w:val="2"/>
                <w:sz w:val="21"/>
                <w:szCs w:val="21"/>
              </w:rPr>
              <w:br/>
              <w:t>4）急诊患者救治统计（包括离院、死亡、转院等）</w:t>
            </w:r>
            <w:r w:rsidRPr="00744BAE">
              <w:rPr>
                <w:rFonts w:ascii="宋体" w:eastAsia="宋体" w:hAnsi="宋体" w:cs="Times New Roman" w:hint="eastAsia"/>
                <w:kern w:val="2"/>
                <w:sz w:val="21"/>
                <w:szCs w:val="21"/>
              </w:rPr>
              <w:br/>
              <w:t>5）危重患者抢救成功率统计</w:t>
            </w:r>
            <w:r w:rsidRPr="00744BAE">
              <w:rPr>
                <w:rFonts w:ascii="宋体" w:eastAsia="宋体" w:hAnsi="宋体" w:cs="Times New Roman" w:hint="eastAsia"/>
                <w:kern w:val="2"/>
                <w:sz w:val="21"/>
                <w:szCs w:val="21"/>
              </w:rPr>
              <w:br/>
              <w:t>6）病种质控统计</w:t>
            </w:r>
            <w:r w:rsidRPr="00744BAE">
              <w:rPr>
                <w:rFonts w:ascii="宋体" w:eastAsia="宋体" w:hAnsi="宋体" w:cs="Times New Roman" w:hint="eastAsia"/>
                <w:kern w:val="2"/>
                <w:sz w:val="21"/>
                <w:szCs w:val="21"/>
              </w:rPr>
              <w:br/>
              <w:t>7）重点患者主诉统计</w:t>
            </w:r>
            <w:r w:rsidRPr="00744BAE">
              <w:rPr>
                <w:rFonts w:ascii="宋体" w:eastAsia="宋体" w:hAnsi="宋体" w:cs="Times New Roman" w:hint="eastAsia"/>
                <w:kern w:val="2"/>
                <w:sz w:val="21"/>
                <w:szCs w:val="21"/>
              </w:rPr>
              <w:br/>
              <w:t>8）急诊时间质控统计</w:t>
            </w:r>
          </w:p>
        </w:tc>
      </w:tr>
      <w:tr w:rsidR="00744BAE" w:rsidRPr="00744BAE" w:rsidTr="00A32434">
        <w:trPr>
          <w:trHeight w:val="2800"/>
        </w:trPr>
        <w:tc>
          <w:tcPr>
            <w:tcW w:w="281"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2015年10项质控指标</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1）急诊科医患比</w:t>
            </w:r>
            <w:r w:rsidRPr="00744BAE">
              <w:rPr>
                <w:rFonts w:ascii="宋体" w:eastAsia="宋体" w:hAnsi="宋体" w:cs="Times New Roman" w:hint="eastAsia"/>
                <w:kern w:val="2"/>
                <w:sz w:val="21"/>
                <w:szCs w:val="21"/>
              </w:rPr>
              <w:br/>
              <w:t>2）急诊科护患比</w:t>
            </w:r>
            <w:r w:rsidRPr="00744BAE">
              <w:rPr>
                <w:rFonts w:ascii="宋体" w:eastAsia="宋体" w:hAnsi="宋体" w:cs="Times New Roman" w:hint="eastAsia"/>
                <w:kern w:val="2"/>
                <w:sz w:val="21"/>
                <w:szCs w:val="21"/>
              </w:rPr>
              <w:br/>
              <w:t>3）急诊各级患者比例</w:t>
            </w:r>
            <w:r w:rsidRPr="00744BAE">
              <w:rPr>
                <w:rFonts w:ascii="宋体" w:eastAsia="宋体" w:hAnsi="宋体" w:cs="Times New Roman" w:hint="eastAsia"/>
                <w:kern w:val="2"/>
                <w:sz w:val="21"/>
                <w:szCs w:val="21"/>
              </w:rPr>
              <w:br/>
              <w:t>4）抢救室滞留时间中位数</w:t>
            </w:r>
            <w:r w:rsidRPr="00744BAE">
              <w:rPr>
                <w:rFonts w:ascii="宋体" w:eastAsia="宋体" w:hAnsi="宋体" w:cs="Times New Roman" w:hint="eastAsia"/>
                <w:kern w:val="2"/>
                <w:sz w:val="21"/>
                <w:szCs w:val="21"/>
              </w:rPr>
              <w:br/>
              <w:t>5）急性心肌梗死门药时间</w:t>
            </w:r>
            <w:r w:rsidRPr="00744BAE">
              <w:rPr>
                <w:rFonts w:ascii="宋体" w:eastAsia="宋体" w:hAnsi="宋体" w:cs="Times New Roman" w:hint="eastAsia"/>
                <w:kern w:val="2"/>
                <w:sz w:val="21"/>
                <w:szCs w:val="21"/>
              </w:rPr>
              <w:br/>
              <w:t>6）急性心肌梗死门球时间</w:t>
            </w:r>
            <w:r w:rsidRPr="00744BAE">
              <w:rPr>
                <w:rFonts w:ascii="宋体" w:eastAsia="宋体" w:hAnsi="宋体" w:cs="Times New Roman" w:hint="eastAsia"/>
                <w:kern w:val="2"/>
                <w:sz w:val="21"/>
                <w:szCs w:val="21"/>
              </w:rPr>
              <w:br/>
              <w:t>7）急诊抢救室患者死亡率</w:t>
            </w:r>
            <w:r w:rsidRPr="00744BAE">
              <w:rPr>
                <w:rFonts w:ascii="宋体" w:eastAsia="宋体" w:hAnsi="宋体" w:cs="Times New Roman" w:hint="eastAsia"/>
                <w:kern w:val="2"/>
                <w:sz w:val="21"/>
                <w:szCs w:val="21"/>
              </w:rPr>
              <w:br/>
              <w:t>8）急诊手术患者死亡率</w:t>
            </w:r>
            <w:r w:rsidRPr="00744BAE">
              <w:rPr>
                <w:rFonts w:ascii="宋体" w:eastAsia="宋体" w:hAnsi="宋体" w:cs="Times New Roman" w:hint="eastAsia"/>
                <w:kern w:val="2"/>
                <w:sz w:val="21"/>
                <w:szCs w:val="21"/>
              </w:rPr>
              <w:br/>
              <w:t>9）ROSC成功率</w:t>
            </w:r>
            <w:r w:rsidRPr="00744BAE">
              <w:rPr>
                <w:rFonts w:ascii="宋体" w:eastAsia="宋体" w:hAnsi="宋体" w:cs="Times New Roman" w:hint="eastAsia"/>
                <w:kern w:val="2"/>
                <w:sz w:val="21"/>
                <w:szCs w:val="21"/>
              </w:rPr>
              <w:br/>
              <w:t>10）非计划重返抢救室率</w:t>
            </w:r>
          </w:p>
        </w:tc>
      </w:tr>
      <w:tr w:rsidR="00744BAE" w:rsidRPr="00744BAE" w:rsidTr="00A32434">
        <w:trPr>
          <w:trHeight w:val="1143"/>
        </w:trPr>
        <w:tc>
          <w:tcPr>
            <w:tcW w:w="281" w:type="pct"/>
            <w:vMerge/>
            <w:tcBorders>
              <w:top w:val="nil"/>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nil"/>
              <w:left w:val="single" w:sz="4" w:space="0" w:color="auto"/>
              <w:bottom w:val="nil"/>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val="restart"/>
            <w:tcBorders>
              <w:top w:val="nil"/>
              <w:left w:val="nil"/>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科室常用统计报表</w:t>
            </w:r>
          </w:p>
        </w:tc>
        <w:tc>
          <w:tcPr>
            <w:tcW w:w="3218" w:type="pct"/>
            <w:vMerge w:val="restart"/>
            <w:tcBorders>
              <w:top w:val="nil"/>
              <w:left w:val="nil"/>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支持科室系统以外科室常用统计报表的开发。</w:t>
            </w:r>
          </w:p>
        </w:tc>
      </w:tr>
      <w:tr w:rsidR="00744BAE" w:rsidRPr="00744BAE" w:rsidTr="00A32434">
        <w:trPr>
          <w:trHeight w:val="60"/>
        </w:trPr>
        <w:tc>
          <w:tcPr>
            <w:tcW w:w="281" w:type="pct"/>
            <w:tcBorders>
              <w:top w:val="nil"/>
              <w:left w:val="single" w:sz="4" w:space="0" w:color="auto"/>
              <w:bottom w:val="single" w:sz="4" w:space="0" w:color="auto"/>
              <w:right w:val="single" w:sz="4" w:space="0" w:color="auto"/>
            </w:tcBorders>
            <w:vAlign w:val="center"/>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tcBorders>
              <w:top w:val="nil"/>
              <w:left w:val="single" w:sz="4" w:space="0" w:color="auto"/>
              <w:bottom w:val="single" w:sz="4" w:space="0" w:color="auto"/>
              <w:right w:val="single" w:sz="4" w:space="0" w:color="auto"/>
            </w:tcBorders>
            <w:vAlign w:val="center"/>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left w:val="nil"/>
              <w:bottom w:val="single" w:sz="4" w:space="0" w:color="auto"/>
              <w:right w:val="single" w:sz="4" w:space="0" w:color="auto"/>
            </w:tcBorders>
            <w:shd w:val="clear" w:color="auto" w:fill="auto"/>
            <w:vAlign w:val="center"/>
          </w:tcPr>
          <w:p w:rsidR="00744BAE" w:rsidRPr="00744BAE" w:rsidRDefault="00744BAE" w:rsidP="00744BAE">
            <w:pPr>
              <w:adjustRightInd/>
              <w:snapToGrid/>
              <w:spacing w:after="0"/>
              <w:jc w:val="center"/>
              <w:rPr>
                <w:rFonts w:ascii="宋体" w:eastAsia="宋体" w:hAnsi="宋体" w:cs="Times New Roman"/>
                <w:color w:val="FF0000"/>
                <w:kern w:val="2"/>
                <w:sz w:val="21"/>
                <w:szCs w:val="21"/>
              </w:rPr>
            </w:pPr>
          </w:p>
        </w:tc>
        <w:tc>
          <w:tcPr>
            <w:tcW w:w="3218" w:type="pct"/>
            <w:vMerge/>
            <w:tcBorders>
              <w:left w:val="nil"/>
              <w:bottom w:val="single" w:sz="4" w:space="0" w:color="auto"/>
              <w:right w:val="single" w:sz="4" w:space="0" w:color="auto"/>
            </w:tcBorders>
            <w:shd w:val="clear" w:color="auto" w:fill="auto"/>
            <w:vAlign w:val="center"/>
          </w:tcPr>
          <w:p w:rsidR="00744BAE" w:rsidRPr="00744BAE" w:rsidRDefault="00744BAE" w:rsidP="00744BAE">
            <w:pPr>
              <w:adjustRightInd/>
              <w:snapToGrid/>
              <w:spacing w:after="0"/>
              <w:rPr>
                <w:rFonts w:ascii="宋体" w:eastAsia="宋体" w:hAnsi="宋体" w:cs="Times New Roman"/>
                <w:color w:val="FF0000"/>
                <w:kern w:val="2"/>
                <w:sz w:val="21"/>
                <w:szCs w:val="21"/>
              </w:rPr>
            </w:pPr>
          </w:p>
        </w:tc>
      </w:tr>
      <w:tr w:rsidR="00744BAE" w:rsidRPr="00744BAE" w:rsidTr="00A32434">
        <w:trPr>
          <w:trHeight w:val="1143"/>
        </w:trPr>
        <w:tc>
          <w:tcPr>
            <w:tcW w:w="281" w:type="pct"/>
            <w:tcBorders>
              <w:top w:val="nil"/>
              <w:left w:val="single" w:sz="4" w:space="0" w:color="auto"/>
              <w:bottom w:val="single" w:sz="4" w:space="0" w:color="auto"/>
              <w:right w:val="single" w:sz="4" w:space="0" w:color="auto"/>
            </w:tcBorders>
            <w:vAlign w:val="center"/>
          </w:tcPr>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7</w:t>
            </w:r>
          </w:p>
        </w:tc>
        <w:tc>
          <w:tcPr>
            <w:tcW w:w="905" w:type="pct"/>
            <w:tcBorders>
              <w:top w:val="nil"/>
              <w:left w:val="single" w:sz="4" w:space="0" w:color="auto"/>
              <w:bottom w:val="single" w:sz="4" w:space="0" w:color="auto"/>
              <w:right w:val="single" w:sz="4" w:space="0" w:color="auto"/>
            </w:tcBorders>
            <w:vAlign w:val="center"/>
          </w:tcPr>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急诊决策支持看板</w:t>
            </w:r>
          </w:p>
        </w:tc>
        <w:tc>
          <w:tcPr>
            <w:tcW w:w="596" w:type="pct"/>
            <w:tcBorders>
              <w:top w:val="single" w:sz="4" w:space="0" w:color="auto"/>
              <w:left w:val="nil"/>
              <w:bottom w:val="single" w:sz="4" w:space="0" w:color="auto"/>
              <w:right w:val="single" w:sz="4" w:space="0" w:color="auto"/>
            </w:tcBorders>
            <w:shd w:val="clear" w:color="auto" w:fill="auto"/>
            <w:vAlign w:val="center"/>
          </w:tcPr>
          <w:p w:rsidR="00744BAE" w:rsidRPr="00744BAE" w:rsidRDefault="00744BAE" w:rsidP="00744BAE">
            <w:pPr>
              <w:adjustRightInd/>
              <w:snapToGrid/>
              <w:spacing w:after="0"/>
              <w:jc w:val="center"/>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急诊决策支持看板</w:t>
            </w:r>
          </w:p>
        </w:tc>
        <w:tc>
          <w:tcPr>
            <w:tcW w:w="3218" w:type="pct"/>
            <w:tcBorders>
              <w:top w:val="single" w:sz="4" w:space="0" w:color="auto"/>
              <w:left w:val="nil"/>
              <w:bottom w:val="single" w:sz="4" w:space="0" w:color="auto"/>
              <w:right w:val="single" w:sz="4" w:space="0" w:color="auto"/>
            </w:tcBorders>
            <w:shd w:val="clear" w:color="auto" w:fill="auto"/>
            <w:vAlign w:val="center"/>
          </w:tcPr>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支持在同一界面显示以下信息：</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急诊科就诊人次数；</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各级患者占比统计；</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急诊死亡病例统计；</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患者24小时就诊时间分布；</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年急诊患者365天就诊时间分布；</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支持急诊质控数据连接原数据，可以进行查看与追溯。</w:t>
            </w:r>
          </w:p>
        </w:tc>
      </w:tr>
      <w:tr w:rsidR="00744BAE" w:rsidRPr="00744BAE" w:rsidTr="00A32434">
        <w:trPr>
          <w:trHeight w:val="1143"/>
        </w:trPr>
        <w:tc>
          <w:tcPr>
            <w:tcW w:w="281" w:type="pct"/>
            <w:vMerge w:val="restart"/>
            <w:tcBorders>
              <w:top w:val="single" w:sz="4" w:space="0" w:color="auto"/>
              <w:left w:val="single" w:sz="4" w:space="0" w:color="auto"/>
              <w:right w:val="single" w:sz="4" w:space="0" w:color="auto"/>
            </w:tcBorders>
            <w:vAlign w:val="center"/>
          </w:tcPr>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8</w:t>
            </w:r>
          </w:p>
        </w:tc>
        <w:tc>
          <w:tcPr>
            <w:tcW w:w="905" w:type="pct"/>
            <w:vMerge w:val="restart"/>
            <w:tcBorders>
              <w:top w:val="single" w:sz="4" w:space="0" w:color="auto"/>
              <w:left w:val="single" w:sz="4" w:space="0" w:color="auto"/>
              <w:right w:val="single" w:sz="4" w:space="0" w:color="auto"/>
            </w:tcBorders>
            <w:vAlign w:val="center"/>
          </w:tcPr>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color w:val="000000"/>
                <w:kern w:val="2"/>
                <w:sz w:val="21"/>
                <w:szCs w:val="21"/>
              </w:rPr>
              <w:t>急诊管理</w:t>
            </w:r>
            <w:r w:rsidRPr="00744BAE">
              <w:rPr>
                <w:rFonts w:ascii="宋体" w:eastAsia="宋体" w:hAnsi="宋体" w:cs="Times New Roman" w:hint="eastAsia"/>
                <w:color w:val="000000"/>
                <w:kern w:val="2"/>
                <w:sz w:val="21"/>
                <w:szCs w:val="21"/>
              </w:rPr>
              <w:t>APP</w:t>
            </w:r>
          </w:p>
        </w:tc>
        <w:tc>
          <w:tcPr>
            <w:tcW w:w="596" w:type="pct"/>
            <w:tcBorders>
              <w:top w:val="single" w:sz="4" w:space="0" w:color="auto"/>
              <w:left w:val="nil"/>
              <w:bottom w:val="single" w:sz="4" w:space="0" w:color="auto"/>
              <w:right w:val="single" w:sz="4" w:space="0" w:color="auto"/>
            </w:tcBorders>
            <w:shd w:val="clear" w:color="auto" w:fill="auto"/>
            <w:vAlign w:val="center"/>
          </w:tcPr>
          <w:p w:rsidR="00744BAE" w:rsidRPr="00744BAE" w:rsidRDefault="00744BAE" w:rsidP="00744BAE">
            <w:pPr>
              <w:adjustRightInd/>
              <w:snapToGrid/>
              <w:spacing w:after="0"/>
              <w:jc w:val="center"/>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首页</w:t>
            </w:r>
          </w:p>
        </w:tc>
        <w:tc>
          <w:tcPr>
            <w:tcW w:w="3218" w:type="pct"/>
            <w:tcBorders>
              <w:top w:val="single" w:sz="4" w:space="0" w:color="auto"/>
              <w:left w:val="nil"/>
              <w:bottom w:val="single" w:sz="4" w:space="0" w:color="auto"/>
              <w:right w:val="single" w:sz="4" w:space="0" w:color="auto"/>
            </w:tcBorders>
            <w:shd w:val="clear" w:color="auto" w:fill="auto"/>
            <w:vAlign w:val="center"/>
          </w:tcPr>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急诊云管理是供给科室主任及医护人员在移动终端上使用的业务管理系统。</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首页支持实时查看科室数据概况，包括：</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今日科室患者情况；</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床位使用情况；</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今日分诊级别占比统计；</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急诊各区域人数统计。</w:t>
            </w:r>
          </w:p>
        </w:tc>
      </w:tr>
      <w:tr w:rsidR="00744BAE" w:rsidRPr="00744BAE" w:rsidTr="00A32434">
        <w:trPr>
          <w:trHeight w:val="1143"/>
        </w:trPr>
        <w:tc>
          <w:tcPr>
            <w:tcW w:w="281" w:type="pct"/>
            <w:vMerge/>
            <w:tcBorders>
              <w:left w:val="single" w:sz="4" w:space="0" w:color="auto"/>
              <w:right w:val="single" w:sz="4" w:space="0" w:color="auto"/>
            </w:tcBorders>
            <w:vAlign w:val="center"/>
          </w:tcPr>
          <w:p w:rsidR="00744BAE" w:rsidRPr="00744BAE" w:rsidRDefault="00744BAE" w:rsidP="00744BAE">
            <w:pPr>
              <w:adjustRightInd/>
              <w:snapToGrid/>
              <w:spacing w:after="0"/>
              <w:rPr>
                <w:rFonts w:ascii="宋体" w:eastAsia="宋体" w:hAnsi="宋体" w:cs="Times New Roman"/>
                <w:color w:val="000000"/>
                <w:kern w:val="2"/>
                <w:sz w:val="21"/>
                <w:szCs w:val="21"/>
              </w:rPr>
            </w:pPr>
          </w:p>
        </w:tc>
        <w:tc>
          <w:tcPr>
            <w:tcW w:w="905" w:type="pct"/>
            <w:vMerge/>
            <w:tcBorders>
              <w:left w:val="single" w:sz="4" w:space="0" w:color="auto"/>
              <w:right w:val="single" w:sz="4" w:space="0" w:color="auto"/>
            </w:tcBorders>
            <w:vAlign w:val="center"/>
          </w:tcPr>
          <w:p w:rsidR="00744BAE" w:rsidRPr="00744BAE" w:rsidRDefault="00744BAE" w:rsidP="00744BAE">
            <w:pPr>
              <w:adjustRightInd/>
              <w:snapToGrid/>
              <w:spacing w:after="0"/>
              <w:rPr>
                <w:rFonts w:ascii="宋体" w:eastAsia="宋体" w:hAnsi="宋体" w:cs="Times New Roman"/>
                <w:color w:val="000000"/>
                <w:kern w:val="2"/>
                <w:sz w:val="21"/>
                <w:szCs w:val="21"/>
              </w:rPr>
            </w:pPr>
          </w:p>
        </w:tc>
        <w:tc>
          <w:tcPr>
            <w:tcW w:w="596" w:type="pct"/>
            <w:tcBorders>
              <w:top w:val="single" w:sz="4" w:space="0" w:color="auto"/>
              <w:left w:val="nil"/>
              <w:bottom w:val="single" w:sz="4" w:space="0" w:color="auto"/>
              <w:right w:val="single" w:sz="4" w:space="0" w:color="auto"/>
            </w:tcBorders>
            <w:shd w:val="clear" w:color="auto" w:fill="auto"/>
            <w:vAlign w:val="center"/>
          </w:tcPr>
          <w:p w:rsidR="00744BAE" w:rsidRPr="00744BAE" w:rsidRDefault="00744BAE" w:rsidP="00744BAE">
            <w:pPr>
              <w:adjustRightInd/>
              <w:snapToGrid/>
              <w:spacing w:after="0"/>
              <w:jc w:val="center"/>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患者管理</w:t>
            </w:r>
          </w:p>
        </w:tc>
        <w:tc>
          <w:tcPr>
            <w:tcW w:w="3218" w:type="pct"/>
            <w:tcBorders>
              <w:top w:val="single" w:sz="4" w:space="0" w:color="auto"/>
              <w:left w:val="nil"/>
              <w:bottom w:val="single" w:sz="4" w:space="0" w:color="auto"/>
              <w:right w:val="single" w:sz="4" w:space="0" w:color="auto"/>
            </w:tcBorders>
            <w:shd w:val="clear" w:color="auto" w:fill="auto"/>
            <w:vAlign w:val="center"/>
          </w:tcPr>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系统支持列表形式查看急诊抢救区和留观区在床患者；</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支持查看患者基本信息和诊断信息；</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支持查看患者体征数据；</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支持患者检查检验数据以及对应的报告数据；</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支持查看患者医嘱信息以及医嘱的执行情况；</w:t>
            </w:r>
          </w:p>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支持查看患者急诊电子病历。</w:t>
            </w:r>
          </w:p>
        </w:tc>
      </w:tr>
      <w:tr w:rsidR="00744BAE" w:rsidRPr="00744BAE" w:rsidTr="0037361C">
        <w:trPr>
          <w:trHeight w:val="784"/>
        </w:trPr>
        <w:tc>
          <w:tcPr>
            <w:tcW w:w="281" w:type="pct"/>
            <w:vMerge/>
            <w:tcBorders>
              <w:left w:val="single" w:sz="4" w:space="0" w:color="auto"/>
              <w:bottom w:val="single" w:sz="4" w:space="0" w:color="auto"/>
              <w:right w:val="single" w:sz="4" w:space="0" w:color="auto"/>
            </w:tcBorders>
            <w:vAlign w:val="center"/>
          </w:tcPr>
          <w:p w:rsidR="00744BAE" w:rsidRPr="00744BAE" w:rsidRDefault="00744BAE" w:rsidP="00744BAE">
            <w:pPr>
              <w:adjustRightInd/>
              <w:snapToGrid/>
              <w:spacing w:after="0"/>
              <w:rPr>
                <w:rFonts w:ascii="宋体" w:eastAsia="宋体" w:hAnsi="宋体" w:cs="Times New Roman"/>
                <w:color w:val="000000"/>
                <w:kern w:val="2"/>
                <w:sz w:val="21"/>
                <w:szCs w:val="21"/>
              </w:rPr>
            </w:pPr>
          </w:p>
        </w:tc>
        <w:tc>
          <w:tcPr>
            <w:tcW w:w="905" w:type="pct"/>
            <w:vMerge/>
            <w:tcBorders>
              <w:left w:val="single" w:sz="4" w:space="0" w:color="auto"/>
              <w:bottom w:val="single" w:sz="4" w:space="0" w:color="auto"/>
              <w:right w:val="single" w:sz="4" w:space="0" w:color="auto"/>
            </w:tcBorders>
            <w:vAlign w:val="center"/>
          </w:tcPr>
          <w:p w:rsidR="00744BAE" w:rsidRPr="00744BAE" w:rsidRDefault="00744BAE" w:rsidP="00744BAE">
            <w:pPr>
              <w:adjustRightInd/>
              <w:snapToGrid/>
              <w:spacing w:after="0"/>
              <w:rPr>
                <w:rFonts w:ascii="宋体" w:eastAsia="宋体" w:hAnsi="宋体" w:cs="Times New Roman"/>
                <w:color w:val="000000"/>
                <w:kern w:val="2"/>
                <w:sz w:val="21"/>
                <w:szCs w:val="21"/>
              </w:rPr>
            </w:pPr>
          </w:p>
        </w:tc>
        <w:tc>
          <w:tcPr>
            <w:tcW w:w="596" w:type="pct"/>
            <w:tcBorders>
              <w:top w:val="single" w:sz="4" w:space="0" w:color="auto"/>
              <w:left w:val="nil"/>
              <w:bottom w:val="single" w:sz="4" w:space="0" w:color="auto"/>
              <w:right w:val="single" w:sz="4" w:space="0" w:color="auto"/>
            </w:tcBorders>
            <w:shd w:val="clear" w:color="auto" w:fill="auto"/>
            <w:vAlign w:val="center"/>
          </w:tcPr>
          <w:p w:rsidR="00744BAE" w:rsidRPr="00744BAE" w:rsidRDefault="00744BAE" w:rsidP="00744BAE">
            <w:pPr>
              <w:adjustRightInd/>
              <w:snapToGrid/>
              <w:spacing w:after="0"/>
              <w:jc w:val="center"/>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质控</w:t>
            </w:r>
          </w:p>
        </w:tc>
        <w:tc>
          <w:tcPr>
            <w:tcW w:w="3218" w:type="pct"/>
            <w:tcBorders>
              <w:top w:val="single" w:sz="4" w:space="0" w:color="auto"/>
              <w:left w:val="nil"/>
              <w:bottom w:val="single" w:sz="4" w:space="0" w:color="auto"/>
              <w:right w:val="single" w:sz="4" w:space="0" w:color="auto"/>
            </w:tcBorders>
            <w:shd w:val="clear" w:color="auto" w:fill="auto"/>
            <w:vAlign w:val="center"/>
          </w:tcPr>
          <w:p w:rsidR="00744BAE" w:rsidRPr="00744BAE" w:rsidRDefault="00744BAE" w:rsidP="00744BAE">
            <w:pPr>
              <w:adjustRightInd/>
              <w:snapToGrid/>
              <w:spacing w:after="0"/>
              <w:rPr>
                <w:rFonts w:ascii="宋体" w:eastAsia="宋体" w:hAnsi="宋体" w:cs="Times New Roman"/>
                <w:color w:val="000000"/>
                <w:kern w:val="2"/>
                <w:sz w:val="21"/>
                <w:szCs w:val="21"/>
              </w:rPr>
            </w:pPr>
            <w:r w:rsidRPr="00744BAE">
              <w:rPr>
                <w:rFonts w:ascii="宋体" w:eastAsia="宋体" w:hAnsi="宋体" w:cs="Times New Roman" w:hint="eastAsia"/>
                <w:color w:val="000000"/>
                <w:kern w:val="2"/>
                <w:sz w:val="21"/>
                <w:szCs w:val="21"/>
              </w:rPr>
              <w:t>系统支持在云管理系统查看急诊科十项质控等相关质控报表。</w:t>
            </w:r>
          </w:p>
        </w:tc>
      </w:tr>
    </w:tbl>
    <w:p w:rsidR="00921598" w:rsidRDefault="00921598" w:rsidP="00744BAE">
      <w:pPr>
        <w:widowControl w:val="0"/>
        <w:pBdr>
          <w:top w:val="single" w:sz="4" w:space="1" w:color="auto"/>
          <w:left w:val="single" w:sz="4" w:space="4" w:color="auto"/>
          <w:bottom w:val="single" w:sz="4" w:space="1" w:color="auto"/>
          <w:right w:val="single" w:sz="4" w:space="3" w:color="auto"/>
          <w:between w:val="single" w:sz="4" w:space="1" w:color="auto"/>
          <w:bar w:val="single" w:sz="4" w:color="auto"/>
        </w:pBdr>
        <w:adjustRightInd/>
        <w:snapToGrid/>
        <w:spacing w:after="0" w:line="360" w:lineRule="auto"/>
        <w:jc w:val="center"/>
        <w:rPr>
          <w:rFonts w:ascii="等线" w:eastAsia="等线" w:hAnsi="等线" w:cs="Times New Roman"/>
          <w:kern w:val="2"/>
          <w:sz w:val="21"/>
          <w:szCs w:val="21"/>
        </w:rPr>
      </w:pPr>
    </w:p>
    <w:p w:rsidR="00744BAE" w:rsidRPr="00744BAE" w:rsidRDefault="00744BAE" w:rsidP="00744BAE">
      <w:pPr>
        <w:widowControl w:val="0"/>
        <w:pBdr>
          <w:top w:val="single" w:sz="4" w:space="1" w:color="auto"/>
          <w:left w:val="single" w:sz="4" w:space="4" w:color="auto"/>
          <w:bottom w:val="single" w:sz="4" w:space="1" w:color="auto"/>
          <w:right w:val="single" w:sz="4" w:space="3" w:color="auto"/>
          <w:between w:val="single" w:sz="4" w:space="1" w:color="auto"/>
          <w:bar w:val="single" w:sz="4" w:color="auto"/>
        </w:pBdr>
        <w:adjustRightInd/>
        <w:snapToGrid/>
        <w:spacing w:after="0" w:line="360" w:lineRule="auto"/>
        <w:jc w:val="center"/>
        <w:rPr>
          <w:rFonts w:ascii="等线" w:eastAsia="等线" w:hAnsi="等线" w:cs="Times New Roman"/>
          <w:kern w:val="2"/>
          <w:sz w:val="21"/>
          <w:szCs w:val="21"/>
        </w:rPr>
      </w:pPr>
      <w:r w:rsidRPr="00744BAE">
        <w:rPr>
          <w:rFonts w:ascii="等线" w:eastAsia="等线" w:hAnsi="等线" w:cs="Times New Roman" w:hint="eastAsia"/>
          <w:kern w:val="2"/>
          <w:sz w:val="21"/>
          <w:szCs w:val="21"/>
        </w:rPr>
        <w:lastRenderedPageBreak/>
        <w:t>胸痛中心信息系统</w:t>
      </w:r>
    </w:p>
    <w:tbl>
      <w:tblPr>
        <w:tblW w:w="5000" w:type="pct"/>
        <w:tblLook w:val="04A0"/>
      </w:tblPr>
      <w:tblGrid>
        <w:gridCol w:w="522"/>
        <w:gridCol w:w="1681"/>
        <w:gridCol w:w="1107"/>
        <w:gridCol w:w="5976"/>
      </w:tblGrid>
      <w:tr w:rsidR="00744BAE" w:rsidRPr="00744BAE" w:rsidTr="00A32434">
        <w:trPr>
          <w:trHeight w:val="840"/>
        </w:trPr>
        <w:tc>
          <w:tcPr>
            <w:tcW w:w="281"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1</w:t>
            </w:r>
          </w:p>
        </w:tc>
        <w:tc>
          <w:tcPr>
            <w:tcW w:w="905"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胸痛工作站</w:t>
            </w:r>
          </w:p>
        </w:tc>
        <w:tc>
          <w:tcPr>
            <w:tcW w:w="59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急诊胸痛工作站</w:t>
            </w:r>
          </w:p>
        </w:tc>
        <w:tc>
          <w:tcPr>
            <w:tcW w:w="3218" w:type="pct"/>
            <w:tcBorders>
              <w:top w:val="nil"/>
              <w:left w:val="nil"/>
              <w:bottom w:val="single" w:sz="4" w:space="0" w:color="auto"/>
              <w:right w:val="single" w:sz="4" w:space="0" w:color="auto"/>
            </w:tcBorders>
            <w:shd w:val="clear" w:color="000000" w:fill="FFFFFF"/>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急诊信息对接需要在急诊系统信息建设完成并且对外提供接口基础上才能开展及建设，同时本系统支持与急诊信息系统进行数据对接和共享</w:t>
            </w:r>
          </w:p>
        </w:tc>
      </w:tr>
      <w:tr w:rsidR="00744BAE" w:rsidRPr="00744BAE" w:rsidTr="00A32434">
        <w:trPr>
          <w:trHeight w:val="56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000000" w:fill="FFFFFF"/>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患者基础信息录入功能：姓名、身份证、登记时间、发病地址等内容</w:t>
            </w:r>
          </w:p>
        </w:tc>
      </w:tr>
      <w:tr w:rsidR="00744BAE" w:rsidRPr="00744BAE" w:rsidTr="00A32434">
        <w:trPr>
          <w:trHeight w:val="56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000000" w:fill="FFFFFF"/>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患者胸痛信息录入功能：发病时间、就诊时间、病情评估、用药信息等内容</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导管室胸痛工作站</w:t>
            </w:r>
          </w:p>
        </w:tc>
        <w:tc>
          <w:tcPr>
            <w:tcW w:w="3218" w:type="pct"/>
            <w:tcBorders>
              <w:top w:val="nil"/>
              <w:left w:val="nil"/>
              <w:bottom w:val="single" w:sz="4" w:space="0" w:color="auto"/>
              <w:right w:val="single" w:sz="4" w:space="0" w:color="auto"/>
            </w:tcBorders>
            <w:shd w:val="clear" w:color="000000" w:fill="FFFFFF"/>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提供胸痛数据搜索、修改功能</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000000" w:fill="FFFFFF"/>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患者基础信息内容对接：患者姓名、身份证、住院号等</w:t>
            </w:r>
          </w:p>
        </w:tc>
      </w:tr>
      <w:tr w:rsidR="00744BAE" w:rsidRPr="00744BAE" w:rsidTr="00A32434">
        <w:trPr>
          <w:trHeight w:val="56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000000" w:fill="FFFFFF"/>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胸痛信息录入功能：启动导管室、激活导管室、到达导管室、穿刺及穿刺成功时间、造影开始、结束时间球囊扩张、手术结束等。</w:t>
            </w:r>
          </w:p>
        </w:tc>
      </w:tr>
      <w:tr w:rsidR="00744BAE" w:rsidRPr="00744BAE" w:rsidTr="00A32434">
        <w:trPr>
          <w:trHeight w:val="560"/>
        </w:trPr>
        <w:tc>
          <w:tcPr>
            <w:tcW w:w="28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2</w:t>
            </w:r>
          </w:p>
        </w:tc>
        <w:tc>
          <w:tcPr>
            <w:tcW w:w="90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患者数据管理</w:t>
            </w:r>
          </w:p>
        </w:tc>
        <w:tc>
          <w:tcPr>
            <w:tcW w:w="5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患者列表</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提供数据新增，删除，修改，查询及高级查询功能，修改删除的权限设置，高级查询的可自定义设置。</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提供胸痛电子病历新增、查看调阅功能</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提供时间轴查看、初始化功能</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提供胸痛病历当前阶段、审核状态、信息完整度显示</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提供胸痛病历已归档查询功能</w:t>
            </w:r>
          </w:p>
        </w:tc>
      </w:tr>
      <w:tr w:rsidR="00744BAE" w:rsidRPr="00744BAE" w:rsidTr="00A32434">
        <w:trPr>
          <w:trHeight w:val="112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院前诊断</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如院前急救信息建设完成：系统支持院前心电图、院前电子病历调阅、救治措施等信息采集；  如院前急救信息未规划建设：系统支持院前患者基础信息录入、救治时间节点、实时心电图远程传输等。</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支持录入胸痛患者不同来院方式、120车辆信息等</w:t>
            </w:r>
          </w:p>
        </w:tc>
      </w:tr>
      <w:tr w:rsidR="00744BAE" w:rsidRPr="00744BAE" w:rsidTr="00A32434">
        <w:trPr>
          <w:trHeight w:val="56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支持生命体征数据信息填写（生命体征：意识、呼吸、脉搏、体温、心率、血压）。</w:t>
            </w:r>
          </w:p>
        </w:tc>
      </w:tr>
      <w:tr w:rsidR="00744BAE" w:rsidRPr="00744BAE" w:rsidTr="00A32434">
        <w:trPr>
          <w:trHeight w:val="84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支持查看辅助检查结果：</w:t>
            </w:r>
            <w:proofErr w:type="spellStart"/>
            <w:r w:rsidRPr="00744BAE">
              <w:rPr>
                <w:rFonts w:ascii="宋体" w:eastAsia="宋体" w:hAnsi="宋体" w:cs="Times New Roman" w:hint="eastAsia"/>
                <w:kern w:val="2"/>
                <w:sz w:val="21"/>
                <w:szCs w:val="21"/>
              </w:rPr>
              <w:t>killip</w:t>
            </w:r>
            <w:proofErr w:type="spellEnd"/>
            <w:r w:rsidRPr="00744BAE">
              <w:rPr>
                <w:rFonts w:ascii="宋体" w:eastAsia="宋体" w:hAnsi="宋体" w:cs="Times New Roman" w:hint="eastAsia"/>
                <w:kern w:val="2"/>
                <w:sz w:val="21"/>
                <w:szCs w:val="21"/>
              </w:rPr>
              <w:t>、肌钙蛋白抽血时间、肌钙蛋白报告时间、</w:t>
            </w:r>
            <w:proofErr w:type="spellStart"/>
            <w:r w:rsidRPr="00744BAE">
              <w:rPr>
                <w:rFonts w:ascii="宋体" w:eastAsia="宋体" w:hAnsi="宋体" w:cs="Times New Roman" w:hint="eastAsia"/>
                <w:kern w:val="2"/>
                <w:sz w:val="21"/>
                <w:szCs w:val="21"/>
              </w:rPr>
              <w:t>cTnI</w:t>
            </w:r>
            <w:proofErr w:type="spellEnd"/>
            <w:r w:rsidRPr="00744BAE">
              <w:rPr>
                <w:rFonts w:ascii="宋体" w:eastAsia="宋体" w:hAnsi="宋体" w:cs="Times New Roman" w:hint="eastAsia"/>
                <w:kern w:val="2"/>
                <w:sz w:val="21"/>
                <w:szCs w:val="21"/>
              </w:rPr>
              <w:t>数值和检验结果、</w:t>
            </w:r>
            <w:proofErr w:type="spellStart"/>
            <w:r w:rsidRPr="00744BAE">
              <w:rPr>
                <w:rFonts w:ascii="宋体" w:eastAsia="宋体" w:hAnsi="宋体" w:cs="Times New Roman" w:hint="eastAsia"/>
                <w:kern w:val="2"/>
                <w:sz w:val="21"/>
                <w:szCs w:val="21"/>
              </w:rPr>
              <w:t>cTnT</w:t>
            </w:r>
            <w:proofErr w:type="spellEnd"/>
            <w:r w:rsidRPr="00744BAE">
              <w:rPr>
                <w:rFonts w:ascii="宋体" w:eastAsia="宋体" w:hAnsi="宋体" w:cs="Times New Roman" w:hint="eastAsia"/>
                <w:kern w:val="2"/>
                <w:sz w:val="21"/>
                <w:szCs w:val="21"/>
              </w:rPr>
              <w:t>数值和检验结果、血清肌酐（Cr）数值、CKMB数值、</w:t>
            </w:r>
            <w:proofErr w:type="spellStart"/>
            <w:r w:rsidRPr="00744BAE">
              <w:rPr>
                <w:rFonts w:ascii="宋体" w:eastAsia="宋体" w:hAnsi="宋体" w:cs="Times New Roman" w:hint="eastAsia"/>
                <w:kern w:val="2"/>
                <w:sz w:val="21"/>
                <w:szCs w:val="21"/>
              </w:rPr>
              <w:t>Myo</w:t>
            </w:r>
            <w:proofErr w:type="spellEnd"/>
            <w:r w:rsidRPr="00744BAE">
              <w:rPr>
                <w:rFonts w:ascii="宋体" w:eastAsia="宋体" w:hAnsi="宋体" w:cs="Times New Roman" w:hint="eastAsia"/>
                <w:kern w:val="2"/>
                <w:sz w:val="21"/>
                <w:szCs w:val="21"/>
              </w:rPr>
              <w:t>数值/CT、彩超、并发症情况）。</w:t>
            </w:r>
          </w:p>
        </w:tc>
      </w:tr>
      <w:tr w:rsidR="00744BAE" w:rsidRPr="00744BAE" w:rsidTr="00A32434">
        <w:trPr>
          <w:trHeight w:val="56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支持ACS患者给药信息、药物名称、剂量浓度、给药时间等关键节点的录入</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院内诊断</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支持查看院内心电图，电子病历调阅，胸痛救治时间节点记录；</w:t>
            </w:r>
          </w:p>
        </w:tc>
      </w:tr>
      <w:tr w:rsidR="00744BAE" w:rsidRPr="00744BAE" w:rsidTr="00A32434">
        <w:trPr>
          <w:trHeight w:val="56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301A46">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支持患者多项初步诊断：STEMI、NSTEMI、UA、主动脉夹层、肺动脉栓塞、 非ACS胸痛、非心源性胸痛、放弃诊疗、病因未明等</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支持患者去向跟踪：抢救室、诊间、其他信息录入</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胸痛诊疗</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支持原始病历拍照上传、患者病情描述等功能</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提供胸痛治疗关键时间采集，治疗信息等。</w:t>
            </w:r>
          </w:p>
        </w:tc>
      </w:tr>
      <w:tr w:rsidR="00744BAE" w:rsidRPr="00744BAE" w:rsidTr="00A32434">
        <w:trPr>
          <w:trHeight w:val="140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STEMI包括：初步诊断、初步诊断时间、心内首诊时间、医生、首次抗血小板给药时间、用药类型（替格瑞洛、氯吡格雷）、剂量、阿司匹林剂量、首次抗凝给药（给药时间、药物、计量）、其他（院内出现心力衰竭、24小时强化他汀治疗、受体阻滞剂使用、ACS治疗措施）、消栓核查。</w:t>
            </w:r>
          </w:p>
        </w:tc>
      </w:tr>
      <w:tr w:rsidR="00744BAE" w:rsidRPr="00744BAE" w:rsidTr="00A32434">
        <w:trPr>
          <w:trHeight w:val="84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NSTEMI包括：初步诊断、初步诊断时间、心内首诊时间、医生、首次抗血小板给药时间、用药类型（替格瑞洛、氯吡格雷）、剂量、阿司匹林剂量、首次抗凝给药（给药时间、药物、计量）。</w:t>
            </w:r>
          </w:p>
        </w:tc>
      </w:tr>
      <w:tr w:rsidR="00744BAE" w:rsidRPr="00744BAE" w:rsidTr="00A32434">
        <w:trPr>
          <w:trHeight w:val="84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UA包括：初步诊断、初步诊断时间、心内首诊时间、医生、首次抗血小板给药时间、用药类型（替格瑞洛、氯吡格雷）、剂量、阿司匹林剂量、首次抗凝给药（给药时间、药物、计量）。</w:t>
            </w:r>
          </w:p>
        </w:tc>
      </w:tr>
      <w:tr w:rsidR="00744BAE" w:rsidRPr="00744BAE" w:rsidTr="00A32434">
        <w:trPr>
          <w:trHeight w:val="112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主动脉夹层包括：初步诊断时间、心内首诊时间、医生、通知心脏外科会诊、心脏外科会诊时间、夹层类型（A型、B型）、治疗策略（基金介入治疗、择期介入治疗、保守治疗、外科手术、其他（介入失败转为手术））、其他治疗策略原因描述。</w:t>
            </w:r>
          </w:p>
        </w:tc>
      </w:tr>
      <w:tr w:rsidR="00744BAE" w:rsidRPr="00744BAE" w:rsidTr="00A32434">
        <w:trPr>
          <w:trHeight w:val="112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肺动脉栓塞包括：初步诊断时间、心内首诊时间、医生、肺动脉栓塞、危险分层（高危、中危、低危）、APTE危险度分层、溶栓、开始溶栓治疗时间、其他（院内出现心力衰竭、24小时强化他汀治疗、受体阻滞剂使用、ACS治疗措施）。</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非ACS心源性胸痛包括：类型、处理措施、时间、患者去向、医生。</w:t>
            </w:r>
          </w:p>
        </w:tc>
      </w:tr>
      <w:tr w:rsidR="00744BAE" w:rsidRPr="00744BAE" w:rsidTr="00A32434">
        <w:trPr>
          <w:trHeight w:val="56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其他非心源性胸痛包括：类型、处理措施、时间、患者去向、医生。</w:t>
            </w:r>
          </w:p>
        </w:tc>
      </w:tr>
      <w:tr w:rsidR="00744BAE" w:rsidRPr="00744BAE" w:rsidTr="00A32434">
        <w:trPr>
          <w:trHeight w:val="56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病因未明、放弃治疗包括：类型、处理措施、时间、患者去向、医生。</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其他包括：类型、处理措施、时间、患者去向、医生。</w:t>
            </w:r>
          </w:p>
        </w:tc>
      </w:tr>
      <w:tr w:rsidR="00744BAE" w:rsidRPr="00744BAE" w:rsidTr="00A32434">
        <w:trPr>
          <w:trHeight w:val="56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患者转归</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转送他院： 出院诊断，确诊时间，住院天数，总费用，网络医院名称的填写，原因转送PCI，转出时间，接诊护士。</w:t>
            </w:r>
          </w:p>
        </w:tc>
      </w:tr>
      <w:tr w:rsidR="00744BAE" w:rsidRPr="00744BAE" w:rsidTr="00A32434">
        <w:trPr>
          <w:trHeight w:val="84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出院：出院诊断，确诊时间，住院天数，总费用，出院时间，治疗结果：（治愈、好转、其他原因离院、脑死亡离院），出院带药：DAPT、ACET/ARB、他汀、阻滞剂，具体描述。</w:t>
            </w:r>
          </w:p>
        </w:tc>
      </w:tr>
      <w:tr w:rsidR="00744BAE" w:rsidRPr="00744BAE" w:rsidTr="00A32434">
        <w:trPr>
          <w:trHeight w:val="56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转送其它科室： 出院诊断，确诊时间，住院天数，总费用，转科的时间，转诊的科室：心内科、神内科、神外科、骨科、急救中心。</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死亡:出院诊断，确诊时间，住院天数，总费用,死亡时间</w:t>
            </w:r>
          </w:p>
        </w:tc>
      </w:tr>
      <w:tr w:rsidR="00744BAE" w:rsidRPr="00744BAE" w:rsidTr="00A32434">
        <w:trPr>
          <w:trHeight w:val="280"/>
        </w:trPr>
        <w:tc>
          <w:tcPr>
            <w:tcW w:w="28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3</w:t>
            </w:r>
          </w:p>
        </w:tc>
        <w:tc>
          <w:tcPr>
            <w:tcW w:w="90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胸痛数据上报</w:t>
            </w:r>
          </w:p>
        </w:tc>
        <w:tc>
          <w:tcPr>
            <w:tcW w:w="5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胸痛数据上报</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提供三种数据上报方案：</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提供网站进行手工录入；</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提供自动上报功能；</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提供自动报错功能；</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提供EXCEL导入导出；</w:t>
            </w:r>
          </w:p>
        </w:tc>
      </w:tr>
      <w:tr w:rsidR="00744BAE" w:rsidRPr="00744BAE" w:rsidTr="00A32434">
        <w:trPr>
          <w:trHeight w:val="280"/>
        </w:trPr>
        <w:tc>
          <w:tcPr>
            <w:tcW w:w="28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4</w:t>
            </w:r>
          </w:p>
        </w:tc>
        <w:tc>
          <w:tcPr>
            <w:tcW w:w="90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胸痛数据质控</w:t>
            </w:r>
          </w:p>
        </w:tc>
        <w:tc>
          <w:tcPr>
            <w:tcW w:w="5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胸痛数据质控</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 提供多维度报表查询</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 提供PCI版和基层版报表</w:t>
            </w:r>
          </w:p>
        </w:tc>
      </w:tr>
      <w:tr w:rsidR="00744BAE" w:rsidRPr="00744BAE" w:rsidTr="00A32434">
        <w:trPr>
          <w:trHeight w:val="56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对于自行来院或拨打本地120经救护车入院的所有急性胸痛患者，缩短了从首次医疗接触到首份心电图时间，且要求月平均小于10分钟</w:t>
            </w:r>
          </w:p>
        </w:tc>
      </w:tr>
      <w:tr w:rsidR="00744BAE" w:rsidRPr="00744BAE" w:rsidTr="00A32434">
        <w:trPr>
          <w:trHeight w:val="56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对于STEMI患者，缩短了从首份心电图完成至首份心电图确诊时间，且要求月平均小于10分钟。</w:t>
            </w:r>
          </w:p>
        </w:tc>
      </w:tr>
      <w:tr w:rsidR="00744BAE" w:rsidRPr="00744BAE" w:rsidTr="00A32434">
        <w:trPr>
          <w:trHeight w:val="112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经救护车（包括呼叫本地120入院及由非PCI医院转诊患者）入院的STEMI患者，从急救现场或救护车远程传输心电图至胸痛中心（实时传输或微信等形式传输，但必须在云平台有客观记录）的比例不低于30%且在过去6个月内呈现增加趋势</w:t>
            </w:r>
          </w:p>
        </w:tc>
      </w:tr>
      <w:tr w:rsidR="00744BAE" w:rsidRPr="00744BAE" w:rsidTr="00A32434">
        <w:trPr>
          <w:trHeight w:val="56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建立了床旁快速检测肌钙蛋白方法，从抽血到获取报告时间20分钟。</w:t>
            </w:r>
          </w:p>
        </w:tc>
      </w:tr>
      <w:tr w:rsidR="00744BAE" w:rsidRPr="00744BAE" w:rsidTr="00A32434">
        <w:trPr>
          <w:trHeight w:val="84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对于接受PPCI治疗的STEMI患者，月平均门-球时间90分钟，且达标率75%；若当前无法达到，则应呈现改进趋势，且应制订促进持续改进的措施，确保在通过认证后1年内逐步达到上述要求。</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导管室激活时间小于30分钟（所有急诊PCI的STEMI患者）。</w:t>
            </w:r>
          </w:p>
        </w:tc>
      </w:tr>
      <w:tr w:rsidR="00744BAE" w:rsidRPr="00744BAE" w:rsidTr="00A32434">
        <w:trPr>
          <w:trHeight w:val="84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经救护车入院（包括呼叫本地120入院及由非PCI医院转诊患者）且接受PPCI治疗的STEMI患者，绕行急诊和CCU直达导管室的比例不低于30%，且呈现增高趋势。</w:t>
            </w:r>
          </w:p>
        </w:tc>
      </w:tr>
      <w:tr w:rsidR="00744BAE" w:rsidRPr="00744BAE" w:rsidTr="00A32434">
        <w:trPr>
          <w:trHeight w:val="56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自行来院且接受PPCI治疗的STEMI患者，绕行CCU直接送入导管室的比例不低于50%，且呈现增高趋势。</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所有STEMI患者的死亡率已降低。</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所有急诊PCI的STEMI患者的死亡率已降低。</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所有极高危NSTEMI/UA患者，2小时内实施紧急PCI的比例在增加。</w:t>
            </w:r>
          </w:p>
        </w:tc>
      </w:tr>
      <w:tr w:rsidR="00744BAE" w:rsidRPr="00744BAE" w:rsidTr="00A32434">
        <w:trPr>
          <w:trHeight w:val="56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所有高危NSTEMI/UA患者，24小时内实施早期介入治疗的比例在增加。</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全部ACS患者院内死亡率在降低。</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全部ACS患者院内心力衰竭发生率在降低。</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所有ACS患者从首次医疗接触到负荷量双抗给药时间有缩短趋势。</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所有ACS患者从首次医疗接触到抗凝给药时间有缩短趋势。</w:t>
            </w:r>
          </w:p>
        </w:tc>
      </w:tr>
      <w:tr w:rsidR="00744BAE" w:rsidRPr="00744BAE" w:rsidTr="00A32434">
        <w:trPr>
          <w:trHeight w:val="56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对于溶栓（包括本院溶栓及转诊医院溶栓）治疗者，D-to-N时间缩短。</w:t>
            </w:r>
          </w:p>
        </w:tc>
      </w:tr>
      <w:tr w:rsidR="00744BAE" w:rsidRPr="00744BAE" w:rsidTr="00A32434">
        <w:trPr>
          <w:trHeight w:val="56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对于溶栓（包括本院溶栓及转诊医院溶栓）治疗者，FMC-to-N时间缩短。</w:t>
            </w:r>
          </w:p>
        </w:tc>
      </w:tr>
      <w:tr w:rsidR="00744BAE" w:rsidRPr="00744BAE" w:rsidTr="00A32434">
        <w:trPr>
          <w:trHeight w:val="56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对于转运STEMI急诊PCI患者，在转出医院的door-in and door-out(入门到出门）的时间已缩短。</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STEMI患者中呼叫120入院的比例在增加。</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STEMI患者发病后2小时内获得首次医疗接触的比例在增加。</w:t>
            </w:r>
          </w:p>
        </w:tc>
      </w:tr>
      <w:tr w:rsidR="00744BAE" w:rsidRPr="00744BAE" w:rsidTr="00A32434">
        <w:trPr>
          <w:trHeight w:val="84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主动脉或肺动脉CTA完成时间有缩短趋势（怀疑主动脉夹层或肺动脉栓塞的患者，计算从通知CT室到CT室完成准备的时间，要求小于30分钟）</w:t>
            </w:r>
          </w:p>
        </w:tc>
      </w:tr>
      <w:tr w:rsidR="00744BAE" w:rsidRPr="00744BAE" w:rsidTr="00A32434">
        <w:trPr>
          <w:trHeight w:val="280"/>
        </w:trPr>
        <w:tc>
          <w:tcPr>
            <w:tcW w:w="28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5</w:t>
            </w:r>
          </w:p>
        </w:tc>
        <w:tc>
          <w:tcPr>
            <w:tcW w:w="905" w:type="pct"/>
            <w:vMerge w:val="restar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产品管理中心</w:t>
            </w: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运维监控</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系统支持各接口信息采集监控及用户操作行为日志监控管理。</w:t>
            </w:r>
          </w:p>
        </w:tc>
      </w:tr>
      <w:tr w:rsidR="00744BAE" w:rsidRPr="00744BAE" w:rsidTr="00A32434">
        <w:trPr>
          <w:trHeight w:val="56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用户中心</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系统支持用户新增，修改，删除等功能；支持用户角色新增，修改，删除，关联等功能。</w:t>
            </w:r>
          </w:p>
        </w:tc>
      </w:tr>
      <w:tr w:rsidR="00744BAE" w:rsidRPr="00744BAE" w:rsidTr="00A32434">
        <w:trPr>
          <w:trHeight w:val="56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产品管理</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系统支持菜单维护、数据校验配置功能；支持服务管理及质控管理。</w:t>
            </w:r>
          </w:p>
        </w:tc>
      </w:tr>
      <w:tr w:rsidR="00744BAE" w:rsidRPr="00744BAE" w:rsidTr="00A32434">
        <w:trPr>
          <w:trHeight w:val="56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基础数据管理</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系统支持维护机构信息。</w:t>
            </w:r>
          </w:p>
        </w:tc>
      </w:tr>
      <w:tr w:rsidR="00744BAE" w:rsidRPr="00744BAE" w:rsidTr="00A32434">
        <w:trPr>
          <w:trHeight w:val="840"/>
        </w:trPr>
        <w:tc>
          <w:tcPr>
            <w:tcW w:w="28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6</w:t>
            </w:r>
          </w:p>
        </w:tc>
        <w:tc>
          <w:tcPr>
            <w:tcW w:w="90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信息系统采集</w:t>
            </w: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HIS系统对接</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HIS厂商对外提供接口，本系统支持与HIS系统进行数据对接和共享，可直接从HIS系统中自动提取患者挂号信息、诊断信息、用药、费用信息、转归去向等，避免了系统间的重复输入。</w:t>
            </w:r>
          </w:p>
        </w:tc>
      </w:tr>
      <w:tr w:rsidR="00744BAE" w:rsidRPr="00744BAE" w:rsidTr="00A32434">
        <w:trPr>
          <w:trHeight w:val="56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LIS系统对接</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LIS厂商对外提供接口，系统支持与LIS系统进行数据对接和共享，提取检验结果。</w:t>
            </w:r>
          </w:p>
        </w:tc>
      </w:tr>
      <w:tr w:rsidR="00744BAE" w:rsidRPr="00744BAE" w:rsidTr="00A32434">
        <w:trPr>
          <w:trHeight w:val="56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PACS系统对接</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PACS厂商对外提供接口，系统支持与PACS系统进行数据对接和共享，提取检查报告和检查图像。</w:t>
            </w:r>
          </w:p>
        </w:tc>
      </w:tr>
      <w:tr w:rsidR="00744BAE" w:rsidRPr="00744BAE" w:rsidTr="00A32434">
        <w:trPr>
          <w:trHeight w:val="56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EMR系统对接</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EMR厂商对外提供接口，系统支持与EMR系统进行数据对接和共享，提取患者电子病历信息。</w:t>
            </w:r>
          </w:p>
        </w:tc>
      </w:tr>
      <w:tr w:rsidR="00744BAE" w:rsidRPr="00744BAE" w:rsidTr="00A32434">
        <w:trPr>
          <w:trHeight w:val="112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院前急救系统对接</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院前急救系统对接需要在智慧急救信息建设完成并且对外提供接口基础上才能开展及建设，同时本系统支持与急救系统进行数据对接和共享，获取急救系统中提取患者基本就诊信息、生命体征、心电图信息及院前电子病历信息等。</w:t>
            </w:r>
          </w:p>
        </w:tc>
      </w:tr>
      <w:tr w:rsidR="00744BAE" w:rsidRPr="00744BAE" w:rsidTr="00A32434">
        <w:trPr>
          <w:trHeight w:val="112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急诊信息系统对接</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急诊信息系统对接需要在急诊系统信息建设完成并且对外提供接口基础上才能开展及建设，同时本系统支持与急诊信息系统进行数据对接和共享，获取急诊信息系统中提取患者基本就诊信息、分诊信息、就诊治疗信息等。</w:t>
            </w:r>
          </w:p>
        </w:tc>
      </w:tr>
      <w:tr w:rsidR="00744BAE" w:rsidRPr="00744BAE" w:rsidTr="00A32434">
        <w:trPr>
          <w:trHeight w:val="280"/>
        </w:trPr>
        <w:tc>
          <w:tcPr>
            <w:tcW w:w="28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7</w:t>
            </w:r>
          </w:p>
        </w:tc>
        <w:tc>
          <w:tcPr>
            <w:tcW w:w="905" w:type="pct"/>
            <w:vMerge w:val="restar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设备数据采集</w:t>
            </w: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监护仪</w:t>
            </w:r>
          </w:p>
        </w:tc>
        <w:tc>
          <w:tcPr>
            <w:tcW w:w="3218" w:type="pct"/>
            <w:vMerge w:val="restart"/>
            <w:tcBorders>
              <w:top w:val="nil"/>
              <w:left w:val="single" w:sz="4" w:space="0" w:color="auto"/>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系统支持多种具有输出端口或输出协议的设备数据的自动采集，能够对医院使用的监护仪、心电图机等设备数据的自动采集、存储和利用。</w:t>
            </w:r>
          </w:p>
        </w:tc>
      </w:tr>
      <w:tr w:rsidR="00744BAE" w:rsidRPr="00744BAE" w:rsidTr="00A32434">
        <w:trPr>
          <w:trHeight w:val="280"/>
        </w:trPr>
        <w:tc>
          <w:tcPr>
            <w:tcW w:w="281" w:type="pct"/>
            <w:vMerge/>
            <w:tcBorders>
              <w:top w:val="single" w:sz="4" w:space="0" w:color="auto"/>
              <w:left w:val="single" w:sz="4" w:space="0" w:color="auto"/>
              <w:bottom w:val="single" w:sz="4" w:space="0" w:color="000000"/>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心电图机</w:t>
            </w:r>
          </w:p>
        </w:tc>
        <w:tc>
          <w:tcPr>
            <w:tcW w:w="3218"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r>
      <w:tr w:rsidR="00744BAE" w:rsidRPr="00744BAE" w:rsidTr="00A32434">
        <w:trPr>
          <w:trHeight w:val="840"/>
        </w:trPr>
        <w:tc>
          <w:tcPr>
            <w:tcW w:w="281" w:type="pct"/>
            <w:vMerge/>
            <w:tcBorders>
              <w:top w:val="single" w:sz="4" w:space="0" w:color="auto"/>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905" w:type="pct"/>
            <w:vMerge/>
            <w:tcBorders>
              <w:top w:val="nil"/>
              <w:left w:val="single" w:sz="4" w:space="0" w:color="auto"/>
              <w:bottom w:val="single" w:sz="4" w:space="0" w:color="auto"/>
              <w:right w:val="single" w:sz="4" w:space="0" w:color="auto"/>
            </w:tcBorders>
            <w:vAlign w:val="center"/>
            <w:hideMark/>
          </w:tcPr>
          <w:p w:rsidR="00744BAE" w:rsidRPr="00744BAE" w:rsidRDefault="00744BAE" w:rsidP="00744BAE">
            <w:pPr>
              <w:adjustRightInd/>
              <w:snapToGrid/>
              <w:spacing w:after="0"/>
              <w:rPr>
                <w:rFonts w:ascii="宋体" w:eastAsia="宋体" w:hAnsi="宋体" w:cs="Times New Roman"/>
                <w:kern w:val="2"/>
                <w:sz w:val="21"/>
                <w:szCs w:val="21"/>
              </w:rPr>
            </w:pPr>
          </w:p>
        </w:tc>
        <w:tc>
          <w:tcPr>
            <w:tcW w:w="596"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jc w:val="center"/>
              <w:rPr>
                <w:rFonts w:ascii="宋体" w:eastAsia="宋体" w:hAnsi="宋体" w:cs="Times New Roman"/>
                <w:kern w:val="2"/>
                <w:sz w:val="21"/>
                <w:szCs w:val="21"/>
              </w:rPr>
            </w:pPr>
            <w:r w:rsidRPr="00744BAE">
              <w:rPr>
                <w:rFonts w:ascii="宋体" w:eastAsia="宋体" w:hAnsi="宋体" w:cs="Times New Roman" w:hint="eastAsia"/>
                <w:kern w:val="2"/>
                <w:sz w:val="21"/>
                <w:szCs w:val="21"/>
              </w:rPr>
              <w:t>RFID设备采集</w:t>
            </w:r>
          </w:p>
        </w:tc>
        <w:tc>
          <w:tcPr>
            <w:tcW w:w="3218" w:type="pct"/>
            <w:tcBorders>
              <w:top w:val="nil"/>
              <w:left w:val="nil"/>
              <w:bottom w:val="single" w:sz="4" w:space="0" w:color="auto"/>
              <w:right w:val="single" w:sz="4" w:space="0" w:color="auto"/>
            </w:tcBorders>
            <w:shd w:val="clear" w:color="auto" w:fill="auto"/>
            <w:vAlign w:val="center"/>
            <w:hideMark/>
          </w:tcPr>
          <w:p w:rsidR="00744BAE" w:rsidRPr="00744BAE" w:rsidRDefault="00744BAE" w:rsidP="00744BAE">
            <w:pPr>
              <w:adjustRightInd/>
              <w:snapToGrid/>
              <w:spacing w:after="0"/>
              <w:rPr>
                <w:rFonts w:ascii="宋体" w:eastAsia="宋体" w:hAnsi="宋体" w:cs="Times New Roman"/>
                <w:kern w:val="2"/>
                <w:sz w:val="21"/>
                <w:szCs w:val="21"/>
              </w:rPr>
            </w:pPr>
            <w:r w:rsidRPr="00744BAE">
              <w:rPr>
                <w:rFonts w:ascii="宋体" w:eastAsia="宋体" w:hAnsi="宋体" w:cs="Times New Roman" w:hint="eastAsia"/>
                <w:kern w:val="2"/>
                <w:sz w:val="21"/>
                <w:szCs w:val="21"/>
              </w:rPr>
              <w:t>通过腕带设备采集技术采集各个关键时间点包括：到达急诊室时间、离开急诊室时间、到达抢救室时间、离开抢救室时间、到达导管室时间、离开导管室时间、到达CCU时间、离开CCU时间等。</w:t>
            </w:r>
          </w:p>
        </w:tc>
      </w:tr>
    </w:tbl>
    <w:p w:rsidR="00744BAE" w:rsidRPr="00744BAE" w:rsidRDefault="00DB25D4" w:rsidP="00DB25D4">
      <w:pPr>
        <w:keepNext/>
        <w:keepLines/>
        <w:widowControl w:val="0"/>
        <w:adjustRightInd/>
        <w:snapToGrid/>
        <w:spacing w:before="340" w:after="330" w:line="578" w:lineRule="auto"/>
        <w:jc w:val="both"/>
        <w:outlineLvl w:val="0"/>
        <w:rPr>
          <w:rFonts w:ascii="Times New Roman" w:eastAsia="等线" w:hAnsi="Times New Roman" w:cs="Times New Roman"/>
          <w:b/>
          <w:bCs/>
          <w:color w:val="000000"/>
          <w:kern w:val="44"/>
          <w:sz w:val="28"/>
          <w:szCs w:val="44"/>
        </w:rPr>
      </w:pPr>
      <w:r>
        <w:rPr>
          <w:rFonts w:ascii="Times New Roman" w:eastAsia="等线" w:hAnsi="Times New Roman" w:cs="Times New Roman" w:hint="eastAsia"/>
          <w:b/>
          <w:bCs/>
          <w:color w:val="000000"/>
          <w:kern w:val="44"/>
          <w:sz w:val="28"/>
          <w:szCs w:val="44"/>
        </w:rPr>
        <w:t>三、</w:t>
      </w:r>
      <w:r w:rsidR="00744BAE" w:rsidRPr="00744BAE">
        <w:rPr>
          <w:rFonts w:ascii="Times New Roman" w:eastAsia="等线" w:hAnsi="Times New Roman" w:cs="Times New Roman" w:hint="eastAsia"/>
          <w:b/>
          <w:bCs/>
          <w:color w:val="000000"/>
          <w:kern w:val="44"/>
          <w:sz w:val="28"/>
          <w:szCs w:val="44"/>
        </w:rPr>
        <w:t>配套</w:t>
      </w:r>
      <w:r w:rsidR="00744BAE" w:rsidRPr="00744BAE">
        <w:rPr>
          <w:rFonts w:ascii="Times New Roman" w:eastAsia="等线" w:hAnsi="Times New Roman" w:cs="Times New Roman"/>
          <w:b/>
          <w:bCs/>
          <w:color w:val="000000"/>
          <w:kern w:val="44"/>
          <w:sz w:val="28"/>
          <w:szCs w:val="44"/>
        </w:rPr>
        <w:t>硬件要求</w:t>
      </w:r>
      <w:bookmarkStart w:id="0" w:name="_GoBack"/>
      <w:bookmarkEnd w:id="0"/>
    </w:p>
    <w:tbl>
      <w:tblPr>
        <w:tblStyle w:val="a7"/>
        <w:tblW w:w="9322" w:type="dxa"/>
        <w:tblLook w:val="04A0"/>
      </w:tblPr>
      <w:tblGrid>
        <w:gridCol w:w="675"/>
        <w:gridCol w:w="1418"/>
        <w:gridCol w:w="709"/>
        <w:gridCol w:w="708"/>
        <w:gridCol w:w="5812"/>
      </w:tblGrid>
      <w:tr w:rsidR="00744BAE" w:rsidRPr="00744BAE" w:rsidTr="00781D30">
        <w:tc>
          <w:tcPr>
            <w:tcW w:w="675" w:type="dxa"/>
          </w:tcPr>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color w:val="000000"/>
                <w:szCs w:val="20"/>
              </w:rPr>
              <w:t>序号</w:t>
            </w:r>
          </w:p>
        </w:tc>
        <w:tc>
          <w:tcPr>
            <w:tcW w:w="1418" w:type="dxa"/>
          </w:tcPr>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color w:val="000000"/>
                <w:szCs w:val="20"/>
              </w:rPr>
              <w:t>设备名称</w:t>
            </w:r>
          </w:p>
        </w:tc>
        <w:tc>
          <w:tcPr>
            <w:tcW w:w="709" w:type="dxa"/>
          </w:tcPr>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color w:val="000000"/>
                <w:szCs w:val="20"/>
              </w:rPr>
              <w:t>数量</w:t>
            </w:r>
          </w:p>
        </w:tc>
        <w:tc>
          <w:tcPr>
            <w:tcW w:w="708" w:type="dxa"/>
          </w:tcPr>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color w:val="000000"/>
                <w:szCs w:val="20"/>
              </w:rPr>
              <w:t>单位</w:t>
            </w:r>
          </w:p>
        </w:tc>
        <w:tc>
          <w:tcPr>
            <w:tcW w:w="5812" w:type="dxa"/>
          </w:tcPr>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color w:val="000000"/>
                <w:szCs w:val="20"/>
              </w:rPr>
              <w:t>参数</w:t>
            </w:r>
          </w:p>
        </w:tc>
      </w:tr>
      <w:tr w:rsidR="00744BAE" w:rsidRPr="00744BAE" w:rsidTr="00781D30">
        <w:tc>
          <w:tcPr>
            <w:tcW w:w="675" w:type="dxa"/>
          </w:tcPr>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hint="eastAsia"/>
                <w:color w:val="000000"/>
                <w:szCs w:val="20"/>
              </w:rPr>
              <w:t>1</w:t>
            </w:r>
          </w:p>
        </w:tc>
        <w:tc>
          <w:tcPr>
            <w:tcW w:w="1418" w:type="dxa"/>
          </w:tcPr>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color w:val="000000"/>
                <w:szCs w:val="20"/>
              </w:rPr>
              <w:t>腕带阅读器</w:t>
            </w:r>
            <w:r w:rsidRPr="00744BAE">
              <w:rPr>
                <w:rFonts w:ascii="宋体" w:hAnsi="宋体" w:cs="Times New Roman" w:hint="eastAsia"/>
                <w:color w:val="000000"/>
                <w:szCs w:val="20"/>
              </w:rPr>
              <w:br/>
            </w:r>
          </w:p>
        </w:tc>
        <w:tc>
          <w:tcPr>
            <w:tcW w:w="709" w:type="dxa"/>
          </w:tcPr>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hint="eastAsia"/>
                <w:color w:val="000000"/>
                <w:szCs w:val="20"/>
              </w:rPr>
              <w:t>5</w:t>
            </w:r>
          </w:p>
        </w:tc>
        <w:tc>
          <w:tcPr>
            <w:tcW w:w="708" w:type="dxa"/>
          </w:tcPr>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color w:val="000000"/>
                <w:szCs w:val="20"/>
              </w:rPr>
              <w:t>个</w:t>
            </w:r>
          </w:p>
        </w:tc>
        <w:tc>
          <w:tcPr>
            <w:tcW w:w="5812" w:type="dxa"/>
          </w:tcPr>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hint="eastAsia"/>
                <w:color w:val="000000"/>
                <w:szCs w:val="20"/>
              </w:rPr>
              <w:t>1、每秒识读100个标签，可同时管理场内2000个标签；</w:t>
            </w:r>
          </w:p>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hint="eastAsia"/>
                <w:color w:val="000000"/>
                <w:szCs w:val="20"/>
              </w:rPr>
              <w:t>2、识别角度：全向；</w:t>
            </w:r>
          </w:p>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hint="eastAsia"/>
                <w:color w:val="000000"/>
                <w:szCs w:val="20"/>
              </w:rPr>
              <w:t>3、频道隔离技术，多个设备互不干扰；</w:t>
            </w:r>
          </w:p>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hint="eastAsia"/>
                <w:color w:val="000000"/>
                <w:szCs w:val="20"/>
              </w:rPr>
              <w:t>4、加密计算与安全认证，防止链路侦测；</w:t>
            </w:r>
          </w:p>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hint="eastAsia"/>
                <w:color w:val="000000"/>
                <w:szCs w:val="20"/>
              </w:rPr>
              <w:t>5、接口标准：RJ45；</w:t>
            </w:r>
          </w:p>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hint="eastAsia"/>
                <w:color w:val="000000"/>
                <w:szCs w:val="20"/>
              </w:rPr>
              <w:t>6、电源标准：DC 5V；</w:t>
            </w:r>
          </w:p>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hint="eastAsia"/>
                <w:color w:val="000000"/>
                <w:szCs w:val="20"/>
              </w:rPr>
              <w:t>7、可靠性：防雷防冲击，满足工业/医疗工作环境要求；</w:t>
            </w:r>
          </w:p>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hint="eastAsia"/>
                <w:color w:val="000000"/>
                <w:szCs w:val="20"/>
              </w:rPr>
              <w:t>8、封装特性：铝合金外壳封装；</w:t>
            </w:r>
          </w:p>
          <w:p w:rsidR="00744BAE" w:rsidRPr="00744BAE" w:rsidRDefault="00744BAE" w:rsidP="000C023C">
            <w:pPr>
              <w:widowControl w:val="0"/>
              <w:adjustRightInd/>
              <w:snapToGrid/>
              <w:spacing w:line="360" w:lineRule="auto"/>
              <w:rPr>
                <w:rFonts w:ascii="宋体" w:hAnsi="宋体" w:cs="Times New Roman"/>
                <w:color w:val="000000"/>
                <w:szCs w:val="20"/>
              </w:rPr>
            </w:pPr>
            <w:r w:rsidRPr="00744BAE">
              <w:rPr>
                <w:rFonts w:ascii="宋体" w:hAnsi="宋体" w:cs="Times New Roman" w:hint="eastAsia"/>
                <w:color w:val="000000"/>
                <w:szCs w:val="20"/>
              </w:rPr>
              <w:t>9、安装方式：螺栓固定或钉牢、捆绑。</w:t>
            </w:r>
          </w:p>
        </w:tc>
      </w:tr>
      <w:tr w:rsidR="00744BAE" w:rsidRPr="00744BAE" w:rsidTr="00781D30">
        <w:tc>
          <w:tcPr>
            <w:tcW w:w="675" w:type="dxa"/>
          </w:tcPr>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hint="eastAsia"/>
                <w:color w:val="000000"/>
                <w:szCs w:val="20"/>
              </w:rPr>
              <w:t>2</w:t>
            </w:r>
          </w:p>
        </w:tc>
        <w:tc>
          <w:tcPr>
            <w:tcW w:w="1418" w:type="dxa"/>
          </w:tcPr>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color w:val="000000"/>
                <w:szCs w:val="20"/>
              </w:rPr>
              <w:t>腕带</w:t>
            </w:r>
          </w:p>
        </w:tc>
        <w:tc>
          <w:tcPr>
            <w:tcW w:w="709" w:type="dxa"/>
          </w:tcPr>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hint="eastAsia"/>
                <w:color w:val="000000"/>
                <w:szCs w:val="20"/>
              </w:rPr>
              <w:t>15</w:t>
            </w:r>
          </w:p>
        </w:tc>
        <w:tc>
          <w:tcPr>
            <w:tcW w:w="708" w:type="dxa"/>
          </w:tcPr>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color w:val="000000"/>
                <w:szCs w:val="20"/>
              </w:rPr>
              <w:t>个</w:t>
            </w:r>
          </w:p>
        </w:tc>
        <w:tc>
          <w:tcPr>
            <w:tcW w:w="5812" w:type="dxa"/>
          </w:tcPr>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hint="eastAsia"/>
                <w:color w:val="000000"/>
                <w:szCs w:val="20"/>
              </w:rPr>
              <w:t>1、采用充电电池，可重复充电使用；</w:t>
            </w:r>
          </w:p>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hint="eastAsia"/>
                <w:color w:val="000000"/>
                <w:szCs w:val="20"/>
              </w:rPr>
              <w:t>2、提供LED指示灯可显示不同状态的腕带电量；</w:t>
            </w:r>
          </w:p>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hint="eastAsia"/>
                <w:color w:val="000000"/>
                <w:szCs w:val="20"/>
              </w:rPr>
              <w:t>3、可实时向腕带阅读器推送腕带位置讯号及电量工况讯号；</w:t>
            </w:r>
          </w:p>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hint="eastAsia"/>
                <w:color w:val="000000"/>
                <w:szCs w:val="20"/>
              </w:rPr>
              <w:t>4、紫外激光镭雕二维码标示序列号，标识清晰，方便腕带发放；</w:t>
            </w:r>
          </w:p>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hint="eastAsia"/>
                <w:color w:val="000000"/>
                <w:szCs w:val="20"/>
              </w:rPr>
              <w:t>5、腕带型外观，方便佩戴；</w:t>
            </w:r>
          </w:p>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hint="eastAsia"/>
                <w:color w:val="000000"/>
                <w:szCs w:val="20"/>
              </w:rPr>
              <w:t>6、采用频道隔离技术，多个腕带设备互不干扰；</w:t>
            </w:r>
          </w:p>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hint="eastAsia"/>
                <w:color w:val="000000"/>
                <w:szCs w:val="20"/>
              </w:rPr>
              <w:t>7、加密计算与安全认证，防止链路侦测；</w:t>
            </w:r>
          </w:p>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hint="eastAsia"/>
                <w:color w:val="000000"/>
                <w:szCs w:val="20"/>
              </w:rPr>
              <w:lastRenderedPageBreak/>
              <w:t>8、低功耗；</w:t>
            </w:r>
          </w:p>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hint="eastAsia"/>
                <w:color w:val="000000"/>
                <w:szCs w:val="20"/>
              </w:rPr>
              <w:t>9、工作温度－40℃～85℃；</w:t>
            </w:r>
          </w:p>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hint="eastAsia"/>
                <w:color w:val="000000"/>
                <w:szCs w:val="20"/>
              </w:rPr>
              <w:t>10、采用被动式防御式充电系统，充电的时候主控系统自动断电（非休眠模式），从而杜绝一些异常情况发生；</w:t>
            </w:r>
          </w:p>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hint="eastAsia"/>
                <w:color w:val="000000"/>
                <w:szCs w:val="20"/>
              </w:rPr>
              <w:t>11、采用触控操作方式，可实时查看电量信息；</w:t>
            </w:r>
          </w:p>
          <w:p w:rsidR="00744BAE" w:rsidRPr="00744BAE" w:rsidRDefault="00744BAE" w:rsidP="00744BAE">
            <w:pPr>
              <w:widowControl w:val="0"/>
              <w:adjustRightInd/>
              <w:snapToGrid/>
              <w:spacing w:line="360" w:lineRule="auto"/>
              <w:rPr>
                <w:rFonts w:ascii="宋体" w:hAnsi="宋体" w:cs="Times New Roman"/>
                <w:color w:val="000000"/>
                <w:szCs w:val="20"/>
              </w:rPr>
            </w:pPr>
            <w:r w:rsidRPr="00744BAE">
              <w:rPr>
                <w:rFonts w:ascii="宋体" w:hAnsi="宋体" w:cs="Times New Roman" w:hint="eastAsia"/>
                <w:color w:val="000000"/>
                <w:szCs w:val="20"/>
              </w:rPr>
              <w:t>12、实时电量监控系统，可根据需要设置预警电量，从而快速提醒维护人员及时充电维护。</w:t>
            </w:r>
          </w:p>
        </w:tc>
      </w:tr>
    </w:tbl>
    <w:p w:rsidR="00744BAE" w:rsidRPr="00744BAE" w:rsidRDefault="00744BAE" w:rsidP="00744BAE">
      <w:pPr>
        <w:widowControl w:val="0"/>
        <w:adjustRightInd/>
        <w:snapToGrid/>
        <w:spacing w:after="0" w:line="360" w:lineRule="auto"/>
        <w:jc w:val="both"/>
        <w:rPr>
          <w:rFonts w:ascii="Times New Roman" w:eastAsia="等线" w:hAnsi="Times New Roman" w:cs="Times New Roman"/>
          <w:kern w:val="2"/>
          <w:sz w:val="21"/>
          <w:szCs w:val="20"/>
        </w:rPr>
      </w:pPr>
    </w:p>
    <w:p w:rsidR="00744BAE" w:rsidRDefault="00744BAE">
      <w:pPr>
        <w:adjustRightInd/>
        <w:snapToGrid/>
        <w:spacing w:line="220" w:lineRule="atLeast"/>
        <w:rPr>
          <w:rFonts w:asciiTheme="minorEastAsia" w:hAnsiTheme="minorEastAsia"/>
          <w:b/>
          <w:sz w:val="32"/>
          <w:szCs w:val="32"/>
        </w:rPr>
      </w:pPr>
      <w:r>
        <w:rPr>
          <w:rFonts w:asciiTheme="minorEastAsia" w:hAnsiTheme="minorEastAsia"/>
          <w:b/>
          <w:sz w:val="32"/>
          <w:szCs w:val="32"/>
        </w:rPr>
        <w:br w:type="page"/>
      </w:r>
    </w:p>
    <w:p w:rsidR="00AA0345" w:rsidRDefault="00BC46D5" w:rsidP="00AA0345">
      <w:pPr>
        <w:pStyle w:val="a8"/>
        <w:snapToGrid w:val="0"/>
        <w:spacing w:line="348" w:lineRule="auto"/>
        <w:ind w:left="0" w:firstLineChars="0"/>
        <w:rPr>
          <w:rFonts w:asciiTheme="minorEastAsia" w:hAnsiTheme="minorEastAsia"/>
          <w:b/>
          <w:sz w:val="32"/>
          <w:szCs w:val="32"/>
        </w:rPr>
      </w:pPr>
      <w:r w:rsidRPr="00BC46D5">
        <w:rPr>
          <w:rFonts w:asciiTheme="minorEastAsia" w:hAnsiTheme="minorEastAsia" w:hint="eastAsia"/>
          <w:b/>
          <w:sz w:val="32"/>
          <w:szCs w:val="32"/>
        </w:rPr>
        <w:lastRenderedPageBreak/>
        <w:t>需求二：</w:t>
      </w:r>
    </w:p>
    <w:p w:rsidR="00AA0345" w:rsidRDefault="00AA0345" w:rsidP="00AA0345">
      <w:pPr>
        <w:pStyle w:val="a8"/>
        <w:snapToGrid w:val="0"/>
        <w:spacing w:line="348" w:lineRule="auto"/>
        <w:ind w:left="0" w:firstLineChars="0"/>
        <w:jc w:val="center"/>
        <w:rPr>
          <w:rFonts w:asciiTheme="minorEastAsia" w:hAnsiTheme="minorEastAsia"/>
          <w:b/>
          <w:sz w:val="32"/>
          <w:szCs w:val="32"/>
        </w:rPr>
      </w:pPr>
      <w:r w:rsidRPr="00CC1F1A">
        <w:rPr>
          <w:rFonts w:ascii="宋体" w:hAnsi="宋体" w:hint="eastAsia"/>
          <w:b/>
          <w:sz w:val="32"/>
          <w:szCs w:val="32"/>
        </w:rPr>
        <w:t>南通市第三人民医院“</w:t>
      </w:r>
      <w:r>
        <w:rPr>
          <w:rFonts w:ascii="宋体" w:hAnsi="宋体" w:hint="eastAsia"/>
          <w:b/>
          <w:sz w:val="32"/>
          <w:szCs w:val="32"/>
        </w:rPr>
        <w:t>云桌面</w:t>
      </w:r>
      <w:r w:rsidRPr="00CC1F1A">
        <w:rPr>
          <w:rFonts w:ascii="宋体" w:hAnsi="宋体" w:hint="eastAsia"/>
          <w:b/>
          <w:sz w:val="32"/>
          <w:szCs w:val="32"/>
        </w:rPr>
        <w:t>”项目技术</w:t>
      </w:r>
      <w:r w:rsidR="008F2DE8">
        <w:rPr>
          <w:rFonts w:ascii="宋体" w:hAnsi="宋体" w:hint="eastAsia"/>
          <w:b/>
          <w:sz w:val="32"/>
          <w:szCs w:val="32"/>
        </w:rPr>
        <w:t>需</w:t>
      </w:r>
      <w:r w:rsidRPr="00CC1F1A">
        <w:rPr>
          <w:rFonts w:ascii="宋体" w:hAnsi="宋体" w:hint="eastAsia"/>
          <w:b/>
          <w:sz w:val="32"/>
          <w:szCs w:val="32"/>
        </w:rPr>
        <w:t>求</w:t>
      </w:r>
    </w:p>
    <w:p w:rsidR="00AA0345" w:rsidRPr="00B54EEA" w:rsidRDefault="00B54EEA" w:rsidP="00B54EEA">
      <w:pPr>
        <w:keepNext/>
        <w:keepLines/>
        <w:widowControl w:val="0"/>
        <w:adjustRightInd/>
        <w:snapToGrid/>
        <w:spacing w:before="340" w:after="330" w:line="578" w:lineRule="auto"/>
        <w:jc w:val="both"/>
        <w:outlineLvl w:val="0"/>
        <w:rPr>
          <w:rFonts w:ascii="Times New Roman" w:eastAsia="等线" w:hAnsi="Times New Roman" w:cs="Times New Roman"/>
          <w:b/>
          <w:bCs/>
          <w:color w:val="000000"/>
          <w:kern w:val="44"/>
          <w:sz w:val="28"/>
          <w:szCs w:val="44"/>
        </w:rPr>
      </w:pPr>
      <w:r>
        <w:rPr>
          <w:rFonts w:ascii="Times New Roman" w:eastAsia="等线" w:hAnsi="Times New Roman" w:cs="Times New Roman" w:hint="eastAsia"/>
          <w:b/>
          <w:bCs/>
          <w:color w:val="000000"/>
          <w:kern w:val="44"/>
          <w:sz w:val="28"/>
          <w:szCs w:val="44"/>
        </w:rPr>
        <w:t>一、</w:t>
      </w:r>
      <w:r w:rsidR="00AA0345" w:rsidRPr="00B54EEA">
        <w:rPr>
          <w:rFonts w:ascii="Times New Roman" w:eastAsia="等线" w:hAnsi="Times New Roman" w:cs="Times New Roman" w:hint="eastAsia"/>
          <w:b/>
          <w:bCs/>
          <w:color w:val="000000"/>
          <w:kern w:val="44"/>
          <w:sz w:val="28"/>
          <w:szCs w:val="44"/>
        </w:rPr>
        <w:t>项目概述：</w:t>
      </w:r>
    </w:p>
    <w:p w:rsidR="00AA0345" w:rsidRPr="00AA0345" w:rsidRDefault="00AA0345" w:rsidP="00AA0345">
      <w:pPr>
        <w:widowControl w:val="0"/>
        <w:adjustRightInd/>
        <w:spacing w:after="0" w:line="348" w:lineRule="auto"/>
        <w:ind w:firstLine="420"/>
        <w:jc w:val="both"/>
        <w:rPr>
          <w:rFonts w:ascii="宋体" w:eastAsia="宋体" w:hAnsi="宋体" w:cs="Times New Roman"/>
          <w:kern w:val="2"/>
          <w:sz w:val="21"/>
          <w:szCs w:val="21"/>
          <w:lang w:val="zh-CN"/>
        </w:rPr>
      </w:pPr>
      <w:r w:rsidRPr="00AA0345">
        <w:rPr>
          <w:rFonts w:ascii="宋体" w:eastAsia="宋体" w:hAnsi="宋体" w:cs="Times New Roman" w:hint="eastAsia"/>
          <w:kern w:val="2"/>
          <w:sz w:val="21"/>
          <w:szCs w:val="21"/>
          <w:lang w:val="zh-CN"/>
        </w:rPr>
        <w:t>现代医院规模越来越大，办公桌面的物理分布很越，在使用过程中，办公桌面出现故障后，维护人员的工作将变得非常困难。同时医院</w:t>
      </w:r>
      <w:r w:rsidRPr="00AA0345">
        <w:rPr>
          <w:rFonts w:ascii="宋体" w:eastAsia="宋体" w:hAnsi="宋体" w:cs="Times New Roman"/>
          <w:kern w:val="2"/>
          <w:sz w:val="21"/>
          <w:szCs w:val="21"/>
          <w:lang w:val="zh-CN"/>
        </w:rPr>
        <w:t>存放的都为</w:t>
      </w:r>
      <w:r w:rsidRPr="00AA0345">
        <w:rPr>
          <w:rFonts w:ascii="宋体" w:eastAsia="宋体" w:hAnsi="宋体" w:cs="Times New Roman" w:hint="eastAsia"/>
          <w:kern w:val="2"/>
          <w:sz w:val="21"/>
          <w:szCs w:val="21"/>
          <w:lang w:val="zh-CN"/>
        </w:rPr>
        <w:t>病人的个</w:t>
      </w:r>
      <w:r w:rsidRPr="00AA0345">
        <w:rPr>
          <w:rFonts w:ascii="宋体" w:eastAsia="宋体" w:hAnsi="宋体" w:cs="Times New Roman"/>
          <w:kern w:val="2"/>
          <w:sz w:val="21"/>
          <w:szCs w:val="21"/>
          <w:lang w:val="zh-CN"/>
        </w:rPr>
        <w:t>人信息</w:t>
      </w:r>
      <w:r w:rsidRPr="00AA0345">
        <w:rPr>
          <w:rFonts w:ascii="宋体" w:eastAsia="宋体" w:hAnsi="宋体" w:cs="Times New Roman" w:hint="eastAsia"/>
          <w:kern w:val="2"/>
          <w:sz w:val="21"/>
          <w:szCs w:val="21"/>
          <w:lang w:val="zh-CN"/>
        </w:rPr>
        <w:t>，随着医院信息化程度不断加深，很多机密或敏感信息都会以某种形式存在于医院的IT系统中，这种以电子数据保存信息的方式远比传统保密方式容易泄露，</w:t>
      </w:r>
      <w:r w:rsidRPr="00AA0345">
        <w:rPr>
          <w:rFonts w:ascii="宋体" w:eastAsia="宋体" w:hAnsi="宋体" w:cs="Times New Roman"/>
          <w:kern w:val="2"/>
          <w:sz w:val="21"/>
          <w:szCs w:val="21"/>
          <w:lang w:val="zh-CN"/>
        </w:rPr>
        <w:t>需要采取合理的方式</w:t>
      </w:r>
      <w:r w:rsidRPr="00AA0345">
        <w:rPr>
          <w:rFonts w:ascii="宋体" w:eastAsia="宋体" w:hAnsi="宋体" w:cs="Times New Roman" w:hint="eastAsia"/>
          <w:kern w:val="2"/>
          <w:sz w:val="21"/>
          <w:szCs w:val="21"/>
          <w:lang w:val="zh-CN"/>
        </w:rPr>
        <w:t>对数据</w:t>
      </w:r>
      <w:r w:rsidRPr="00AA0345">
        <w:rPr>
          <w:rFonts w:ascii="宋体" w:eastAsia="宋体" w:hAnsi="宋体" w:cs="Times New Roman"/>
          <w:kern w:val="2"/>
          <w:sz w:val="21"/>
          <w:szCs w:val="21"/>
          <w:lang w:val="zh-CN"/>
        </w:rPr>
        <w:t>进行</w:t>
      </w:r>
      <w:r w:rsidRPr="00AA0345">
        <w:rPr>
          <w:rFonts w:ascii="宋体" w:eastAsia="宋体" w:hAnsi="宋体" w:cs="Times New Roman" w:hint="eastAsia"/>
          <w:kern w:val="2"/>
          <w:sz w:val="21"/>
          <w:szCs w:val="21"/>
          <w:lang w:val="zh-CN"/>
        </w:rPr>
        <w:t>防护。因此，医院的IT管理部门迫切希望能够新胖终端桌面云对办公桌面实施集中管理和集中维护，以降低IT管理的难度。</w:t>
      </w:r>
    </w:p>
    <w:p w:rsidR="00EF6BAA" w:rsidRPr="00EF6BAA" w:rsidRDefault="00EF6BAA" w:rsidP="00EF6BAA">
      <w:pPr>
        <w:keepNext/>
        <w:keepLines/>
        <w:widowControl w:val="0"/>
        <w:adjustRightInd/>
        <w:snapToGrid/>
        <w:spacing w:before="340" w:after="330" w:line="578" w:lineRule="auto"/>
        <w:jc w:val="both"/>
        <w:outlineLvl w:val="0"/>
        <w:rPr>
          <w:rFonts w:ascii="Times New Roman" w:eastAsia="等线" w:hAnsi="Times New Roman" w:cs="Times New Roman"/>
          <w:b/>
          <w:bCs/>
          <w:color w:val="000000"/>
          <w:kern w:val="44"/>
          <w:sz w:val="28"/>
          <w:szCs w:val="44"/>
        </w:rPr>
      </w:pPr>
      <w:r w:rsidRPr="00EF6BAA">
        <w:rPr>
          <w:rFonts w:ascii="Times New Roman" w:eastAsia="等线" w:hAnsi="Times New Roman" w:cs="Times New Roman" w:hint="eastAsia"/>
          <w:b/>
          <w:bCs/>
          <w:color w:val="000000"/>
          <w:kern w:val="44"/>
          <w:sz w:val="28"/>
          <w:szCs w:val="44"/>
        </w:rPr>
        <w:t>二、需求概述</w:t>
      </w:r>
    </w:p>
    <w:p w:rsidR="00AA0345" w:rsidRPr="00AA0345" w:rsidRDefault="00AA0345" w:rsidP="00A04403">
      <w:pPr>
        <w:widowControl w:val="0"/>
        <w:adjustRightInd/>
        <w:spacing w:after="0" w:line="348" w:lineRule="auto"/>
        <w:ind w:firstLineChars="200" w:firstLine="420"/>
        <w:jc w:val="both"/>
        <w:rPr>
          <w:rFonts w:ascii="Arial" w:hAnsi="Arial" w:cs="Arial"/>
          <w:sz w:val="21"/>
          <w:szCs w:val="21"/>
          <w:lang w:val="zh-CN"/>
        </w:rPr>
      </w:pPr>
      <w:r w:rsidRPr="00AA0345">
        <w:rPr>
          <w:rFonts w:ascii="宋体" w:eastAsia="宋体" w:hAnsi="宋体" w:cs="Times New Roman" w:hint="eastAsia"/>
          <w:kern w:val="2"/>
          <w:sz w:val="21"/>
          <w:szCs w:val="21"/>
        </w:rPr>
        <w:t>本次项目拟采购100套云桌面管理及终端系统,要求如下:</w:t>
      </w:r>
    </w:p>
    <w:tbl>
      <w:tblPr>
        <w:tblW w:w="91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tblPr>
      <w:tblGrid>
        <w:gridCol w:w="701"/>
        <w:gridCol w:w="1276"/>
        <w:gridCol w:w="4649"/>
        <w:gridCol w:w="850"/>
        <w:gridCol w:w="1701"/>
      </w:tblGrid>
      <w:tr w:rsidR="000377FC" w:rsidRPr="000377FC" w:rsidTr="008B1269">
        <w:tc>
          <w:tcPr>
            <w:tcW w:w="701" w:type="dxa"/>
            <w:shd w:val="clear" w:color="auto" w:fill="auto"/>
            <w:tcMar>
              <w:top w:w="0" w:type="dxa"/>
              <w:left w:w="105" w:type="dxa"/>
              <w:bottom w:w="0" w:type="dxa"/>
              <w:right w:w="105" w:type="dxa"/>
            </w:tcMar>
            <w:vAlign w:val="center"/>
          </w:tcPr>
          <w:p w:rsidR="000377FC" w:rsidRPr="000377FC" w:rsidRDefault="000377FC" w:rsidP="000377FC">
            <w:pPr>
              <w:adjustRightInd/>
              <w:snapToGrid/>
              <w:spacing w:after="0"/>
              <w:jc w:val="center"/>
              <w:rPr>
                <w:rFonts w:ascii="仿宋" w:eastAsia="仿宋" w:hAnsi="仿宋" w:cs="宋体"/>
                <w:b/>
                <w:bCs/>
                <w:kern w:val="2"/>
                <w:sz w:val="21"/>
                <w:szCs w:val="21"/>
              </w:rPr>
            </w:pPr>
            <w:r w:rsidRPr="000377FC">
              <w:rPr>
                <w:rFonts w:ascii="仿宋" w:eastAsia="仿宋" w:hAnsi="仿宋" w:cs="宋体" w:hint="eastAsia"/>
                <w:b/>
                <w:bCs/>
                <w:kern w:val="2"/>
                <w:sz w:val="21"/>
                <w:szCs w:val="21"/>
              </w:rPr>
              <w:t>序号</w:t>
            </w:r>
          </w:p>
        </w:tc>
        <w:tc>
          <w:tcPr>
            <w:tcW w:w="1276" w:type="dxa"/>
            <w:shd w:val="clear" w:color="auto" w:fill="auto"/>
            <w:tcMar>
              <w:top w:w="0" w:type="dxa"/>
              <w:left w:w="105" w:type="dxa"/>
              <w:bottom w:w="0" w:type="dxa"/>
              <w:right w:w="105" w:type="dxa"/>
            </w:tcMar>
            <w:vAlign w:val="center"/>
          </w:tcPr>
          <w:p w:rsidR="000377FC" w:rsidRPr="000377FC" w:rsidRDefault="000377FC" w:rsidP="000377FC">
            <w:pPr>
              <w:adjustRightInd/>
              <w:snapToGrid/>
              <w:spacing w:after="0"/>
              <w:jc w:val="center"/>
              <w:rPr>
                <w:rFonts w:ascii="仿宋" w:eastAsia="仿宋" w:hAnsi="仿宋" w:cs="宋体"/>
                <w:b/>
                <w:bCs/>
                <w:kern w:val="2"/>
                <w:sz w:val="21"/>
                <w:szCs w:val="21"/>
              </w:rPr>
            </w:pPr>
            <w:r w:rsidRPr="000377FC">
              <w:rPr>
                <w:rFonts w:ascii="仿宋" w:eastAsia="仿宋" w:hAnsi="仿宋" w:cs="宋体" w:hint="eastAsia"/>
                <w:b/>
                <w:bCs/>
                <w:kern w:val="2"/>
                <w:sz w:val="21"/>
                <w:szCs w:val="21"/>
              </w:rPr>
              <w:t>设备名称</w:t>
            </w:r>
          </w:p>
        </w:tc>
        <w:tc>
          <w:tcPr>
            <w:tcW w:w="4649" w:type="dxa"/>
            <w:shd w:val="clear" w:color="auto" w:fill="auto"/>
            <w:tcMar>
              <w:top w:w="0" w:type="dxa"/>
              <w:left w:w="105" w:type="dxa"/>
              <w:bottom w:w="0" w:type="dxa"/>
              <w:right w:w="105" w:type="dxa"/>
            </w:tcMar>
            <w:vAlign w:val="center"/>
          </w:tcPr>
          <w:p w:rsidR="000377FC" w:rsidRPr="000377FC" w:rsidRDefault="000377FC" w:rsidP="000377FC">
            <w:pPr>
              <w:adjustRightInd/>
              <w:snapToGrid/>
              <w:spacing w:after="0"/>
              <w:jc w:val="center"/>
              <w:rPr>
                <w:rFonts w:ascii="仿宋" w:eastAsia="仿宋" w:hAnsi="仿宋" w:cs="宋体"/>
                <w:b/>
                <w:bCs/>
                <w:kern w:val="2"/>
                <w:sz w:val="21"/>
                <w:szCs w:val="21"/>
              </w:rPr>
            </w:pPr>
            <w:r w:rsidRPr="000377FC">
              <w:rPr>
                <w:rFonts w:ascii="仿宋" w:eastAsia="仿宋" w:hAnsi="仿宋" w:cs="宋体" w:hint="eastAsia"/>
                <w:b/>
                <w:bCs/>
                <w:kern w:val="2"/>
                <w:sz w:val="21"/>
                <w:szCs w:val="21"/>
              </w:rPr>
              <w:t>规格要求</w:t>
            </w:r>
          </w:p>
        </w:tc>
        <w:tc>
          <w:tcPr>
            <w:tcW w:w="850" w:type="dxa"/>
            <w:shd w:val="clear" w:color="auto" w:fill="auto"/>
            <w:tcMar>
              <w:top w:w="0" w:type="dxa"/>
              <w:left w:w="105" w:type="dxa"/>
              <w:bottom w:w="0" w:type="dxa"/>
              <w:right w:w="105" w:type="dxa"/>
            </w:tcMar>
            <w:vAlign w:val="center"/>
          </w:tcPr>
          <w:p w:rsidR="000377FC" w:rsidRPr="000377FC" w:rsidRDefault="000377FC" w:rsidP="000377FC">
            <w:pPr>
              <w:adjustRightInd/>
              <w:snapToGrid/>
              <w:spacing w:after="0"/>
              <w:jc w:val="center"/>
              <w:rPr>
                <w:rFonts w:ascii="仿宋" w:eastAsia="仿宋" w:hAnsi="仿宋" w:cs="宋体"/>
                <w:b/>
                <w:bCs/>
                <w:kern w:val="2"/>
                <w:sz w:val="21"/>
                <w:szCs w:val="21"/>
              </w:rPr>
            </w:pPr>
            <w:r w:rsidRPr="000377FC">
              <w:rPr>
                <w:rFonts w:ascii="仿宋" w:eastAsia="仿宋" w:hAnsi="仿宋" w:cs="宋体" w:hint="eastAsia"/>
                <w:b/>
                <w:bCs/>
                <w:kern w:val="2"/>
                <w:sz w:val="21"/>
                <w:szCs w:val="21"/>
              </w:rPr>
              <w:t>数量</w:t>
            </w:r>
          </w:p>
        </w:tc>
        <w:tc>
          <w:tcPr>
            <w:tcW w:w="1701" w:type="dxa"/>
            <w:vAlign w:val="center"/>
          </w:tcPr>
          <w:p w:rsidR="000377FC" w:rsidRPr="000377FC" w:rsidRDefault="000377FC" w:rsidP="000377FC">
            <w:pPr>
              <w:adjustRightInd/>
              <w:snapToGrid/>
              <w:spacing w:after="0"/>
              <w:jc w:val="center"/>
              <w:rPr>
                <w:rFonts w:ascii="仿宋" w:eastAsia="仿宋" w:hAnsi="仿宋" w:cs="宋体"/>
                <w:b/>
                <w:bCs/>
                <w:kern w:val="2"/>
                <w:sz w:val="21"/>
                <w:szCs w:val="21"/>
              </w:rPr>
            </w:pPr>
            <w:r w:rsidRPr="000377FC">
              <w:rPr>
                <w:rFonts w:ascii="仿宋" w:eastAsia="仿宋" w:hAnsi="仿宋" w:cs="宋体" w:hint="eastAsia"/>
                <w:b/>
                <w:bCs/>
                <w:kern w:val="2"/>
                <w:sz w:val="21"/>
                <w:szCs w:val="21"/>
              </w:rPr>
              <w:t>参考品牌</w:t>
            </w:r>
          </w:p>
        </w:tc>
      </w:tr>
      <w:tr w:rsidR="000377FC" w:rsidRPr="000377FC" w:rsidTr="008B1269">
        <w:tc>
          <w:tcPr>
            <w:tcW w:w="701" w:type="dxa"/>
            <w:shd w:val="clear" w:color="auto" w:fill="auto"/>
            <w:tcMar>
              <w:top w:w="0" w:type="dxa"/>
              <w:left w:w="105" w:type="dxa"/>
              <w:bottom w:w="0" w:type="dxa"/>
              <w:right w:w="105" w:type="dxa"/>
            </w:tcMar>
            <w:vAlign w:val="center"/>
          </w:tcPr>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t>1</w:t>
            </w:r>
          </w:p>
        </w:tc>
        <w:tc>
          <w:tcPr>
            <w:tcW w:w="1276" w:type="dxa"/>
            <w:shd w:val="clear" w:color="auto" w:fill="auto"/>
            <w:tcMar>
              <w:top w:w="0" w:type="dxa"/>
              <w:left w:w="105" w:type="dxa"/>
              <w:bottom w:w="0" w:type="dxa"/>
              <w:right w:w="105" w:type="dxa"/>
            </w:tcMar>
            <w:vAlign w:val="center"/>
          </w:tcPr>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t>云桌面管理平台</w:t>
            </w:r>
          </w:p>
        </w:tc>
        <w:tc>
          <w:tcPr>
            <w:tcW w:w="4649" w:type="dxa"/>
            <w:shd w:val="clear" w:color="auto" w:fill="auto"/>
            <w:tcMar>
              <w:top w:w="0" w:type="dxa"/>
              <w:left w:w="105" w:type="dxa"/>
              <w:bottom w:w="0" w:type="dxa"/>
              <w:right w:w="105" w:type="dxa"/>
            </w:tcMar>
            <w:vAlign w:val="center"/>
          </w:tcPr>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t>1.2U机架式服务器；≥2颗Intel 4210 (2.2GHz/10核)；≥128GB 2933MHz DDR4内存；实配≥2*480G SSD硬盘+3*2.4T 10K SAS硬盘；</w:t>
            </w:r>
          </w:p>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t>2.配置独立</w:t>
            </w:r>
            <w:r w:rsidRPr="000377FC">
              <w:rPr>
                <w:rFonts w:ascii="仿宋" w:eastAsia="仿宋" w:hAnsi="仿宋" w:cs="宋体"/>
                <w:kern w:val="2"/>
                <w:sz w:val="21"/>
                <w:szCs w:val="21"/>
              </w:rPr>
              <w:t xml:space="preserve">Raid阵列卡，支持RAID0/1/10/5/6/50/60，≥2GB缓存，支持缓存数据保护，且后备保护时间不受限制； </w:t>
            </w:r>
          </w:p>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t>3.</w:t>
            </w:r>
            <w:r w:rsidRPr="000377FC">
              <w:rPr>
                <w:rFonts w:ascii="华文仿宋" w:eastAsia="华文仿宋" w:hAnsi="华文仿宋" w:cs="宋体" w:hint="eastAsia"/>
                <w:kern w:val="2"/>
                <w:sz w:val="20"/>
                <w:szCs w:val="21"/>
              </w:rPr>
              <w:t>★</w:t>
            </w:r>
            <w:r w:rsidRPr="000377FC">
              <w:rPr>
                <w:rFonts w:ascii="仿宋" w:eastAsia="仿宋" w:hAnsi="仿宋" w:cs="宋体" w:hint="eastAsia"/>
                <w:kern w:val="2"/>
                <w:sz w:val="21"/>
                <w:szCs w:val="21"/>
              </w:rPr>
              <w:t>最多提供≥</w:t>
            </w:r>
            <w:r w:rsidRPr="000377FC">
              <w:rPr>
                <w:rFonts w:ascii="仿宋" w:eastAsia="仿宋" w:hAnsi="仿宋" w:cs="宋体"/>
                <w:kern w:val="2"/>
                <w:sz w:val="21"/>
                <w:szCs w:val="21"/>
              </w:rPr>
              <w:t>10个PCIE3.0插槽，要求提供官网截图并加盖设备厂商公章证明</w:t>
            </w:r>
          </w:p>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t>4.配置≥</w:t>
            </w:r>
            <w:r w:rsidRPr="000377FC">
              <w:rPr>
                <w:rFonts w:ascii="仿宋" w:eastAsia="仿宋" w:hAnsi="仿宋" w:cs="宋体"/>
                <w:kern w:val="2"/>
                <w:sz w:val="21"/>
                <w:szCs w:val="21"/>
              </w:rPr>
              <w:t>4个10/100/1000M-BaseT 以太网接口；</w:t>
            </w:r>
          </w:p>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t>5.</w:t>
            </w:r>
            <w:r w:rsidRPr="000377FC">
              <w:rPr>
                <w:rFonts w:ascii="华文仿宋" w:eastAsia="华文仿宋" w:hAnsi="华文仿宋" w:cs="宋体" w:hint="eastAsia"/>
                <w:kern w:val="2"/>
                <w:sz w:val="20"/>
                <w:szCs w:val="21"/>
              </w:rPr>
              <w:t>★</w:t>
            </w:r>
            <w:r w:rsidRPr="000377FC">
              <w:rPr>
                <w:rFonts w:ascii="仿宋" w:eastAsia="仿宋" w:hAnsi="仿宋" w:cs="宋体" w:hint="eastAsia"/>
                <w:kern w:val="2"/>
                <w:sz w:val="21"/>
                <w:szCs w:val="21"/>
              </w:rPr>
              <w:t>支持≥</w:t>
            </w:r>
            <w:r w:rsidRPr="000377FC">
              <w:rPr>
                <w:rFonts w:ascii="仿宋" w:eastAsia="仿宋" w:hAnsi="仿宋" w:cs="宋体"/>
                <w:kern w:val="2"/>
                <w:sz w:val="21"/>
                <w:szCs w:val="21"/>
              </w:rPr>
              <w:t>3块双宽企业级GPU，要求提供官网截图并加盖设备厂商公章证明</w:t>
            </w:r>
          </w:p>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t>6.</w:t>
            </w:r>
            <w:r w:rsidRPr="000377FC">
              <w:rPr>
                <w:rFonts w:ascii="华文仿宋" w:eastAsia="华文仿宋" w:hAnsi="华文仿宋" w:cs="宋体" w:hint="eastAsia"/>
                <w:kern w:val="2"/>
                <w:sz w:val="20"/>
                <w:szCs w:val="21"/>
              </w:rPr>
              <w:t>★</w:t>
            </w:r>
            <w:r w:rsidRPr="000377FC">
              <w:rPr>
                <w:rFonts w:ascii="仿宋" w:eastAsia="仿宋" w:hAnsi="仿宋" w:cs="宋体" w:hint="eastAsia"/>
                <w:kern w:val="2"/>
                <w:sz w:val="21"/>
                <w:szCs w:val="21"/>
              </w:rPr>
              <w:t>支持机箱入侵侦测，在外部打开机箱时提供报警功能，要求提供官网截图并加盖设备制造厂商公章证明</w:t>
            </w:r>
          </w:p>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t>7.</w:t>
            </w:r>
            <w:r w:rsidRPr="000377FC">
              <w:rPr>
                <w:rFonts w:ascii="华文仿宋" w:eastAsia="华文仿宋" w:hAnsi="华文仿宋" w:cs="宋体" w:hint="eastAsia"/>
                <w:kern w:val="2"/>
                <w:sz w:val="20"/>
                <w:szCs w:val="21"/>
              </w:rPr>
              <w:t>★</w:t>
            </w:r>
            <w:r w:rsidRPr="000377FC">
              <w:rPr>
                <w:rFonts w:ascii="仿宋" w:eastAsia="仿宋" w:hAnsi="仿宋" w:cs="宋体" w:hint="eastAsia"/>
                <w:kern w:val="2"/>
                <w:sz w:val="21"/>
                <w:szCs w:val="21"/>
              </w:rPr>
              <w:t>设备静电放电抗扰度、电磁声辐射抗扰度、连续波传导抗扰度、工频磁场抗扰度、浪涌抗扰度、脉冲群抗扰度等全部需经过第三方权威测试机构检测，要求测试达到</w:t>
            </w:r>
            <w:r w:rsidRPr="000377FC">
              <w:rPr>
                <w:rFonts w:ascii="仿宋" w:eastAsia="仿宋" w:hAnsi="仿宋" w:cs="宋体"/>
                <w:kern w:val="2"/>
                <w:sz w:val="21"/>
                <w:szCs w:val="21"/>
              </w:rPr>
              <w:t>A级，投标时提供相关测试报告复印件并加盖设备制造厂商公章证明</w:t>
            </w:r>
          </w:p>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t>为保证桌面的可靠性，要求桌面服务器、</w:t>
            </w:r>
          </w:p>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t>8.</w:t>
            </w:r>
            <w:r w:rsidRPr="000377FC">
              <w:rPr>
                <w:rFonts w:ascii="华文仿宋" w:eastAsia="华文仿宋" w:hAnsi="华文仿宋" w:cs="宋体" w:hint="eastAsia"/>
                <w:kern w:val="2"/>
                <w:sz w:val="20"/>
                <w:szCs w:val="21"/>
              </w:rPr>
              <w:t>★</w:t>
            </w:r>
            <w:r w:rsidRPr="000377FC">
              <w:rPr>
                <w:rFonts w:ascii="仿宋" w:eastAsia="仿宋" w:hAnsi="仿宋" w:cs="宋体" w:hint="eastAsia"/>
                <w:kern w:val="2"/>
                <w:sz w:val="21"/>
                <w:szCs w:val="21"/>
              </w:rPr>
              <w:t>投标产品制造厂商须具备中国信息安全测评中心颁发的《中国国家信息安全漏洞库</w:t>
            </w:r>
            <w:r w:rsidRPr="000377FC">
              <w:rPr>
                <w:rFonts w:ascii="仿宋" w:eastAsia="仿宋" w:hAnsi="仿宋" w:cs="宋体"/>
                <w:kern w:val="2"/>
                <w:sz w:val="21"/>
                <w:szCs w:val="21"/>
              </w:rPr>
              <w:t>CNNVD》一级支撑单位证书，提供证书复印件、官网截图</w:t>
            </w:r>
            <w:r w:rsidRPr="000377FC">
              <w:rPr>
                <w:rFonts w:ascii="仿宋" w:eastAsia="仿宋" w:hAnsi="仿宋" w:cs="宋体"/>
                <w:kern w:val="2"/>
                <w:sz w:val="21"/>
                <w:szCs w:val="21"/>
              </w:rPr>
              <w:lastRenderedPageBreak/>
              <w:t>并加盖设备厂商公章证明；</w:t>
            </w:r>
          </w:p>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t>9.</w:t>
            </w:r>
            <w:r w:rsidRPr="000377FC">
              <w:rPr>
                <w:rFonts w:ascii="华文仿宋" w:eastAsia="华文仿宋" w:hAnsi="华文仿宋" w:cs="宋体" w:hint="eastAsia"/>
                <w:kern w:val="2"/>
                <w:sz w:val="20"/>
                <w:szCs w:val="21"/>
              </w:rPr>
              <w:t>★</w:t>
            </w:r>
            <w:r w:rsidRPr="000377FC">
              <w:rPr>
                <w:rFonts w:ascii="仿宋" w:eastAsia="仿宋" w:hAnsi="仿宋" w:cs="宋体" w:hint="eastAsia"/>
                <w:kern w:val="2"/>
                <w:sz w:val="21"/>
                <w:szCs w:val="21"/>
              </w:rPr>
              <w:t>投标产品制造厂商须进入国家信息安全漏洞共享平台（</w:t>
            </w:r>
            <w:r w:rsidRPr="000377FC">
              <w:rPr>
                <w:rFonts w:ascii="仿宋" w:eastAsia="仿宋" w:hAnsi="仿宋" w:cs="宋体"/>
                <w:kern w:val="2"/>
                <w:sz w:val="21"/>
                <w:szCs w:val="21"/>
              </w:rPr>
              <w:t>CNVD）技术组成员，要求提供证书复印件并加盖设备厂商公章证明；</w:t>
            </w:r>
          </w:p>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t>10.</w:t>
            </w:r>
            <w:r w:rsidRPr="000377FC">
              <w:rPr>
                <w:rFonts w:ascii="华文仿宋" w:eastAsia="华文仿宋" w:hAnsi="华文仿宋" w:cs="宋体" w:hint="eastAsia"/>
                <w:kern w:val="2"/>
                <w:sz w:val="20"/>
                <w:szCs w:val="21"/>
              </w:rPr>
              <w:t>★</w:t>
            </w:r>
            <w:r w:rsidRPr="000377FC">
              <w:rPr>
                <w:rFonts w:ascii="仿宋" w:eastAsia="仿宋" w:hAnsi="仿宋" w:cs="宋体" w:hint="eastAsia"/>
                <w:kern w:val="2"/>
                <w:sz w:val="21"/>
                <w:szCs w:val="21"/>
              </w:rPr>
              <w:t>投标产品制造厂商须获得由中国通信企业协会颁发的网络安全风险评估资质，要求提供证书复印件并加盖设备制造厂商公章证明</w:t>
            </w:r>
          </w:p>
        </w:tc>
        <w:tc>
          <w:tcPr>
            <w:tcW w:w="850" w:type="dxa"/>
            <w:shd w:val="clear" w:color="auto" w:fill="auto"/>
            <w:tcMar>
              <w:top w:w="0" w:type="dxa"/>
              <w:left w:w="105" w:type="dxa"/>
              <w:bottom w:w="0" w:type="dxa"/>
              <w:right w:w="105" w:type="dxa"/>
            </w:tcMar>
            <w:vAlign w:val="center"/>
          </w:tcPr>
          <w:p w:rsidR="000377FC" w:rsidRPr="000377FC" w:rsidRDefault="000377FC" w:rsidP="000377FC">
            <w:pPr>
              <w:adjustRightInd/>
              <w:snapToGrid/>
              <w:spacing w:after="0"/>
              <w:jc w:val="center"/>
              <w:rPr>
                <w:rFonts w:ascii="仿宋" w:eastAsia="仿宋" w:hAnsi="仿宋" w:cs="宋体"/>
                <w:kern w:val="2"/>
                <w:sz w:val="21"/>
                <w:szCs w:val="21"/>
              </w:rPr>
            </w:pPr>
            <w:r w:rsidRPr="000377FC">
              <w:rPr>
                <w:rFonts w:ascii="仿宋" w:eastAsia="仿宋" w:hAnsi="仿宋" w:cs="宋体" w:hint="eastAsia"/>
                <w:kern w:val="2"/>
                <w:sz w:val="21"/>
                <w:szCs w:val="21"/>
              </w:rPr>
              <w:lastRenderedPageBreak/>
              <w:t>1套</w:t>
            </w:r>
          </w:p>
        </w:tc>
        <w:tc>
          <w:tcPr>
            <w:tcW w:w="1701" w:type="dxa"/>
            <w:vAlign w:val="center"/>
          </w:tcPr>
          <w:p w:rsidR="000377FC" w:rsidRPr="000377FC" w:rsidRDefault="000377FC" w:rsidP="000377FC">
            <w:pPr>
              <w:adjustRightInd/>
              <w:snapToGrid/>
              <w:spacing w:after="0"/>
              <w:jc w:val="center"/>
              <w:rPr>
                <w:rFonts w:ascii="仿宋" w:eastAsia="仿宋" w:hAnsi="仿宋" w:cs="宋体"/>
                <w:kern w:val="2"/>
                <w:sz w:val="21"/>
                <w:szCs w:val="21"/>
              </w:rPr>
            </w:pPr>
            <w:r w:rsidRPr="000377FC">
              <w:rPr>
                <w:rFonts w:ascii="仿宋" w:eastAsia="仿宋" w:hAnsi="仿宋" w:cs="宋体" w:hint="eastAsia"/>
                <w:kern w:val="2"/>
                <w:sz w:val="21"/>
                <w:szCs w:val="21"/>
              </w:rPr>
              <w:t>华三、锐捷、深信服</w:t>
            </w:r>
          </w:p>
        </w:tc>
      </w:tr>
      <w:tr w:rsidR="000377FC" w:rsidRPr="000377FC" w:rsidTr="008B1269">
        <w:tc>
          <w:tcPr>
            <w:tcW w:w="701" w:type="dxa"/>
            <w:shd w:val="clear" w:color="auto" w:fill="auto"/>
            <w:tcMar>
              <w:top w:w="0" w:type="dxa"/>
              <w:left w:w="105" w:type="dxa"/>
              <w:bottom w:w="0" w:type="dxa"/>
              <w:right w:w="105" w:type="dxa"/>
            </w:tcMar>
            <w:vAlign w:val="center"/>
          </w:tcPr>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lastRenderedPageBreak/>
              <w:t>2</w:t>
            </w:r>
          </w:p>
        </w:tc>
        <w:tc>
          <w:tcPr>
            <w:tcW w:w="1276" w:type="dxa"/>
            <w:shd w:val="clear" w:color="auto" w:fill="auto"/>
            <w:tcMar>
              <w:top w:w="0" w:type="dxa"/>
              <w:left w:w="105" w:type="dxa"/>
              <w:bottom w:w="0" w:type="dxa"/>
              <w:right w:w="105" w:type="dxa"/>
            </w:tcMar>
            <w:vAlign w:val="center"/>
          </w:tcPr>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t>云终端</w:t>
            </w:r>
          </w:p>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t>（胖终端）</w:t>
            </w:r>
          </w:p>
        </w:tc>
        <w:tc>
          <w:tcPr>
            <w:tcW w:w="4649" w:type="dxa"/>
            <w:shd w:val="clear" w:color="auto" w:fill="auto"/>
            <w:tcMar>
              <w:top w:w="0" w:type="dxa"/>
              <w:left w:w="105" w:type="dxa"/>
              <w:bottom w:w="0" w:type="dxa"/>
              <w:right w:w="105" w:type="dxa"/>
            </w:tcMar>
            <w:vAlign w:val="center"/>
          </w:tcPr>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t>不低于Intel 9代i5处理器，主频≥2.9GHz，睿频≥4.1GHz，核数≥6核6线；使用DDR4内存≥8G，存储≥256G SSD；至少提供1个千兆自适应电口网卡；支持≥8个USB标准接口，其中USB3.0不少于四个；提供不少于三种的的显示接口，至少包括DP口、VGA接口、HDMI接口，串口数不少于1个。显示器21.5英寸；健鼠套装；</w:t>
            </w:r>
          </w:p>
        </w:tc>
        <w:tc>
          <w:tcPr>
            <w:tcW w:w="850" w:type="dxa"/>
            <w:shd w:val="clear" w:color="auto" w:fill="auto"/>
            <w:tcMar>
              <w:top w:w="0" w:type="dxa"/>
              <w:left w:w="105" w:type="dxa"/>
              <w:bottom w:w="0" w:type="dxa"/>
              <w:right w:w="105" w:type="dxa"/>
            </w:tcMar>
            <w:vAlign w:val="center"/>
          </w:tcPr>
          <w:p w:rsidR="000377FC" w:rsidRPr="000377FC" w:rsidRDefault="000377FC" w:rsidP="000377FC">
            <w:pPr>
              <w:adjustRightInd/>
              <w:snapToGrid/>
              <w:spacing w:after="0"/>
              <w:jc w:val="center"/>
              <w:rPr>
                <w:rFonts w:ascii="仿宋" w:eastAsia="仿宋" w:hAnsi="仿宋" w:cs="宋体"/>
                <w:kern w:val="2"/>
                <w:sz w:val="21"/>
                <w:szCs w:val="21"/>
              </w:rPr>
            </w:pPr>
            <w:r w:rsidRPr="000377FC">
              <w:rPr>
                <w:rFonts w:ascii="仿宋" w:eastAsia="仿宋" w:hAnsi="仿宋" w:cs="宋体" w:hint="eastAsia"/>
                <w:kern w:val="2"/>
                <w:sz w:val="21"/>
                <w:szCs w:val="21"/>
              </w:rPr>
              <w:t>100套</w:t>
            </w:r>
          </w:p>
        </w:tc>
        <w:tc>
          <w:tcPr>
            <w:tcW w:w="1701" w:type="dxa"/>
            <w:vAlign w:val="center"/>
          </w:tcPr>
          <w:p w:rsidR="000377FC" w:rsidRPr="000377FC" w:rsidRDefault="000377FC" w:rsidP="000377FC">
            <w:pPr>
              <w:adjustRightInd/>
              <w:snapToGrid/>
              <w:spacing w:after="0"/>
              <w:jc w:val="center"/>
              <w:rPr>
                <w:rFonts w:ascii="仿宋" w:eastAsia="仿宋" w:hAnsi="仿宋" w:cs="宋体"/>
                <w:kern w:val="2"/>
                <w:sz w:val="21"/>
                <w:szCs w:val="21"/>
              </w:rPr>
            </w:pPr>
            <w:r w:rsidRPr="000377FC">
              <w:rPr>
                <w:rFonts w:ascii="仿宋" w:eastAsia="仿宋" w:hAnsi="仿宋" w:cs="宋体" w:hint="eastAsia"/>
                <w:kern w:val="2"/>
                <w:sz w:val="21"/>
                <w:szCs w:val="21"/>
              </w:rPr>
              <w:t>华三、锐捷、</w:t>
            </w:r>
            <w:r w:rsidRPr="000377FC">
              <w:rPr>
                <w:rFonts w:ascii="仿宋" w:eastAsia="仿宋" w:hAnsi="仿宋" w:cs="宋体"/>
                <w:kern w:val="2"/>
                <w:sz w:val="21"/>
                <w:szCs w:val="21"/>
              </w:rPr>
              <w:t>DELL</w:t>
            </w:r>
          </w:p>
        </w:tc>
      </w:tr>
      <w:tr w:rsidR="000377FC" w:rsidRPr="000377FC" w:rsidTr="008B1269">
        <w:tc>
          <w:tcPr>
            <w:tcW w:w="701" w:type="dxa"/>
            <w:shd w:val="clear" w:color="auto" w:fill="auto"/>
            <w:tcMar>
              <w:top w:w="0" w:type="dxa"/>
              <w:left w:w="105" w:type="dxa"/>
              <w:bottom w:w="0" w:type="dxa"/>
              <w:right w:w="105" w:type="dxa"/>
            </w:tcMar>
            <w:vAlign w:val="center"/>
          </w:tcPr>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t>3</w:t>
            </w:r>
          </w:p>
        </w:tc>
        <w:tc>
          <w:tcPr>
            <w:tcW w:w="1276" w:type="dxa"/>
            <w:shd w:val="clear" w:color="auto" w:fill="auto"/>
            <w:tcMar>
              <w:top w:w="0" w:type="dxa"/>
              <w:left w:w="105" w:type="dxa"/>
              <w:bottom w:w="0" w:type="dxa"/>
              <w:right w:w="105" w:type="dxa"/>
            </w:tcMar>
            <w:vAlign w:val="center"/>
          </w:tcPr>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t>桌面管理软件授权</w:t>
            </w:r>
          </w:p>
        </w:tc>
        <w:tc>
          <w:tcPr>
            <w:tcW w:w="4649" w:type="dxa"/>
            <w:shd w:val="clear" w:color="auto" w:fill="auto"/>
            <w:tcMar>
              <w:top w:w="0" w:type="dxa"/>
              <w:left w:w="105" w:type="dxa"/>
              <w:bottom w:w="0" w:type="dxa"/>
              <w:right w:w="105" w:type="dxa"/>
            </w:tcMar>
            <w:vAlign w:val="center"/>
          </w:tcPr>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t>1.</w:t>
            </w:r>
            <w:r w:rsidRPr="000377FC">
              <w:rPr>
                <w:rFonts w:ascii="华文仿宋" w:eastAsia="华文仿宋" w:hAnsi="华文仿宋" w:cs="宋体" w:hint="eastAsia"/>
                <w:kern w:val="2"/>
                <w:sz w:val="20"/>
                <w:szCs w:val="21"/>
              </w:rPr>
              <w:t>★</w:t>
            </w:r>
            <w:r w:rsidRPr="000377FC">
              <w:rPr>
                <w:rFonts w:ascii="仿宋" w:eastAsia="仿宋" w:hAnsi="仿宋" w:cs="宋体" w:hint="eastAsia"/>
                <w:kern w:val="2"/>
                <w:sz w:val="21"/>
                <w:szCs w:val="21"/>
              </w:rPr>
              <w:t>支持主流云桌面及应用架构，具备发布VDI、IDV、VOI及虚拟应用等多种桌面及应用服务的能力。提供功能界面截图并加盖设备制造厂商公章证明。</w:t>
            </w:r>
          </w:p>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t>2.</w:t>
            </w:r>
            <w:r w:rsidRPr="000377FC">
              <w:rPr>
                <w:rFonts w:ascii="华文仿宋" w:eastAsia="华文仿宋" w:hAnsi="华文仿宋" w:cs="宋体" w:hint="eastAsia"/>
                <w:kern w:val="2"/>
                <w:sz w:val="20"/>
                <w:szCs w:val="21"/>
              </w:rPr>
              <w:t>★</w:t>
            </w:r>
            <w:r w:rsidRPr="000377FC">
              <w:rPr>
                <w:rFonts w:ascii="仿宋" w:eastAsia="仿宋" w:hAnsi="仿宋" w:cs="宋体" w:hint="eastAsia"/>
                <w:kern w:val="2"/>
                <w:sz w:val="21"/>
                <w:szCs w:val="21"/>
              </w:rPr>
              <w:t>支持云盘功能，可实现用户数据的长久保存和便捷访问。云盘数据存储路径可配置，具备在线扩容能力。为了保障个人数据安全性，访问云盘需要进行身份认证，支持对接</w:t>
            </w:r>
            <w:r w:rsidRPr="000377FC">
              <w:rPr>
                <w:rFonts w:ascii="仿宋" w:eastAsia="仿宋" w:hAnsi="仿宋" w:cs="宋体"/>
                <w:kern w:val="2"/>
                <w:sz w:val="21"/>
                <w:szCs w:val="21"/>
              </w:rPr>
              <w:t>LDAP域控认证，支持云桌面和网盘实现单点登录。提供功能界面截图并加盖设备制造厂商公章证明。</w:t>
            </w:r>
          </w:p>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t>3.</w:t>
            </w:r>
            <w:r w:rsidRPr="000377FC">
              <w:rPr>
                <w:rFonts w:ascii="华文仿宋" w:eastAsia="华文仿宋" w:hAnsi="华文仿宋" w:cs="宋体" w:hint="eastAsia"/>
                <w:kern w:val="2"/>
                <w:sz w:val="20"/>
                <w:szCs w:val="21"/>
              </w:rPr>
              <w:t>★</w:t>
            </w:r>
            <w:r w:rsidRPr="000377FC">
              <w:rPr>
                <w:rFonts w:ascii="仿宋" w:eastAsia="仿宋" w:hAnsi="仿宋" w:cs="宋体" w:hint="eastAsia"/>
                <w:kern w:val="2"/>
                <w:sz w:val="21"/>
                <w:szCs w:val="21"/>
              </w:rPr>
              <w:t>支持不依赖第三方平台及组件，可实现终端精细化监控及管理，支持终端资源监控（CPU利用率、内存使用率、 网络吞吐、磁盘容量及利用率、磁盘IO延迟、分区占用率等，每项目指标可以展开查看，查看指定时间内情况）、主要进程服务监控，支持设置监控间隔及是否上报监控信息。提供功能界面截图并加盖设备制造厂商公章证明。</w:t>
            </w:r>
          </w:p>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t>4.</w:t>
            </w:r>
            <w:r w:rsidRPr="000377FC">
              <w:rPr>
                <w:rFonts w:ascii="华文仿宋" w:eastAsia="华文仿宋" w:hAnsi="华文仿宋" w:cs="宋体" w:hint="eastAsia"/>
                <w:kern w:val="2"/>
                <w:sz w:val="20"/>
                <w:szCs w:val="21"/>
              </w:rPr>
              <w:t>★</w:t>
            </w:r>
            <w:r w:rsidRPr="000377FC">
              <w:rPr>
                <w:rFonts w:ascii="仿宋" w:eastAsia="仿宋" w:hAnsi="仿宋" w:cs="宋体" w:hint="eastAsia"/>
                <w:kern w:val="2"/>
                <w:sz w:val="21"/>
                <w:szCs w:val="21"/>
              </w:rPr>
              <w:t>支持开启或关闭终端信息上报功能，开启信息上报后，终端监控信息将保存于平台存储中，针对无效监控信息，可以灵活进行清理。提供功能界面截图并加盖设备制造厂商公章证明。</w:t>
            </w:r>
          </w:p>
        </w:tc>
        <w:tc>
          <w:tcPr>
            <w:tcW w:w="850" w:type="dxa"/>
            <w:shd w:val="clear" w:color="auto" w:fill="auto"/>
            <w:tcMar>
              <w:top w:w="0" w:type="dxa"/>
              <w:left w:w="105" w:type="dxa"/>
              <w:bottom w:w="0" w:type="dxa"/>
              <w:right w:w="105" w:type="dxa"/>
            </w:tcMar>
            <w:vAlign w:val="center"/>
          </w:tcPr>
          <w:p w:rsidR="000377FC" w:rsidRPr="000377FC" w:rsidRDefault="000377FC" w:rsidP="000377FC">
            <w:pPr>
              <w:adjustRightInd/>
              <w:snapToGrid/>
              <w:spacing w:after="0"/>
              <w:jc w:val="center"/>
              <w:rPr>
                <w:rFonts w:ascii="仿宋" w:eastAsia="仿宋" w:hAnsi="仿宋" w:cs="宋体"/>
                <w:kern w:val="2"/>
                <w:sz w:val="21"/>
                <w:szCs w:val="21"/>
              </w:rPr>
            </w:pPr>
            <w:r w:rsidRPr="000377FC">
              <w:rPr>
                <w:rFonts w:ascii="仿宋" w:eastAsia="仿宋" w:hAnsi="仿宋" w:cs="宋体" w:hint="eastAsia"/>
                <w:kern w:val="2"/>
                <w:sz w:val="21"/>
                <w:szCs w:val="21"/>
              </w:rPr>
              <w:t>100点</w:t>
            </w:r>
          </w:p>
        </w:tc>
        <w:tc>
          <w:tcPr>
            <w:tcW w:w="1701" w:type="dxa"/>
            <w:vAlign w:val="center"/>
          </w:tcPr>
          <w:p w:rsidR="000377FC" w:rsidRPr="000377FC" w:rsidRDefault="000377FC" w:rsidP="000377FC">
            <w:pPr>
              <w:adjustRightInd/>
              <w:snapToGrid/>
              <w:spacing w:after="0"/>
              <w:jc w:val="center"/>
              <w:rPr>
                <w:rFonts w:ascii="仿宋" w:eastAsia="仿宋" w:hAnsi="仿宋" w:cs="宋体"/>
                <w:kern w:val="2"/>
                <w:sz w:val="21"/>
                <w:szCs w:val="21"/>
              </w:rPr>
            </w:pPr>
            <w:r w:rsidRPr="000377FC">
              <w:rPr>
                <w:rFonts w:ascii="仿宋" w:eastAsia="仿宋" w:hAnsi="仿宋" w:cs="宋体" w:hint="eastAsia"/>
                <w:kern w:val="2"/>
                <w:sz w:val="21"/>
                <w:szCs w:val="21"/>
              </w:rPr>
              <w:t>华三、锐捷、深信服</w:t>
            </w:r>
          </w:p>
        </w:tc>
      </w:tr>
      <w:tr w:rsidR="000377FC" w:rsidRPr="000377FC" w:rsidTr="008B1269">
        <w:tc>
          <w:tcPr>
            <w:tcW w:w="701" w:type="dxa"/>
            <w:shd w:val="clear" w:color="auto" w:fill="auto"/>
            <w:tcMar>
              <w:top w:w="0" w:type="dxa"/>
              <w:left w:w="105" w:type="dxa"/>
              <w:bottom w:w="0" w:type="dxa"/>
              <w:right w:w="105" w:type="dxa"/>
            </w:tcMar>
            <w:vAlign w:val="center"/>
          </w:tcPr>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t>4</w:t>
            </w:r>
          </w:p>
        </w:tc>
        <w:tc>
          <w:tcPr>
            <w:tcW w:w="1276" w:type="dxa"/>
            <w:shd w:val="clear" w:color="auto" w:fill="auto"/>
            <w:tcMar>
              <w:top w:w="0" w:type="dxa"/>
              <w:left w:w="105" w:type="dxa"/>
              <w:bottom w:w="0" w:type="dxa"/>
              <w:right w:w="105" w:type="dxa"/>
            </w:tcMar>
            <w:vAlign w:val="center"/>
          </w:tcPr>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t>系统集成服务</w:t>
            </w:r>
          </w:p>
        </w:tc>
        <w:tc>
          <w:tcPr>
            <w:tcW w:w="4649" w:type="dxa"/>
            <w:shd w:val="clear" w:color="auto" w:fill="auto"/>
            <w:tcMar>
              <w:top w:w="0" w:type="dxa"/>
              <w:left w:w="105" w:type="dxa"/>
              <w:bottom w:w="0" w:type="dxa"/>
              <w:right w:w="105" w:type="dxa"/>
            </w:tcMar>
            <w:vAlign w:val="center"/>
          </w:tcPr>
          <w:p w:rsidR="000377FC" w:rsidRPr="000377FC" w:rsidRDefault="000377FC" w:rsidP="000377FC">
            <w:pPr>
              <w:adjustRightInd/>
              <w:snapToGrid/>
              <w:spacing w:after="0"/>
              <w:rPr>
                <w:rFonts w:ascii="仿宋" w:eastAsia="仿宋" w:hAnsi="仿宋" w:cs="宋体"/>
                <w:kern w:val="2"/>
                <w:sz w:val="21"/>
                <w:szCs w:val="21"/>
              </w:rPr>
            </w:pPr>
            <w:r w:rsidRPr="000377FC">
              <w:rPr>
                <w:rFonts w:ascii="仿宋" w:eastAsia="仿宋" w:hAnsi="仿宋" w:cs="宋体" w:hint="eastAsia"/>
                <w:kern w:val="2"/>
                <w:sz w:val="21"/>
                <w:szCs w:val="21"/>
              </w:rPr>
              <w:t>提供项目相关的附材及安装调试服务；</w:t>
            </w:r>
            <w:r w:rsidRPr="000377FC">
              <w:rPr>
                <w:rFonts w:ascii="仿宋" w:eastAsia="仿宋" w:hAnsi="仿宋" w:cs="宋体" w:hint="eastAsia"/>
                <w:b/>
                <w:bCs/>
                <w:kern w:val="2"/>
                <w:sz w:val="21"/>
                <w:szCs w:val="21"/>
              </w:rPr>
              <w:t>投标供应商须具备</w:t>
            </w:r>
            <w:r w:rsidRPr="000377FC">
              <w:rPr>
                <w:rFonts w:ascii="仿宋" w:eastAsia="仿宋" w:hAnsi="仿宋" w:cs="宋体"/>
                <w:b/>
                <w:bCs/>
                <w:kern w:val="2"/>
                <w:sz w:val="21"/>
                <w:szCs w:val="21"/>
              </w:rPr>
              <w:t>ITSS</w:t>
            </w:r>
            <w:r w:rsidRPr="000377FC">
              <w:rPr>
                <w:rFonts w:ascii="仿宋" w:eastAsia="仿宋" w:hAnsi="仿宋" w:cs="宋体" w:hint="eastAsia"/>
                <w:b/>
                <w:bCs/>
                <w:kern w:val="2"/>
                <w:sz w:val="21"/>
                <w:szCs w:val="21"/>
              </w:rPr>
              <w:t>安全集成三级资质或以上证书；</w:t>
            </w:r>
          </w:p>
        </w:tc>
        <w:tc>
          <w:tcPr>
            <w:tcW w:w="850" w:type="dxa"/>
            <w:shd w:val="clear" w:color="auto" w:fill="auto"/>
            <w:tcMar>
              <w:top w:w="0" w:type="dxa"/>
              <w:left w:w="105" w:type="dxa"/>
              <w:bottom w:w="0" w:type="dxa"/>
              <w:right w:w="105" w:type="dxa"/>
            </w:tcMar>
            <w:vAlign w:val="center"/>
          </w:tcPr>
          <w:p w:rsidR="000377FC" w:rsidRPr="000377FC" w:rsidRDefault="000377FC" w:rsidP="000377FC">
            <w:pPr>
              <w:adjustRightInd/>
              <w:snapToGrid/>
              <w:spacing w:after="0"/>
              <w:jc w:val="center"/>
              <w:rPr>
                <w:rFonts w:ascii="仿宋" w:eastAsia="仿宋" w:hAnsi="仿宋" w:cs="宋体"/>
                <w:kern w:val="2"/>
                <w:sz w:val="21"/>
                <w:szCs w:val="21"/>
              </w:rPr>
            </w:pPr>
            <w:r w:rsidRPr="000377FC">
              <w:rPr>
                <w:rFonts w:ascii="仿宋" w:eastAsia="仿宋" w:hAnsi="仿宋" w:cs="宋体" w:hint="eastAsia"/>
                <w:kern w:val="2"/>
                <w:sz w:val="21"/>
                <w:szCs w:val="21"/>
              </w:rPr>
              <w:t>1套</w:t>
            </w:r>
          </w:p>
        </w:tc>
        <w:tc>
          <w:tcPr>
            <w:tcW w:w="1701" w:type="dxa"/>
            <w:vAlign w:val="center"/>
          </w:tcPr>
          <w:p w:rsidR="000377FC" w:rsidRPr="000377FC" w:rsidRDefault="000377FC" w:rsidP="000377FC">
            <w:pPr>
              <w:adjustRightInd/>
              <w:snapToGrid/>
              <w:spacing w:after="0"/>
              <w:jc w:val="center"/>
              <w:rPr>
                <w:rFonts w:ascii="仿宋" w:eastAsia="仿宋" w:hAnsi="仿宋" w:cs="宋体"/>
                <w:kern w:val="2"/>
                <w:sz w:val="21"/>
                <w:szCs w:val="21"/>
              </w:rPr>
            </w:pPr>
            <w:r w:rsidRPr="000377FC">
              <w:rPr>
                <w:rFonts w:ascii="仿宋" w:eastAsia="仿宋" w:hAnsi="仿宋" w:cs="宋体" w:hint="eastAsia"/>
                <w:kern w:val="2"/>
                <w:sz w:val="21"/>
                <w:szCs w:val="21"/>
              </w:rPr>
              <w:t>国产</w:t>
            </w:r>
          </w:p>
        </w:tc>
      </w:tr>
    </w:tbl>
    <w:p w:rsidR="002267DC" w:rsidRDefault="002267DC" w:rsidP="00BC46D5">
      <w:pPr>
        <w:rPr>
          <w:rFonts w:asciiTheme="minorEastAsia" w:hAnsiTheme="minorEastAsia"/>
          <w:b/>
          <w:sz w:val="32"/>
          <w:szCs w:val="32"/>
        </w:rPr>
      </w:pPr>
    </w:p>
    <w:sectPr w:rsidR="002267DC" w:rsidSect="004A034A">
      <w:foot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292" w:rsidRDefault="003E2292" w:rsidP="00E65C02">
      <w:pPr>
        <w:spacing w:after="0"/>
      </w:pPr>
      <w:r>
        <w:separator/>
      </w:r>
    </w:p>
  </w:endnote>
  <w:endnote w:type="continuationSeparator" w:id="0">
    <w:p w:rsidR="003E2292" w:rsidRDefault="003E2292" w:rsidP="00E65C0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1"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672295"/>
    </w:sdtPr>
    <w:sdtContent>
      <w:p w:rsidR="004A034A" w:rsidRDefault="00C30BB6">
        <w:pPr>
          <w:pStyle w:val="a3"/>
          <w:jc w:val="center"/>
        </w:pPr>
        <w:r w:rsidRPr="00C30BB6">
          <w:fldChar w:fldCharType="begin"/>
        </w:r>
        <w:r w:rsidR="00AA192B">
          <w:instrText>PAGE   \* MERGEFORMAT</w:instrText>
        </w:r>
        <w:r w:rsidRPr="00C30BB6">
          <w:fldChar w:fldCharType="separate"/>
        </w:r>
        <w:r w:rsidR="0037361C" w:rsidRPr="0037361C">
          <w:rPr>
            <w:noProof/>
            <w:lang w:val="zh-CN"/>
          </w:rPr>
          <w:t>5</w:t>
        </w:r>
        <w:r>
          <w:rPr>
            <w:lang w:val="zh-CN"/>
          </w:rPr>
          <w:fldChar w:fldCharType="end"/>
        </w:r>
      </w:p>
    </w:sdtContent>
  </w:sdt>
  <w:p w:rsidR="004A034A" w:rsidRDefault="003E229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292" w:rsidRDefault="003E2292" w:rsidP="00E65C02">
      <w:pPr>
        <w:spacing w:after="0"/>
      </w:pPr>
      <w:r>
        <w:separator/>
      </w:r>
    </w:p>
  </w:footnote>
  <w:footnote w:type="continuationSeparator" w:id="0">
    <w:p w:rsidR="003E2292" w:rsidRDefault="003E2292" w:rsidP="00E65C0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6E7E"/>
    <w:multiLevelType w:val="multilevel"/>
    <w:tmpl w:val="02396E7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nsid w:val="0EAB7B37"/>
    <w:multiLevelType w:val="hybridMultilevel"/>
    <w:tmpl w:val="7AB4E73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567F10"/>
    <w:multiLevelType w:val="multilevel"/>
    <w:tmpl w:val="13567F10"/>
    <w:lvl w:ilvl="0">
      <w:start w:val="1"/>
      <w:numFmt w:val="decimal"/>
      <w:lvlText w:val="%1、"/>
      <w:lvlJc w:val="left"/>
      <w:pPr>
        <w:ind w:left="360" w:hanging="360"/>
      </w:pPr>
      <w:rPr>
        <w:rFonts w:asciiTheme="minorEastAsia" w:eastAsia="宋体" w:hAnsiTheme="minorEastAsia" w:cs="Times New Roman"/>
      </w:rPr>
    </w:lvl>
    <w:lvl w:ilvl="1">
      <w:start w:val="2"/>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B750754"/>
    <w:multiLevelType w:val="singleLevel"/>
    <w:tmpl w:val="2B750754"/>
    <w:lvl w:ilvl="0">
      <w:start w:val="1"/>
      <w:numFmt w:val="chineseCounting"/>
      <w:suff w:val="nothing"/>
      <w:lvlText w:val="%1、"/>
      <w:lvlJc w:val="left"/>
      <w:rPr>
        <w:rFonts w:hint="eastAsia"/>
      </w:rPr>
    </w:lvl>
  </w:abstractNum>
  <w:abstractNum w:abstractNumId="4">
    <w:nsid w:val="39BECC68"/>
    <w:multiLevelType w:val="singleLevel"/>
    <w:tmpl w:val="39BECC68"/>
    <w:lvl w:ilvl="0">
      <w:start w:val="1"/>
      <w:numFmt w:val="decimal"/>
      <w:lvlText w:val="%1."/>
      <w:lvlJc w:val="left"/>
      <w:pPr>
        <w:tabs>
          <w:tab w:val="num" w:pos="312"/>
        </w:tabs>
      </w:pPr>
    </w:lvl>
  </w:abstractNum>
  <w:abstractNum w:abstractNumId="5">
    <w:nsid w:val="4AC53699"/>
    <w:multiLevelType w:val="multilevel"/>
    <w:tmpl w:val="B44EC532"/>
    <w:lvl w:ilvl="0">
      <w:start w:val="1"/>
      <w:numFmt w:val="chineseCountingThousand"/>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4DAC738F"/>
    <w:multiLevelType w:val="multilevel"/>
    <w:tmpl w:val="6A4AF76C"/>
    <w:lvl w:ilvl="0">
      <w:start w:val="1"/>
      <w:numFmt w:val="decimal"/>
      <w:lvlText w:val="%1."/>
      <w:lvlJc w:val="left"/>
      <w:pPr>
        <w:ind w:left="420" w:hanging="420"/>
      </w:pPr>
      <w:rPr>
        <w:rFonts w:hint="eastAsia"/>
      </w:rPr>
    </w:lvl>
    <w:lvl w:ilvl="1">
      <w:start w:val="1"/>
      <w:numFmt w:val="decimal"/>
      <w:lvlText w:val="13.%2."/>
      <w:lvlJc w:val="left"/>
      <w:pPr>
        <w:ind w:left="720" w:hanging="720"/>
      </w:pPr>
      <w:rPr>
        <w:rFonts w:asciiTheme="minorEastAsia" w:eastAsiaTheme="minorEastAsia" w:hAnsiTheme="minorEastAsia" w:hint="eastAsia"/>
        <w:b w:val="0"/>
        <w:sz w:val="24"/>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7">
    <w:nsid w:val="522770F3"/>
    <w:multiLevelType w:val="multilevel"/>
    <w:tmpl w:val="522770F3"/>
    <w:lvl w:ilvl="0">
      <w:start w:val="1"/>
      <w:numFmt w:val="bullet"/>
      <w:lvlText w:val=""/>
      <w:lvlJc w:val="left"/>
      <w:pPr>
        <w:tabs>
          <w:tab w:val="left" w:pos="960"/>
        </w:tabs>
        <w:ind w:left="960" w:hanging="420"/>
      </w:pPr>
      <w:rPr>
        <w:rFonts w:ascii="Wingdings" w:hAnsi="Wingdings" w:hint="default"/>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8">
    <w:nsid w:val="54D838BA"/>
    <w:multiLevelType w:val="multilevel"/>
    <w:tmpl w:val="54D838BA"/>
    <w:lvl w:ilvl="0">
      <w:start w:val="1"/>
      <w:numFmt w:val="japaneseCounting"/>
      <w:lvlText w:val="%1、"/>
      <w:lvlJc w:val="left"/>
      <w:pPr>
        <w:ind w:left="6532" w:hanging="720"/>
      </w:pPr>
      <w:rPr>
        <w:rFonts w:hint="default"/>
      </w:rPr>
    </w:lvl>
    <w:lvl w:ilvl="1">
      <w:start w:val="1"/>
      <w:numFmt w:val="lowerLetter"/>
      <w:lvlText w:val="%2)"/>
      <w:lvlJc w:val="left"/>
      <w:pPr>
        <w:ind w:left="6652" w:hanging="420"/>
      </w:pPr>
    </w:lvl>
    <w:lvl w:ilvl="2">
      <w:start w:val="1"/>
      <w:numFmt w:val="lowerRoman"/>
      <w:lvlText w:val="%3."/>
      <w:lvlJc w:val="right"/>
      <w:pPr>
        <w:ind w:left="7072" w:hanging="420"/>
      </w:pPr>
    </w:lvl>
    <w:lvl w:ilvl="3">
      <w:start w:val="1"/>
      <w:numFmt w:val="decimal"/>
      <w:lvlText w:val="%4."/>
      <w:lvlJc w:val="left"/>
      <w:pPr>
        <w:ind w:left="7492" w:hanging="420"/>
      </w:pPr>
    </w:lvl>
    <w:lvl w:ilvl="4">
      <w:start w:val="1"/>
      <w:numFmt w:val="lowerLetter"/>
      <w:lvlText w:val="%5)"/>
      <w:lvlJc w:val="left"/>
      <w:pPr>
        <w:ind w:left="7912" w:hanging="420"/>
      </w:pPr>
    </w:lvl>
    <w:lvl w:ilvl="5">
      <w:start w:val="1"/>
      <w:numFmt w:val="lowerRoman"/>
      <w:lvlText w:val="%6."/>
      <w:lvlJc w:val="right"/>
      <w:pPr>
        <w:ind w:left="8332" w:hanging="420"/>
      </w:pPr>
    </w:lvl>
    <w:lvl w:ilvl="6">
      <w:start w:val="1"/>
      <w:numFmt w:val="decimal"/>
      <w:lvlText w:val="%7."/>
      <w:lvlJc w:val="left"/>
      <w:pPr>
        <w:ind w:left="8752" w:hanging="420"/>
      </w:pPr>
    </w:lvl>
    <w:lvl w:ilvl="7">
      <w:start w:val="1"/>
      <w:numFmt w:val="lowerLetter"/>
      <w:lvlText w:val="%8)"/>
      <w:lvlJc w:val="left"/>
      <w:pPr>
        <w:ind w:left="9172" w:hanging="420"/>
      </w:pPr>
    </w:lvl>
    <w:lvl w:ilvl="8">
      <w:start w:val="1"/>
      <w:numFmt w:val="lowerRoman"/>
      <w:lvlText w:val="%9."/>
      <w:lvlJc w:val="right"/>
      <w:pPr>
        <w:ind w:left="9592" w:hanging="420"/>
      </w:pPr>
    </w:lvl>
  </w:abstractNum>
  <w:abstractNum w:abstractNumId="9">
    <w:nsid w:val="570B1BA7"/>
    <w:multiLevelType w:val="multilevel"/>
    <w:tmpl w:val="570B1BA7"/>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5A70A86"/>
    <w:multiLevelType w:val="multilevel"/>
    <w:tmpl w:val="65A70A8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nsid w:val="69F40FDE"/>
    <w:multiLevelType w:val="multilevel"/>
    <w:tmpl w:val="69F40FDE"/>
    <w:lvl w:ilvl="0">
      <w:start w:val="1"/>
      <w:numFmt w:val="bullet"/>
      <w:lvlText w:val=""/>
      <w:lvlJc w:val="left"/>
      <w:pPr>
        <w:ind w:left="733" w:hanging="420"/>
      </w:pPr>
      <w:rPr>
        <w:rFonts w:ascii="Wingdings" w:hAnsi="Wingdings" w:hint="default"/>
      </w:rPr>
    </w:lvl>
    <w:lvl w:ilvl="1">
      <w:start w:val="1"/>
      <w:numFmt w:val="bullet"/>
      <w:lvlText w:val=""/>
      <w:lvlJc w:val="left"/>
      <w:pPr>
        <w:ind w:left="1153" w:hanging="420"/>
      </w:pPr>
      <w:rPr>
        <w:rFonts w:ascii="Wingdings" w:hAnsi="Wingdings" w:hint="default"/>
      </w:rPr>
    </w:lvl>
    <w:lvl w:ilvl="2">
      <w:start w:val="1"/>
      <w:numFmt w:val="bullet"/>
      <w:lvlText w:val=""/>
      <w:lvlJc w:val="left"/>
      <w:pPr>
        <w:ind w:left="1573" w:hanging="420"/>
      </w:pPr>
      <w:rPr>
        <w:rFonts w:ascii="Wingdings" w:hAnsi="Wingdings" w:hint="default"/>
      </w:rPr>
    </w:lvl>
    <w:lvl w:ilvl="3">
      <w:start w:val="1"/>
      <w:numFmt w:val="bullet"/>
      <w:lvlText w:val=""/>
      <w:lvlJc w:val="left"/>
      <w:pPr>
        <w:ind w:left="1993" w:hanging="420"/>
      </w:pPr>
      <w:rPr>
        <w:rFonts w:ascii="Wingdings" w:hAnsi="Wingdings" w:hint="default"/>
      </w:rPr>
    </w:lvl>
    <w:lvl w:ilvl="4">
      <w:start w:val="1"/>
      <w:numFmt w:val="bullet"/>
      <w:lvlText w:val=""/>
      <w:lvlJc w:val="left"/>
      <w:pPr>
        <w:ind w:left="2413" w:hanging="420"/>
      </w:pPr>
      <w:rPr>
        <w:rFonts w:ascii="Wingdings" w:hAnsi="Wingdings" w:hint="default"/>
      </w:rPr>
    </w:lvl>
    <w:lvl w:ilvl="5">
      <w:start w:val="1"/>
      <w:numFmt w:val="bullet"/>
      <w:lvlText w:val=""/>
      <w:lvlJc w:val="left"/>
      <w:pPr>
        <w:ind w:left="2833" w:hanging="420"/>
      </w:pPr>
      <w:rPr>
        <w:rFonts w:ascii="Wingdings" w:hAnsi="Wingdings" w:hint="default"/>
      </w:rPr>
    </w:lvl>
    <w:lvl w:ilvl="6">
      <w:start w:val="1"/>
      <w:numFmt w:val="bullet"/>
      <w:lvlText w:val=""/>
      <w:lvlJc w:val="left"/>
      <w:pPr>
        <w:ind w:left="3253" w:hanging="420"/>
      </w:pPr>
      <w:rPr>
        <w:rFonts w:ascii="Wingdings" w:hAnsi="Wingdings" w:hint="default"/>
      </w:rPr>
    </w:lvl>
    <w:lvl w:ilvl="7">
      <w:start w:val="1"/>
      <w:numFmt w:val="bullet"/>
      <w:lvlText w:val=""/>
      <w:lvlJc w:val="left"/>
      <w:pPr>
        <w:ind w:left="3673" w:hanging="420"/>
      </w:pPr>
      <w:rPr>
        <w:rFonts w:ascii="Wingdings" w:hAnsi="Wingdings" w:hint="default"/>
      </w:rPr>
    </w:lvl>
    <w:lvl w:ilvl="8">
      <w:start w:val="1"/>
      <w:numFmt w:val="bullet"/>
      <w:lvlText w:val=""/>
      <w:lvlJc w:val="left"/>
      <w:pPr>
        <w:ind w:left="4093" w:hanging="420"/>
      </w:pPr>
      <w:rPr>
        <w:rFonts w:ascii="Wingdings" w:hAnsi="Wingdings" w:hint="default"/>
      </w:rPr>
    </w:lvl>
  </w:abstractNum>
  <w:abstractNum w:abstractNumId="12">
    <w:nsid w:val="69FE05AC"/>
    <w:multiLevelType w:val="multilevel"/>
    <w:tmpl w:val="69FE05AC"/>
    <w:lvl w:ilvl="0">
      <w:start w:val="1"/>
      <w:numFmt w:val="bullet"/>
      <w:lvlText w:val=""/>
      <w:lvlJc w:val="left"/>
      <w:pPr>
        <w:ind w:left="0" w:firstLine="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8"/>
  </w:num>
  <w:num w:numId="2">
    <w:abstractNumId w:val="2"/>
  </w:num>
  <w:num w:numId="3">
    <w:abstractNumId w:val="9"/>
  </w:num>
  <w:num w:numId="4">
    <w:abstractNumId w:val="4"/>
  </w:num>
  <w:num w:numId="5">
    <w:abstractNumId w:val="11"/>
  </w:num>
  <w:num w:numId="6">
    <w:abstractNumId w:val="1"/>
  </w:num>
  <w:num w:numId="7">
    <w:abstractNumId w:val="6"/>
  </w:num>
  <w:num w:numId="8">
    <w:abstractNumId w:val="3"/>
  </w:num>
  <w:num w:numId="9">
    <w:abstractNumId w:val="7"/>
  </w:num>
  <w:num w:numId="10">
    <w:abstractNumId w:val="12"/>
  </w:num>
  <w:num w:numId="11">
    <w:abstractNumId w:val="0"/>
  </w:num>
  <w:num w:numId="12">
    <w:abstractNumId w:val="1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proofState w:spelling="clean"/>
  <w:defaultTabStop w:val="720"/>
  <w:characterSpacingControl w:val="doNotCompress"/>
  <w:hdrShapeDefaults>
    <o:shapedefaults v:ext="edit" spidmax="16386"/>
  </w:hdrShapeDefaults>
  <w:footnotePr>
    <w:footnote w:id="-1"/>
    <w:footnote w:id="0"/>
  </w:footnotePr>
  <w:endnotePr>
    <w:endnote w:id="-1"/>
    <w:endnote w:id="0"/>
  </w:endnotePr>
  <w:compat>
    <w:useFELayout/>
  </w:compat>
  <w:rsids>
    <w:rsidRoot w:val="00D31D50"/>
    <w:rsid w:val="000010BE"/>
    <w:rsid w:val="000377FC"/>
    <w:rsid w:val="000C023C"/>
    <w:rsid w:val="0010038F"/>
    <w:rsid w:val="00152A13"/>
    <w:rsid w:val="00154633"/>
    <w:rsid w:val="00164B4E"/>
    <w:rsid w:val="00172218"/>
    <w:rsid w:val="002267DC"/>
    <w:rsid w:val="00257748"/>
    <w:rsid w:val="002D1980"/>
    <w:rsid w:val="002E20F6"/>
    <w:rsid w:val="00301A46"/>
    <w:rsid w:val="00323B43"/>
    <w:rsid w:val="0037361C"/>
    <w:rsid w:val="0037699F"/>
    <w:rsid w:val="003A4DC0"/>
    <w:rsid w:val="003D37D8"/>
    <w:rsid w:val="003D525A"/>
    <w:rsid w:val="003E2292"/>
    <w:rsid w:val="00426133"/>
    <w:rsid w:val="004358AB"/>
    <w:rsid w:val="00526711"/>
    <w:rsid w:val="00630E65"/>
    <w:rsid w:val="006A4A8B"/>
    <w:rsid w:val="006A70C8"/>
    <w:rsid w:val="00735B81"/>
    <w:rsid w:val="00744BAE"/>
    <w:rsid w:val="00781D30"/>
    <w:rsid w:val="008B1269"/>
    <w:rsid w:val="008B7726"/>
    <w:rsid w:val="008F2DE8"/>
    <w:rsid w:val="00921598"/>
    <w:rsid w:val="0093403C"/>
    <w:rsid w:val="00A04403"/>
    <w:rsid w:val="00AA0345"/>
    <w:rsid w:val="00AA192B"/>
    <w:rsid w:val="00AB2A40"/>
    <w:rsid w:val="00B54EEA"/>
    <w:rsid w:val="00B62996"/>
    <w:rsid w:val="00B8353B"/>
    <w:rsid w:val="00BB02C0"/>
    <w:rsid w:val="00BC46D5"/>
    <w:rsid w:val="00C30BB6"/>
    <w:rsid w:val="00CB1468"/>
    <w:rsid w:val="00CC1F1A"/>
    <w:rsid w:val="00CD0BB7"/>
    <w:rsid w:val="00D21463"/>
    <w:rsid w:val="00D31D50"/>
    <w:rsid w:val="00D71316"/>
    <w:rsid w:val="00DB25D4"/>
    <w:rsid w:val="00E65C02"/>
    <w:rsid w:val="00E93E6E"/>
    <w:rsid w:val="00EA2213"/>
    <w:rsid w:val="00EA6D6F"/>
    <w:rsid w:val="00EF6BAA"/>
    <w:rsid w:val="00FA1218"/>
    <w:rsid w:val="00FB0E17"/>
    <w:rsid w:val="00FB46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152A13"/>
    <w:pPr>
      <w:keepNext/>
      <w:keepLines/>
      <w:spacing w:before="340" w:after="330" w:line="578" w:lineRule="auto"/>
      <w:outlineLvl w:val="0"/>
    </w:pPr>
    <w:rPr>
      <w:b/>
      <w:bCs/>
      <w:kern w:val="44"/>
      <w:sz w:val="44"/>
      <w:szCs w:val="44"/>
    </w:rPr>
  </w:style>
  <w:style w:type="paragraph" w:styleId="6">
    <w:name w:val="heading 6"/>
    <w:basedOn w:val="a"/>
    <w:next w:val="a"/>
    <w:link w:val="6Char"/>
    <w:unhideWhenUsed/>
    <w:qFormat/>
    <w:rsid w:val="006A4A8B"/>
    <w:pPr>
      <w:keepNext/>
      <w:keepLines/>
      <w:widowControl w:val="0"/>
      <w:adjustRightInd/>
      <w:snapToGrid/>
      <w:spacing w:before="240" w:after="64" w:line="320" w:lineRule="auto"/>
      <w:jc w:val="both"/>
      <w:outlineLvl w:val="5"/>
    </w:pPr>
    <w:rPr>
      <w:rFonts w:asciiTheme="majorHAnsi" w:eastAsiaTheme="majorEastAsia" w:hAnsiTheme="majorHAnsi" w:cstheme="majorBidi"/>
      <w:b/>
      <w:bC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标题 6 Char"/>
    <w:basedOn w:val="a0"/>
    <w:link w:val="6"/>
    <w:qFormat/>
    <w:rsid w:val="006A4A8B"/>
    <w:rPr>
      <w:rFonts w:asciiTheme="majorHAnsi" w:eastAsiaTheme="majorEastAsia" w:hAnsiTheme="majorHAnsi" w:cstheme="majorBidi"/>
      <w:b/>
      <w:bCs/>
      <w:kern w:val="2"/>
      <w:sz w:val="24"/>
      <w:szCs w:val="24"/>
    </w:rPr>
  </w:style>
  <w:style w:type="paragraph" w:styleId="a3">
    <w:name w:val="footer"/>
    <w:basedOn w:val="a"/>
    <w:link w:val="Char"/>
    <w:uiPriority w:val="99"/>
    <w:qFormat/>
    <w:rsid w:val="006A4A8B"/>
    <w:pPr>
      <w:widowControl w:val="0"/>
      <w:tabs>
        <w:tab w:val="center" w:pos="4153"/>
        <w:tab w:val="right" w:pos="8306"/>
      </w:tabs>
      <w:adjustRightInd/>
      <w:spacing w:after="0"/>
    </w:pPr>
    <w:rPr>
      <w:rFonts w:asciiTheme="minorHAnsi" w:eastAsiaTheme="minorEastAsia" w:hAnsiTheme="minorHAnsi"/>
      <w:kern w:val="2"/>
      <w:sz w:val="18"/>
      <w:szCs w:val="18"/>
    </w:rPr>
  </w:style>
  <w:style w:type="character" w:customStyle="1" w:styleId="Char">
    <w:name w:val="页脚 Char"/>
    <w:basedOn w:val="a0"/>
    <w:link w:val="a3"/>
    <w:uiPriority w:val="99"/>
    <w:qFormat/>
    <w:rsid w:val="006A4A8B"/>
    <w:rPr>
      <w:rFonts w:eastAsiaTheme="minorEastAsia"/>
      <w:kern w:val="2"/>
      <w:sz w:val="18"/>
      <w:szCs w:val="18"/>
    </w:rPr>
  </w:style>
  <w:style w:type="paragraph" w:styleId="a4">
    <w:name w:val="List Paragraph"/>
    <w:basedOn w:val="a"/>
    <w:link w:val="Char0"/>
    <w:uiPriority w:val="34"/>
    <w:qFormat/>
    <w:rsid w:val="006A4A8B"/>
    <w:pPr>
      <w:widowControl w:val="0"/>
      <w:adjustRightInd/>
      <w:snapToGrid/>
      <w:spacing w:after="0"/>
      <w:ind w:left="720"/>
      <w:contextualSpacing/>
      <w:jc w:val="both"/>
    </w:pPr>
    <w:rPr>
      <w:rFonts w:ascii="Times New Roman" w:eastAsia="宋体" w:hAnsi="Times New Roman" w:cs="Times New Roman"/>
      <w:kern w:val="2"/>
      <w:sz w:val="28"/>
      <w:szCs w:val="24"/>
    </w:rPr>
  </w:style>
  <w:style w:type="character" w:customStyle="1" w:styleId="Char0">
    <w:name w:val="列出段落 Char"/>
    <w:link w:val="a4"/>
    <w:uiPriority w:val="34"/>
    <w:qFormat/>
    <w:rsid w:val="006A4A8B"/>
    <w:rPr>
      <w:rFonts w:ascii="Times New Roman" w:eastAsia="宋体" w:hAnsi="Times New Roman" w:cs="Times New Roman"/>
      <w:kern w:val="2"/>
      <w:sz w:val="28"/>
      <w:szCs w:val="24"/>
    </w:rPr>
  </w:style>
  <w:style w:type="paragraph" w:styleId="a5">
    <w:name w:val="Balloon Text"/>
    <w:basedOn w:val="a"/>
    <w:link w:val="Char1"/>
    <w:uiPriority w:val="99"/>
    <w:semiHidden/>
    <w:unhideWhenUsed/>
    <w:rsid w:val="006A4A8B"/>
    <w:pPr>
      <w:spacing w:after="0"/>
    </w:pPr>
    <w:rPr>
      <w:sz w:val="18"/>
      <w:szCs w:val="18"/>
    </w:rPr>
  </w:style>
  <w:style w:type="character" w:customStyle="1" w:styleId="Char1">
    <w:name w:val="批注框文本 Char"/>
    <w:basedOn w:val="a0"/>
    <w:link w:val="a5"/>
    <w:uiPriority w:val="99"/>
    <w:semiHidden/>
    <w:rsid w:val="006A4A8B"/>
    <w:rPr>
      <w:rFonts w:ascii="Tahoma" w:hAnsi="Tahoma"/>
      <w:sz w:val="18"/>
      <w:szCs w:val="18"/>
    </w:rPr>
  </w:style>
  <w:style w:type="paragraph" w:styleId="a6">
    <w:name w:val="header"/>
    <w:basedOn w:val="a"/>
    <w:link w:val="Char2"/>
    <w:uiPriority w:val="99"/>
    <w:semiHidden/>
    <w:unhideWhenUsed/>
    <w:rsid w:val="0010038F"/>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6"/>
    <w:uiPriority w:val="99"/>
    <w:semiHidden/>
    <w:rsid w:val="0010038F"/>
    <w:rPr>
      <w:rFonts w:ascii="Tahoma" w:hAnsi="Tahoma"/>
      <w:sz w:val="18"/>
      <w:szCs w:val="18"/>
    </w:rPr>
  </w:style>
  <w:style w:type="character" w:customStyle="1" w:styleId="1Char">
    <w:name w:val="标题 1 Char"/>
    <w:basedOn w:val="a0"/>
    <w:link w:val="1"/>
    <w:uiPriority w:val="9"/>
    <w:rsid w:val="00152A13"/>
    <w:rPr>
      <w:rFonts w:ascii="Tahoma" w:hAnsi="Tahoma"/>
      <w:b/>
      <w:bCs/>
      <w:kern w:val="44"/>
      <w:sz w:val="44"/>
      <w:szCs w:val="44"/>
    </w:rPr>
  </w:style>
  <w:style w:type="table" w:styleId="a7">
    <w:name w:val="Table Grid"/>
    <w:basedOn w:val="a1"/>
    <w:uiPriority w:val="39"/>
    <w:qFormat/>
    <w:rsid w:val="00744BAE"/>
    <w:pPr>
      <w:spacing w:after="0" w:line="240" w:lineRule="auto"/>
      <w:jc w:val="both"/>
    </w:pPr>
    <w:rPr>
      <w:rFonts w:eastAsia="宋体"/>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正文格式"/>
    <w:basedOn w:val="a"/>
    <w:link w:val="Char3"/>
    <w:qFormat/>
    <w:rsid w:val="00AA0345"/>
    <w:pPr>
      <w:widowControl w:val="0"/>
      <w:adjustRightInd/>
      <w:snapToGrid/>
      <w:spacing w:after="0"/>
      <w:ind w:left="420" w:firstLineChars="200" w:firstLine="420"/>
      <w:jc w:val="both"/>
    </w:pPr>
    <w:rPr>
      <w:rFonts w:ascii="微软雅黑" w:hAnsi="微软雅黑" w:cs="Times New Roman"/>
      <w:kern w:val="2"/>
      <w:sz w:val="21"/>
      <w:szCs w:val="21"/>
      <w:lang w:val="zh-CN"/>
    </w:rPr>
  </w:style>
  <w:style w:type="character" w:customStyle="1" w:styleId="Char3">
    <w:name w:val="正文格式 Char"/>
    <w:link w:val="a8"/>
    <w:rsid w:val="00AA0345"/>
    <w:rPr>
      <w:rFonts w:ascii="微软雅黑" w:hAnsi="微软雅黑" w:cs="Times New Roman"/>
      <w:kern w:val="2"/>
      <w:sz w:val="21"/>
      <w:szCs w:val="21"/>
      <w:lang w:val="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1655</Words>
  <Characters>9440</Characters>
  <Application>Microsoft Office Word</Application>
  <DocSecurity>0</DocSecurity>
  <Lines>78</Lines>
  <Paragraphs>22</Paragraphs>
  <ScaleCrop>false</ScaleCrop>
  <Company/>
  <LinksUpToDate>false</LinksUpToDate>
  <CharactersWithSpaces>11073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cp:revision>
  <dcterms:created xsi:type="dcterms:W3CDTF">2021-06-18T00:54:00Z</dcterms:created>
  <dcterms:modified xsi:type="dcterms:W3CDTF">2021-06-18T07:54:00Z</dcterms:modified>
</cp:coreProperties>
</file>