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宋体" w:hAnsi="宋体" w:cs="宋体"/>
          <w:b/>
          <w:color w:val="auto"/>
          <w:w w:val="80"/>
          <w:sz w:val="44"/>
          <w:szCs w:val="44"/>
          <w:highlight w:val="none"/>
        </w:rPr>
      </w:pPr>
      <w:bookmarkStart w:id="0" w:name="_GoBack"/>
      <w:r>
        <w:rPr>
          <w:rFonts w:hint="eastAsia" w:ascii="宋体" w:hAnsi="宋体" w:cs="宋体"/>
          <w:b/>
          <w:color w:val="auto"/>
          <w:w w:val="80"/>
          <w:sz w:val="44"/>
          <w:szCs w:val="44"/>
          <w:highlight w:val="none"/>
          <w:lang w:val="zh-CN"/>
        </w:rPr>
        <w:t>南通市第三人民医院信息系统网络安全等级保护测评服务项目</w:t>
      </w:r>
      <w:r>
        <w:rPr>
          <w:rFonts w:hint="eastAsia" w:ascii="宋体" w:hAnsi="宋体" w:cs="宋体"/>
          <w:b/>
          <w:color w:val="auto"/>
          <w:w w:val="80"/>
          <w:sz w:val="44"/>
          <w:szCs w:val="44"/>
          <w:highlight w:val="none"/>
        </w:rPr>
        <w:t>需求</w:t>
      </w:r>
    </w:p>
    <w:bookmarkEnd w:id="0"/>
    <w:p>
      <w:pPr>
        <w:spacing w:line="440" w:lineRule="exact"/>
        <w:ind w:left="-210" w:leftChars="-100" w:firstLine="520" w:firstLineChars="216"/>
        <w:rPr>
          <w:rFonts w:ascii="宋体" w:cs="宋体"/>
          <w:color w:val="auto"/>
          <w:kern w:val="0"/>
          <w:sz w:val="24"/>
          <w:szCs w:val="24"/>
          <w:highlight w:val="none"/>
          <w:lang w:val="zh-CN"/>
        </w:rPr>
      </w:pPr>
      <w:r>
        <w:rPr>
          <w:rFonts w:hint="eastAsia" w:ascii="宋体" w:hAnsi="宋体" w:cs="宋体"/>
          <w:b/>
          <w:color w:val="auto"/>
          <w:sz w:val="24"/>
          <w:szCs w:val="24"/>
          <w:highlight w:val="none"/>
        </w:rPr>
        <w:t>特别提醒：</w:t>
      </w:r>
      <w:r>
        <w:rPr>
          <w:rFonts w:hint="eastAsia" w:ascii="宋体" w:hAnsi="宋体" w:cs="宋体"/>
          <w:b/>
          <w:color w:val="auto"/>
          <w:kern w:val="0"/>
          <w:sz w:val="24"/>
          <w:szCs w:val="24"/>
          <w:highlight w:val="none"/>
          <w:lang w:val="zh-CN"/>
        </w:rPr>
        <w:t>请供应商制作投标响应文件时仔细研究项目需求说明。</w:t>
      </w:r>
      <w:r>
        <w:rPr>
          <w:rFonts w:hint="eastAsia" w:ascii="宋体" w:hAnsi="宋体" w:cs="宋体"/>
          <w:color w:val="auto"/>
          <w:kern w:val="0"/>
          <w:sz w:val="24"/>
          <w:szCs w:val="24"/>
          <w:highlight w:val="none"/>
          <w:lang w:val="zh-CN"/>
        </w:rPr>
        <w:t>供应商不能简单照搬照抄采购单位项目需求说明中的技术要求，必须作实事求是的响应。如照搬照抄项目需求说明中的技术要求，</w:t>
      </w:r>
      <w:r>
        <w:rPr>
          <w:rFonts w:hint="eastAsia" w:ascii="宋体" w:hAnsi="宋体" w:cs="宋体"/>
          <w:color w:val="auto"/>
          <w:kern w:val="0"/>
          <w:sz w:val="24"/>
          <w:szCs w:val="24"/>
          <w:highlight w:val="none"/>
        </w:rPr>
        <w:t>成交</w:t>
      </w:r>
      <w:r>
        <w:rPr>
          <w:rFonts w:hint="eastAsia" w:ascii="宋体" w:hAnsi="宋体" w:cs="宋体"/>
          <w:color w:val="auto"/>
          <w:kern w:val="0"/>
          <w:sz w:val="24"/>
          <w:szCs w:val="24"/>
          <w:highlight w:val="none"/>
          <w:lang w:val="zh-CN"/>
        </w:rPr>
        <w:t>后供应商在同采购单位签订合同和履约环节中不得提出异议，一切后果和损失由</w:t>
      </w:r>
      <w:r>
        <w:rPr>
          <w:rFonts w:hint="eastAsia" w:ascii="宋体" w:hAnsi="宋体" w:cs="宋体"/>
          <w:color w:val="auto"/>
          <w:kern w:val="0"/>
          <w:sz w:val="24"/>
          <w:szCs w:val="24"/>
          <w:highlight w:val="none"/>
        </w:rPr>
        <w:t>成交</w:t>
      </w:r>
      <w:r>
        <w:rPr>
          <w:rFonts w:hint="eastAsia" w:ascii="宋体" w:hAnsi="宋体" w:cs="宋体"/>
          <w:color w:val="auto"/>
          <w:kern w:val="0"/>
          <w:sz w:val="24"/>
          <w:szCs w:val="24"/>
          <w:highlight w:val="none"/>
          <w:lang w:val="zh-CN"/>
        </w:rPr>
        <w:t>供应商承担。如供应商提供的货物和服务同采购单位提出的项目需求说明中的技术要求不同的，必须在《技术条款响应一览表》上明示，如不明示的视同完全响应。</w:t>
      </w:r>
    </w:p>
    <w:p>
      <w:pPr>
        <w:keepNext w:val="0"/>
        <w:keepLines w:val="0"/>
        <w:pageBreakBefore w:val="0"/>
        <w:widowControl w:val="0"/>
        <w:kinsoku/>
        <w:wordWrap/>
        <w:overflowPunct/>
        <w:topLinePunct w:val="0"/>
        <w:autoSpaceDE/>
        <w:autoSpaceDN/>
        <w:bidi w:val="0"/>
        <w:adjustRightInd/>
        <w:spacing w:after="120" w:line="360" w:lineRule="auto"/>
        <w:textAlignment w:val="auto"/>
        <w:rPr>
          <w:color w:val="auto"/>
          <w:sz w:val="24"/>
          <w:szCs w:val="24"/>
          <w:highlight w:val="none"/>
        </w:rPr>
      </w:pPr>
    </w:p>
    <w:p>
      <w:pPr>
        <w:numPr>
          <w:ilvl w:val="0"/>
          <w:numId w:val="0"/>
        </w:numPr>
        <w:ind w:leftChars="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一、本项目测评范围</w:t>
      </w:r>
    </w:p>
    <w:tbl>
      <w:tblPr>
        <w:tblStyle w:val="5"/>
        <w:tblW w:w="7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4977"/>
        <w:gridCol w:w="1350"/>
        <w:gridCol w:w="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98"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4977" w:type="dxa"/>
            <w:vAlign w:val="center"/>
          </w:tcPr>
          <w:p>
            <w:pPr>
              <w:spacing w:line="360" w:lineRule="auto"/>
              <w:jc w:val="center"/>
              <w:rPr>
                <w:rFonts w:hint="eastAsia" w:asciiTheme="minorEastAsia" w:hAnsiTheme="minorEastAsia" w:eastAsiaTheme="minorEastAsia" w:cstheme="minorEastAsia"/>
                <w:color w:val="auto"/>
                <w:sz w:val="24"/>
                <w:szCs w:val="24"/>
                <w:lang w:val="en-US" w:eastAsia="zh-Hans"/>
              </w:rPr>
            </w:pPr>
            <w:r>
              <w:rPr>
                <w:rFonts w:hint="eastAsia" w:asciiTheme="minorEastAsia" w:hAnsiTheme="minorEastAsia" w:eastAsiaTheme="minorEastAsia" w:cstheme="minorEastAsia"/>
                <w:color w:val="auto"/>
                <w:sz w:val="24"/>
                <w:szCs w:val="24"/>
                <w:lang w:val="en-US" w:eastAsia="zh-Hans"/>
              </w:rPr>
              <w:t>服务内容</w:t>
            </w:r>
          </w:p>
        </w:tc>
        <w:tc>
          <w:tcPr>
            <w:tcW w:w="1350"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备案情况</w:t>
            </w:r>
          </w:p>
        </w:tc>
        <w:tc>
          <w:tcPr>
            <w:tcW w:w="896"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98" w:type="dxa"/>
            <w:vAlign w:val="center"/>
          </w:tcPr>
          <w:p>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4977" w:type="dxa"/>
            <w:vAlign w:val="center"/>
          </w:tcPr>
          <w:p>
            <w:pPr>
              <w:spacing w:line="360" w:lineRule="auto"/>
              <w:rPr>
                <w:rFonts w:hint="eastAsia"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南通市第三人民医院集成平台系统</w:t>
            </w:r>
            <w:r>
              <w:rPr>
                <w:rFonts w:hint="default"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Hans"/>
              </w:rPr>
              <w:t>三级</w:t>
            </w:r>
            <w:r>
              <w:rPr>
                <w:rFonts w:hint="default" w:asciiTheme="minorEastAsia" w:hAnsiTheme="minorEastAsia" w:eastAsiaTheme="minorEastAsia" w:cstheme="minorEastAsia"/>
                <w:color w:val="auto"/>
                <w:sz w:val="24"/>
                <w:szCs w:val="24"/>
                <w:lang w:eastAsia="zh-CN"/>
              </w:rPr>
              <w:t>）、</w:t>
            </w:r>
            <w:r>
              <w:rPr>
                <w:rFonts w:hint="default" w:asciiTheme="minorEastAsia" w:hAnsiTheme="minorEastAsia" w:eastAsiaTheme="minorEastAsia" w:cstheme="minorEastAsia"/>
                <w:color w:val="auto"/>
                <w:sz w:val="24"/>
                <w:szCs w:val="24"/>
                <w:lang w:val="en-US" w:eastAsia="zh-CN"/>
              </w:rPr>
              <w:t>南通市第三人民医院临床信息系统</w:t>
            </w:r>
            <w:r>
              <w:rPr>
                <w:rFonts w:hint="default"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Hans"/>
              </w:rPr>
              <w:t>三级</w:t>
            </w:r>
            <w:r>
              <w:rPr>
                <w:rFonts w:hint="default" w:asciiTheme="minorEastAsia" w:hAnsiTheme="minorEastAsia" w:eastAsiaTheme="minorEastAsia" w:cstheme="minorEastAsia"/>
                <w:color w:val="auto"/>
                <w:sz w:val="24"/>
                <w:szCs w:val="24"/>
                <w:lang w:eastAsia="zh-CN"/>
              </w:rPr>
              <w:t>）</w:t>
            </w:r>
          </w:p>
        </w:tc>
        <w:tc>
          <w:tcPr>
            <w:tcW w:w="1350" w:type="dxa"/>
            <w:vAlign w:val="center"/>
          </w:tcPr>
          <w:p>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三级</w:t>
            </w:r>
          </w:p>
        </w:tc>
        <w:tc>
          <w:tcPr>
            <w:tcW w:w="896" w:type="dxa"/>
            <w:vAlign w:val="center"/>
          </w:tcPr>
          <w:p>
            <w:pPr>
              <w:spacing w:line="360" w:lineRule="auto"/>
              <w:ind w:firstLine="480" w:firstLineChars="200"/>
              <w:rPr>
                <w:rFonts w:hint="eastAsia" w:asciiTheme="minorEastAsia" w:hAnsiTheme="minorEastAsia" w:eastAsiaTheme="minorEastAsia" w:cstheme="minorEastAsia"/>
                <w:color w:val="auto"/>
                <w:sz w:val="24"/>
                <w:szCs w:val="24"/>
                <w:lang w:val="en-US" w:eastAsia="zh-Hans"/>
              </w:rPr>
            </w:pPr>
          </w:p>
        </w:tc>
      </w:tr>
    </w:tbl>
    <w:p>
      <w:pPr>
        <w:numPr>
          <w:ilvl w:val="0"/>
          <w:numId w:val="0"/>
        </w:numPr>
        <w:ind w:leftChars="0"/>
        <w:rPr>
          <w:rFonts w:hint="eastAsia" w:ascii="宋体" w:hAnsi="宋体" w:cs="宋体"/>
          <w:b/>
          <w:bCs/>
          <w:sz w:val="24"/>
          <w:szCs w:val="24"/>
          <w:highlight w:val="none"/>
          <w:lang w:val="en-US" w:eastAsia="zh-CN"/>
        </w:rPr>
      </w:pPr>
    </w:p>
    <w:p>
      <w:pPr>
        <w:spacing w:before="156" w:beforeLines="50" w:after="156" w:afterLines="50" w:line="24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二</w:t>
      </w:r>
      <w:r>
        <w:rPr>
          <w:rFonts w:hint="eastAsia" w:asciiTheme="minorEastAsia" w:hAnsiTheme="minorEastAsia" w:eastAsiaTheme="minorEastAsia" w:cstheme="minorEastAsia"/>
          <w:b/>
          <w:color w:val="auto"/>
          <w:sz w:val="24"/>
          <w:szCs w:val="24"/>
        </w:rPr>
        <w:t>、测评内容</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1、总体要求：</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A．完成上述系统安全等级测评工作，测评后经用户方确认，出具符合</w:t>
      </w:r>
      <w:r>
        <w:rPr>
          <w:rStyle w:val="7"/>
          <w:rFonts w:hint="eastAsia" w:asciiTheme="minorEastAsia" w:hAnsiTheme="minorEastAsia" w:eastAsiaTheme="minorEastAsia" w:cstheme="minorEastAsia"/>
          <w:b w:val="0"/>
          <w:color w:val="auto"/>
          <w:szCs w:val="24"/>
        </w:rPr>
        <w:t>网络安全等级保护</w:t>
      </w:r>
      <w:r>
        <w:rPr>
          <w:rFonts w:hint="eastAsia" w:asciiTheme="minorEastAsia" w:hAnsiTheme="minorEastAsia" w:eastAsiaTheme="minorEastAsia" w:cstheme="minorEastAsia"/>
          <w:color w:val="auto"/>
          <w:sz w:val="24"/>
          <w:szCs w:val="24"/>
        </w:rPr>
        <w:t>测评要求的测评报告；</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B．对上述系统不符合</w:t>
      </w:r>
      <w:r>
        <w:rPr>
          <w:rStyle w:val="7"/>
          <w:rFonts w:hint="eastAsia" w:asciiTheme="minorEastAsia" w:hAnsiTheme="minorEastAsia" w:eastAsiaTheme="minorEastAsia" w:cstheme="minorEastAsia"/>
          <w:b w:val="0"/>
          <w:color w:val="auto"/>
          <w:szCs w:val="24"/>
        </w:rPr>
        <w:t>网络安全等级保护</w:t>
      </w:r>
      <w:r>
        <w:rPr>
          <w:rFonts w:hint="eastAsia" w:asciiTheme="minorEastAsia" w:hAnsiTheme="minorEastAsia" w:eastAsiaTheme="minorEastAsia" w:cstheme="minorEastAsia"/>
          <w:color w:val="auto"/>
          <w:sz w:val="24"/>
          <w:szCs w:val="24"/>
        </w:rPr>
        <w:t>有关管理规范和技术标准的，提出可行性整改方案，提供相应的安全整改建议书。</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2、质量要求：</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A．等级测评及服务原则：符合性原则、标准性原则、规范性原则、可控性原则、整体性原则。</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w:t>
      </w:r>
      <w:r>
        <w:rPr>
          <w:rStyle w:val="7"/>
          <w:rFonts w:hint="eastAsia" w:asciiTheme="minorEastAsia" w:hAnsiTheme="minorEastAsia" w:eastAsiaTheme="minorEastAsia" w:cstheme="minorEastAsia"/>
          <w:b w:val="0"/>
          <w:color w:val="auto"/>
          <w:szCs w:val="24"/>
        </w:rPr>
        <w:t>网络安全等级保护</w:t>
      </w:r>
      <w:r>
        <w:rPr>
          <w:rFonts w:hint="eastAsia" w:asciiTheme="minorEastAsia" w:hAnsiTheme="minorEastAsia" w:eastAsiaTheme="minorEastAsia" w:cstheme="minorEastAsia"/>
          <w:color w:val="auto"/>
          <w:sz w:val="24"/>
          <w:szCs w:val="24"/>
        </w:rPr>
        <w:t>定级及测评服务依据：</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《中华人民共和国网络安全法》</w:t>
      </w:r>
    </w:p>
    <w:p>
      <w:pPr>
        <w:spacing w:line="360" w:lineRule="auto"/>
        <w:ind w:firstLine="480" w:firstLineChars="200"/>
        <w:rPr>
          <w:rStyle w:val="7"/>
          <w:rFonts w:hint="eastAsia" w:asciiTheme="minorEastAsia" w:hAnsiTheme="minorEastAsia" w:eastAsiaTheme="minorEastAsia" w:cstheme="minorEastAsia"/>
          <w:b w:val="0"/>
          <w:color w:val="auto"/>
          <w:szCs w:val="24"/>
        </w:rPr>
      </w:pPr>
      <w:r>
        <w:rPr>
          <w:rStyle w:val="7"/>
          <w:rFonts w:hint="eastAsia" w:asciiTheme="minorEastAsia" w:hAnsiTheme="minorEastAsia" w:eastAsiaTheme="minorEastAsia" w:cstheme="minorEastAsia"/>
          <w:b w:val="0"/>
          <w:color w:val="auto"/>
          <w:szCs w:val="24"/>
        </w:rPr>
        <w:t>《GB/T22239-2019信息安全技术 网络安全等级保护基本要求》，</w:t>
      </w:r>
    </w:p>
    <w:p>
      <w:pPr>
        <w:spacing w:line="360" w:lineRule="auto"/>
        <w:ind w:firstLine="480" w:firstLineChars="200"/>
        <w:rPr>
          <w:rStyle w:val="7"/>
          <w:rFonts w:hint="eastAsia" w:asciiTheme="minorEastAsia" w:hAnsiTheme="minorEastAsia" w:eastAsiaTheme="minorEastAsia" w:cstheme="minorEastAsia"/>
          <w:b w:val="0"/>
          <w:color w:val="auto"/>
          <w:szCs w:val="24"/>
        </w:rPr>
      </w:pPr>
      <w:r>
        <w:rPr>
          <w:rStyle w:val="7"/>
          <w:rFonts w:hint="eastAsia" w:asciiTheme="minorEastAsia" w:hAnsiTheme="minorEastAsia" w:eastAsiaTheme="minorEastAsia" w:cstheme="minorEastAsia"/>
          <w:b w:val="0"/>
          <w:color w:val="auto"/>
          <w:szCs w:val="24"/>
        </w:rPr>
        <w:t>《GB/T28448-2019 信息安全技术 网络安全等级保护测评要求》，</w:t>
      </w:r>
    </w:p>
    <w:p>
      <w:pPr>
        <w:spacing w:line="360" w:lineRule="auto"/>
        <w:ind w:firstLine="480" w:firstLineChars="200"/>
        <w:rPr>
          <w:rStyle w:val="7"/>
          <w:rFonts w:hint="eastAsia" w:asciiTheme="minorEastAsia" w:hAnsiTheme="minorEastAsia" w:eastAsiaTheme="minorEastAsia" w:cstheme="minorEastAsia"/>
          <w:b w:val="0"/>
          <w:color w:val="auto"/>
          <w:szCs w:val="24"/>
        </w:rPr>
      </w:pPr>
      <w:r>
        <w:rPr>
          <w:rStyle w:val="7"/>
          <w:rFonts w:hint="eastAsia" w:asciiTheme="minorEastAsia" w:hAnsiTheme="minorEastAsia" w:eastAsiaTheme="minorEastAsia" w:cstheme="minorEastAsia"/>
          <w:b w:val="0"/>
          <w:color w:val="auto"/>
          <w:szCs w:val="24"/>
        </w:rPr>
        <w:t>《GB/T 28449-2018 信息安全技术 网络安全等级保护测评过程指南》，</w:t>
      </w:r>
    </w:p>
    <w:p>
      <w:pPr>
        <w:spacing w:line="360" w:lineRule="auto"/>
        <w:ind w:firstLine="480" w:firstLineChars="200"/>
        <w:rPr>
          <w:rStyle w:val="7"/>
          <w:rFonts w:hint="eastAsia" w:asciiTheme="minorEastAsia" w:hAnsiTheme="minorEastAsia" w:eastAsiaTheme="minorEastAsia" w:cstheme="minorEastAsia"/>
          <w:b w:val="0"/>
          <w:color w:val="auto"/>
          <w:szCs w:val="24"/>
        </w:rPr>
      </w:pPr>
      <w:r>
        <w:rPr>
          <w:rStyle w:val="7"/>
          <w:rFonts w:hint="eastAsia" w:asciiTheme="minorEastAsia" w:hAnsiTheme="minorEastAsia" w:eastAsiaTheme="minorEastAsia" w:cstheme="minorEastAsia"/>
          <w:b w:val="0"/>
          <w:color w:val="auto"/>
          <w:szCs w:val="24"/>
        </w:rPr>
        <w:t>《GB/T 25058-2019 信息安全技术 网络安全等级保护实施指南》。</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3、网络安全等级保护测评内容：</w:t>
      </w:r>
    </w:p>
    <w:p>
      <w:pPr>
        <w:spacing w:before="156" w:beforeLines="50" w:after="156" w:afterLines="5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A．安全技术测评：包括安全物理环境、安全区域边界、安全通信网络、安全计算环境和安全管理中心五个方面的安全测评；</w:t>
      </w:r>
    </w:p>
    <w:p>
      <w:pPr>
        <w:spacing w:before="156" w:beforeLines="50" w:after="156" w:afterLines="5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B．安全管理测评：安全管理机构、安全管理制度、安全管理人员、安全建设管理和安全运维管理五个方面的安全控制测评</w:t>
      </w:r>
    </w:p>
    <w:p>
      <w:pPr>
        <w:spacing w:before="156" w:beforeLines="50" w:after="156" w:afterLines="5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4、提供整改咨询服务，根据所测系统的最终测评报告，对系统现状提出安全整改建议并协助整改工作，以期达到整改目的。</w:t>
      </w:r>
    </w:p>
    <w:p>
      <w:pPr>
        <w:spacing w:before="156" w:beforeLines="50" w:after="156" w:afterLines="50" w:line="24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三</w:t>
      </w:r>
      <w:r>
        <w:rPr>
          <w:rFonts w:hint="eastAsia" w:asciiTheme="minorEastAsia" w:hAnsiTheme="minorEastAsia" w:eastAsiaTheme="minorEastAsia" w:cstheme="minorEastAsia"/>
          <w:b/>
          <w:color w:val="auto"/>
          <w:sz w:val="24"/>
          <w:szCs w:val="24"/>
        </w:rPr>
        <w:t>、测评原则：</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1、客观性和公正性原则：</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测评人员应当没有偏见，在最小主观判断情形下，按照评估双方相互认可的评估方案，基于明确定义的测评方式和解释，实施评估活动。</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2、可重复性和可再现性原则：</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依照同样的要求，使用同样的评估方式，对每个评估实施过程的重复执行应该得到同样的结果。可再现性和可重复性的区别在于，前者与不同评估者评估结果的一致性有关，后者与同一评估者评估结果的一致性有关。</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3、连续性原则：</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确保在高速变化的信息安全环境中，在有效的服务期间内，保证采购方风险评估结论的准确性和及时性，对于采购方单位新增设的信息资产和服务，或新建立的信息化项目，进行局部系统的重新评估。从经济上，降低了采购方单位的成本，从信息安全性上，保证信息安全测评的动态稳定性。</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4、扩展性原则：</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在评估过程结束后，信息安全测评过程要保持扩展性，从扩展的属性上进一步加强测评结束后采购方的安全管理有效性和可用性。</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5、保密原则：</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在测评过程中，需严格遵循保密原则，双方签订保密协议，对服务过程中涉及到的任何用户信息未经允许不向其他任何第三方泄漏，以及不得利用这些信息损害采购方利益。</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6、互动原则：</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在整个测评过程中，强调采购方的互动参与，每个阶段都能够及时根据采购方的要求和实际情况对测评的内容、方式做出相关调整，进而更好的进行风险评估工作。</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7、最小影响原则：</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测评工作应该尽可能小地影响系统和网络的正常运行，不能对业务的正常运行产生明显的影响（包括系统性能明显下降、网络阻塞、服务中断等），如无法避免，则应做出说明。</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8、规范性原则：</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网络安全等级保护测评服务的实施必须由专业的测评服务人员依照规范的操作流程进行，对操作过程和结果要有相应的记录，并提供完整的服务报告。</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9、质量保障原则：</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在整个测评过程中，须特别重视项目质量管理。项目的实施将严格按照项目实施方案和流程进行，并由项目协调小组从中监督，控制项目的进度和质量。</w:t>
      </w:r>
    </w:p>
    <w:p>
      <w:pPr>
        <w:spacing w:before="156" w:beforeLines="50" w:after="156" w:afterLines="50" w:line="24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四</w:t>
      </w:r>
      <w:r>
        <w:rPr>
          <w:rFonts w:hint="eastAsia" w:asciiTheme="minorEastAsia" w:hAnsiTheme="minorEastAsia" w:eastAsiaTheme="minorEastAsia" w:cstheme="minorEastAsia"/>
          <w:b/>
          <w:color w:val="auto"/>
          <w:sz w:val="24"/>
          <w:szCs w:val="24"/>
        </w:rPr>
        <w:t>、测评人员和时限要求：</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1、测评驻场人员要求：本次测评至少需要1名高级测评师，1名中级测评师， 2名初级测评师。本次等保测评项目不得转包或者分包，所有驻场测评师必须是中标公司自己的正式员工,所有驻场测评师必须持证上岗，响应文件中应提供项目组成员名单、社保主管部门出具的响应单位为其缴纳社保的证明、相关证书复印件等，未经采购方同意，项目组成员不得更改。</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2、测评时间要求：按照被测单位要求，合同签订完毕一周内启动测评工作。</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3、测评期限要求：签订合同后60天内完成网络安全等级保护测评并出具盖章报告，并完成备案。</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4、本项目不接受联合体投标。</w:t>
      </w:r>
    </w:p>
    <w:p>
      <w:pPr>
        <w:widowControl/>
        <w:spacing w:line="360" w:lineRule="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五</w:t>
      </w:r>
      <w:r>
        <w:rPr>
          <w:rFonts w:hint="eastAsia" w:asciiTheme="minorEastAsia" w:hAnsiTheme="minorEastAsia" w:eastAsiaTheme="minorEastAsia" w:cstheme="minorEastAsia"/>
          <w:b/>
          <w:bCs/>
          <w:color w:val="auto"/>
          <w:kern w:val="0"/>
          <w:sz w:val="24"/>
          <w:szCs w:val="24"/>
        </w:rPr>
        <w:t>、服务地点</w:t>
      </w:r>
    </w:p>
    <w:p>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采购方</w:t>
      </w:r>
      <w:r>
        <w:rPr>
          <w:rFonts w:hint="eastAsia" w:asciiTheme="minorEastAsia" w:hAnsiTheme="minorEastAsia" w:eastAsiaTheme="minorEastAsia" w:cstheme="minorEastAsia"/>
          <w:color w:val="auto"/>
          <w:kern w:val="0"/>
          <w:sz w:val="24"/>
          <w:szCs w:val="24"/>
        </w:rPr>
        <w:t>指定地点。</w:t>
      </w:r>
    </w:p>
    <w:p>
      <w:pPr>
        <w:widowControl/>
        <w:spacing w:line="360" w:lineRule="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六</w:t>
      </w:r>
      <w:r>
        <w:rPr>
          <w:rFonts w:hint="eastAsia" w:asciiTheme="minorEastAsia" w:hAnsiTheme="minorEastAsia" w:eastAsiaTheme="minorEastAsia" w:cstheme="minorEastAsia"/>
          <w:b/>
          <w:bCs/>
          <w:color w:val="auto"/>
          <w:kern w:val="0"/>
          <w:sz w:val="24"/>
          <w:szCs w:val="24"/>
        </w:rPr>
        <w:t>、付款时间和条件</w:t>
      </w:r>
    </w:p>
    <w:p>
      <w:pPr>
        <w:numPr>
          <w:ilvl w:val="0"/>
          <w:numId w:val="0"/>
        </w:numPr>
        <w:ind w:leftChars="0"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kern w:val="0"/>
          <w:sz w:val="24"/>
        </w:rPr>
        <w:t>本项目的测评费用,在提交测评报告的30个工作日内，由采购方一次性付清全款。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77224"/>
    <w:rsid w:val="2E277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4"/>
    <w:qFormat/>
    <w:uiPriority w:val="99"/>
    <w:pPr>
      <w:spacing w:after="156"/>
      <w:ind w:firstLine="480"/>
    </w:pPr>
    <w:rPr>
      <w:sz w:val="24"/>
    </w:rPr>
  </w:style>
  <w:style w:type="paragraph" w:styleId="4">
    <w:name w:val="envelope return"/>
    <w:basedOn w:val="1"/>
    <w:qFormat/>
    <w:uiPriority w:val="99"/>
    <w:pPr>
      <w:snapToGrid w:val="0"/>
    </w:pPr>
    <w:rPr>
      <w:rFonts w:ascii="Arial" w:hAnsi="Arial"/>
    </w:rPr>
  </w:style>
  <w:style w:type="character" w:customStyle="1" w:styleId="7">
    <w:name w:val="样式 小四 加粗"/>
    <w:basedOn w:val="6"/>
    <w:qFormat/>
    <w:uiPriority w:val="0"/>
    <w:rPr>
      <w:rFonts w:eastAsia="黑体"/>
      <w:b/>
      <w:bCs/>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2021-11-04T12:52:00Z</dcterms:created>
  <dc:creator>li</dc:creator>
  <cp:lastModifiedBy>li</cp:lastModifiedBy>
  <dcterms:modified xsi:type="dcterms:W3CDTF">2021-11-04T12:53:26Z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D33EF25D68654182B9DC67AA2C8E83BD</vt:lpwstr>
  </property>
</Properties>
</file>