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p>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pStyle w:val="51"/>
        <w:keepNext w:val="0"/>
        <w:keepLines w:val="0"/>
        <w:pageBreakBefore w:val="0"/>
        <w:widowControl w:val="0"/>
        <w:kinsoku/>
        <w:wordWrap/>
        <w:topLinePunct w:val="0"/>
        <w:autoSpaceDE/>
        <w:autoSpaceDN/>
        <w:bidi w:val="0"/>
        <w:spacing w:before="0" w:after="0" w:line="360" w:lineRule="auto"/>
        <w:ind w:firstLine="0"/>
        <w:rPr>
          <w:rFonts w:hint="eastAsia" w:ascii="Times New Roman" w:hAnsi="Times New Roman" w:eastAsia="宋体"/>
          <w:b/>
          <w:sz w:val="56"/>
          <w:szCs w:val="56"/>
          <w:lang w:eastAsia="zh-CN"/>
        </w:rPr>
      </w:pPr>
      <w:r>
        <w:rPr>
          <w:rFonts w:hint="eastAsia" w:ascii="Times New Roman" w:hAnsi="Times New Roman" w:eastAsia="宋体"/>
          <w:b/>
          <w:sz w:val="56"/>
          <w:szCs w:val="56"/>
          <w:lang w:eastAsia="zh-CN"/>
        </w:rPr>
        <w:t>南通市第三人民医院多学科会诊平台项目</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30"/>
          <w:szCs w:val="30"/>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keepNext w:val="0"/>
        <w:keepLines w:val="0"/>
        <w:pageBreakBefore w:val="0"/>
        <w:widowControl w:val="0"/>
        <w:kinsoku/>
        <w:wordWrap/>
        <w:topLinePunct w:val="0"/>
        <w:autoSpaceDE/>
        <w:autoSpaceDN/>
        <w:bidi w:val="0"/>
        <w:adjustRightInd w:val="0"/>
        <w:snapToGrid w:val="0"/>
        <w:spacing w:line="360" w:lineRule="auto"/>
        <w:jc w:val="center"/>
        <w:rPr>
          <w:rFonts w:hint="eastAsia" w:ascii="Times New Roman" w:hAnsi="Times New Roman" w:eastAsia="宋体" w:cs="仿宋"/>
          <w:b/>
          <w:sz w:val="32"/>
          <w:szCs w:val="32"/>
          <w:lang w:eastAsia="zh-CN"/>
        </w:rPr>
      </w:pPr>
      <w:r>
        <w:rPr>
          <w:rFonts w:hint="eastAsia" w:ascii="Times New Roman" w:hAnsi="Times New Roman" w:eastAsia="宋体" w:cs="仿宋"/>
          <w:b/>
          <w:sz w:val="32"/>
          <w:szCs w:val="32"/>
        </w:rPr>
        <w:t>二○二</w:t>
      </w:r>
      <w:r>
        <w:rPr>
          <w:rFonts w:hint="eastAsia" w:ascii="Times New Roman" w:hAnsi="Times New Roman" w:eastAsia="宋体" w:cs="仿宋"/>
          <w:b/>
          <w:sz w:val="32"/>
          <w:szCs w:val="32"/>
          <w:lang w:eastAsia="zh-CN"/>
        </w:rPr>
        <w:t>四</w:t>
      </w:r>
      <w:r>
        <w:rPr>
          <w:rFonts w:hint="eastAsia" w:ascii="Times New Roman" w:hAnsi="Times New Roman" w:eastAsia="宋体" w:cs="仿宋"/>
          <w:b/>
          <w:sz w:val="32"/>
          <w:szCs w:val="32"/>
        </w:rPr>
        <w:t>年</w:t>
      </w:r>
      <w:r>
        <w:rPr>
          <w:rFonts w:hint="eastAsia" w:ascii="Times New Roman" w:hAnsi="Times New Roman" w:eastAsia="宋体" w:cs="仿宋"/>
          <w:b/>
          <w:sz w:val="32"/>
          <w:szCs w:val="32"/>
          <w:lang w:eastAsia="zh-CN"/>
        </w:rPr>
        <w:t>一月</w:t>
      </w:r>
    </w:p>
    <w:p>
      <w:pPr>
        <w:rPr>
          <w:rFonts w:hint="eastAsia" w:ascii="Times New Roman" w:hAnsi="Times New Roman" w:eastAsia="宋体" w:cs="仿宋"/>
          <w:b/>
          <w:sz w:val="32"/>
          <w:szCs w:val="32"/>
          <w:lang w:eastAsia="zh-CN"/>
        </w:rPr>
      </w:pPr>
      <w:r>
        <w:rPr>
          <w:rFonts w:hint="eastAsia" w:ascii="Times New Roman" w:hAnsi="Times New Roman" w:eastAsia="宋体" w:cs="仿宋"/>
          <w:b/>
          <w:sz w:val="32"/>
          <w:szCs w:val="32"/>
          <w:lang w:eastAsia="zh-CN"/>
        </w:rPr>
        <w:br w:type="page"/>
      </w:r>
    </w:p>
    <w:p>
      <w:pPr>
        <w:pStyle w:val="2"/>
        <w:rPr>
          <w:rFonts w:hint="eastAsia"/>
        </w:rPr>
      </w:pPr>
    </w:p>
    <w:p>
      <w:pPr>
        <w:keepNext w:val="0"/>
        <w:keepLines w:val="0"/>
        <w:pageBreakBefore w:val="0"/>
        <w:widowControl w:val="0"/>
        <w:kinsoku/>
        <w:wordWrap/>
        <w:topLinePunct w:val="0"/>
        <w:autoSpaceDE/>
        <w:autoSpaceDN/>
        <w:bidi w:val="0"/>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6"/>
        <w:keepNext w:val="0"/>
        <w:keepLines w:val="0"/>
        <w:pageBreakBefore w:val="0"/>
        <w:widowControl w:val="0"/>
        <w:kinsoku/>
        <w:wordWrap/>
        <w:overflowPunct w:val="0"/>
        <w:topLinePunct w:val="0"/>
        <w:autoSpaceDE/>
        <w:autoSpaceDN/>
        <w:bidi w:val="0"/>
        <w:spacing w:line="360" w:lineRule="auto"/>
        <w:ind w:firstLine="0"/>
        <w:jc w:val="center"/>
        <w:rPr>
          <w:rFonts w:ascii="Times New Roman" w:hAnsi="Times New Roman" w:eastAsia="宋体"/>
          <w:sz w:val="30"/>
        </w:rPr>
      </w:pP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第三章 项目需求</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hint="eastAsia" w:ascii="Times New Roman" w:hAnsi="Times New Roman" w:eastAsia="宋体"/>
          <w:sz w:val="32"/>
          <w:szCs w:val="32"/>
        </w:rPr>
        <w:t>第五章 合同授予</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2"/>
        <w:keepNext w:val="0"/>
        <w:keepLines w:val="0"/>
        <w:pageBreakBefore w:val="0"/>
        <w:widowControl w:val="0"/>
        <w:kinsoku/>
        <w:wordWrap/>
        <w:topLinePunct w:val="0"/>
        <w:autoSpaceDE/>
        <w:autoSpaceDN/>
        <w:bidi w:val="0"/>
        <w:spacing w:after="0" w:line="360" w:lineRule="auto"/>
        <w:rPr>
          <w:rFonts w:ascii="Times New Roman" w:hAnsi="Times New Roman" w:eastAsia="宋体"/>
        </w:rPr>
      </w:pPr>
      <w:r>
        <w:rPr>
          <w:rFonts w:ascii="Times New Roman" w:hAnsi="Times New Roman" w:eastAsia="宋体"/>
        </w:rPr>
        <w:br w:type="page"/>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宋体"/>
          <w:bCs/>
          <w:sz w:val="24"/>
          <w:szCs w:val="24"/>
          <w:highlight w:val="none"/>
          <w:u w:val="single"/>
        </w:rPr>
      </w:pPr>
      <w:r>
        <w:rPr>
          <w:rFonts w:hint="eastAsia" w:ascii="Times New Roman" w:hAnsi="Times New Roman" w:eastAsia="宋体" w:cs="Times New Roman"/>
          <w:sz w:val="24"/>
          <w:szCs w:val="24"/>
          <w:lang w:eastAsia="zh-CN"/>
        </w:rPr>
        <w:t>南通市第三人民医院多学科会诊平台项目</w:t>
      </w:r>
      <w:r>
        <w:rPr>
          <w:rFonts w:hint="eastAsia" w:ascii="Times New Roman" w:hAnsi="Times New Roman" w:eastAsia="宋体" w:cs="Times New Roman"/>
          <w:sz w:val="24"/>
          <w:szCs w:val="24"/>
        </w:rPr>
        <w:t>的潜在供应商应在南通市第三人民医院官网获取采购文件，并于</w:t>
      </w:r>
      <w:r>
        <w:rPr>
          <w:rFonts w:hint="eastAsia" w:ascii="Times New Roman" w:hAnsi="Times New Roman" w:eastAsia="宋体" w:cs="宋体"/>
          <w:sz w:val="24"/>
          <w:szCs w:val="24"/>
          <w:highlight w:val="none"/>
          <w:u w:val="single"/>
        </w:rPr>
        <w:t>20</w:t>
      </w:r>
      <w:r>
        <w:rPr>
          <w:rFonts w:hint="eastAsia" w:ascii="Times New Roman" w:hAnsi="Times New Roman" w:eastAsia="宋体" w:cs="宋体"/>
          <w:sz w:val="24"/>
          <w:szCs w:val="24"/>
          <w:highlight w:val="none"/>
          <w:u w:val="single"/>
          <w:lang w:val="en-US" w:eastAsia="zh-CN"/>
        </w:rPr>
        <w:t>24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bCs/>
          <w:sz w:val="24"/>
          <w:szCs w:val="24"/>
          <w:highlight w:val="none"/>
        </w:rPr>
        <w:t>（北京时间）</w:t>
      </w:r>
      <w:r>
        <w:rPr>
          <w:rFonts w:hint="eastAsia" w:ascii="Times New Roman" w:hAnsi="Times New Roman" w:eastAsia="宋体" w:cs="Times New Roman"/>
          <w:sz w:val="24"/>
          <w:szCs w:val="24"/>
          <w:highlight w:val="none"/>
        </w:rPr>
        <w:t>前提交响应文件。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一、项目基本情况</w:t>
      </w:r>
    </w:p>
    <w:p>
      <w:pPr>
        <w:keepNext w:val="0"/>
        <w:keepLines w:val="0"/>
        <w:pageBreakBefore w:val="0"/>
        <w:widowControl w:val="0"/>
        <w:kinsoku/>
        <w:wordWrap/>
        <w:topLinePunct w:val="0"/>
        <w:autoSpaceDE/>
        <w:autoSpaceDN/>
        <w:bidi w:val="0"/>
        <w:spacing w:line="360" w:lineRule="auto"/>
        <w:ind w:firstLine="480" w:firstLineChars="200"/>
        <w:rPr>
          <w:rFonts w:hint="default" w:ascii="Times New Roman" w:hAnsi="Times New Roman" w:eastAsia="宋体" w:cs="宋体"/>
          <w:sz w:val="24"/>
          <w:szCs w:val="24"/>
          <w:highlight w:val="none"/>
          <w:lang w:val="en-US" w:eastAsia="zh-CN"/>
        </w:rPr>
      </w:pPr>
      <w:r>
        <w:rPr>
          <w:rFonts w:hint="eastAsia" w:ascii="Times New Roman" w:hAnsi="Times New Roman" w:eastAsia="宋体" w:cs="宋体"/>
          <w:sz w:val="24"/>
          <w:szCs w:val="24"/>
          <w:highlight w:val="none"/>
        </w:rPr>
        <w:t>1、项目编号：</w:t>
      </w:r>
      <w:r>
        <w:rPr>
          <w:rFonts w:hint="eastAsia" w:ascii="Times New Roman" w:hAnsi="Times New Roman" w:eastAsia="宋体" w:cs="宋体"/>
          <w:sz w:val="24"/>
          <w:szCs w:val="24"/>
          <w:highlight w:val="none"/>
          <w:lang w:val="en-US" w:eastAsia="zh-CN"/>
        </w:rPr>
        <w:t>SY-HXTDHZ1226001</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eastAsia="zh-CN"/>
        </w:rPr>
      </w:pPr>
      <w:r>
        <w:rPr>
          <w:rFonts w:hint="eastAsia" w:ascii="Times New Roman" w:hAnsi="Times New Roman" w:eastAsia="宋体" w:cs="宋体"/>
          <w:sz w:val="24"/>
          <w:szCs w:val="24"/>
          <w:highlight w:val="none"/>
        </w:rPr>
        <w:t>2、项目名称：</w:t>
      </w:r>
      <w:r>
        <w:rPr>
          <w:rFonts w:hint="eastAsia" w:ascii="Times New Roman" w:hAnsi="Times New Roman" w:eastAsia="宋体" w:cs="Times New Roman"/>
          <w:sz w:val="24"/>
          <w:szCs w:val="24"/>
          <w:highlight w:val="none"/>
          <w:lang w:eastAsia="zh-CN"/>
        </w:rPr>
        <w:t>南通市第三人民医院多学科会诊平台项目</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 xml:space="preserve">3、采购人式：□竞争性谈判 </w:t>
      </w:r>
      <w:r>
        <w:rPr>
          <w:rFonts w:hint="eastAsia" w:ascii="Times New Roman" w:hAnsi="Times New Roman" w:eastAsia="MS Mincho" w:cs="MS Mincho"/>
          <w:sz w:val="24"/>
          <w:szCs w:val="24"/>
          <w:highlight w:val="none"/>
        </w:rPr>
        <w:t>☑</w:t>
      </w:r>
      <w:r>
        <w:rPr>
          <w:rFonts w:hint="eastAsia" w:ascii="Times New Roman" w:hAnsi="Times New Roman" w:eastAsia="宋体" w:cs="宋体"/>
          <w:sz w:val="24"/>
          <w:szCs w:val="24"/>
          <w:highlight w:val="none"/>
        </w:rPr>
        <w:t>竞争性磋商 □询价</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4、预算金额：约</w:t>
      </w:r>
      <w:r>
        <w:rPr>
          <w:rFonts w:hint="eastAsia" w:ascii="Times New Roman" w:hAnsi="Times New Roman" w:eastAsia="宋体" w:cs="宋体"/>
          <w:sz w:val="24"/>
          <w:szCs w:val="24"/>
          <w:highlight w:val="none"/>
          <w:u w:val="none"/>
          <w:lang w:val="en-US" w:eastAsia="zh-CN"/>
        </w:rPr>
        <w:t>45</w:t>
      </w:r>
      <w:r>
        <w:rPr>
          <w:rFonts w:hint="eastAsia" w:ascii="Times New Roman" w:hAnsi="Times New Roman" w:eastAsia="宋体" w:cs="宋体"/>
          <w:sz w:val="24"/>
          <w:szCs w:val="24"/>
          <w:highlight w:val="none"/>
        </w:rPr>
        <w:t>万元</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u w:val="single"/>
        </w:rPr>
      </w:pPr>
      <w:r>
        <w:rPr>
          <w:rFonts w:hint="eastAsia" w:ascii="Times New Roman" w:hAnsi="Times New Roman" w:eastAsia="宋体" w:cs="宋体"/>
          <w:sz w:val="24"/>
          <w:szCs w:val="24"/>
          <w:highlight w:val="none"/>
        </w:rPr>
        <w:t>5、</w:t>
      </w:r>
      <w:r>
        <w:rPr>
          <w:rFonts w:hint="eastAsia" w:ascii="Times New Roman" w:hAnsi="Times New Roman" w:eastAsia="宋体" w:cs="宋体"/>
          <w:b/>
          <w:bCs/>
          <w:sz w:val="24"/>
          <w:szCs w:val="24"/>
          <w:highlight w:val="none"/>
        </w:rPr>
        <w:t>最高限价：</w:t>
      </w:r>
      <w:r>
        <w:rPr>
          <w:rFonts w:hint="eastAsia" w:ascii="Times New Roman" w:hAnsi="Times New Roman" w:eastAsia="宋体" w:cs="宋体"/>
          <w:b/>
          <w:bCs/>
          <w:sz w:val="24"/>
          <w:szCs w:val="24"/>
          <w:highlight w:val="none"/>
          <w:u w:val="none"/>
          <w:lang w:val="en-US" w:eastAsia="zh-CN"/>
        </w:rPr>
        <w:t>45</w:t>
      </w:r>
      <w:r>
        <w:rPr>
          <w:rFonts w:hint="eastAsia" w:ascii="Times New Roman" w:hAnsi="Times New Roman" w:eastAsia="宋体" w:cs="宋体"/>
          <w:b/>
          <w:bCs/>
          <w:sz w:val="24"/>
          <w:szCs w:val="24"/>
          <w:highlight w:val="none"/>
          <w:u w:val="none"/>
        </w:rPr>
        <w:t>万</w:t>
      </w:r>
      <w:r>
        <w:rPr>
          <w:rFonts w:hint="eastAsia" w:ascii="Times New Roman" w:hAnsi="Times New Roman" w:eastAsia="宋体" w:cs="宋体"/>
          <w:b/>
          <w:bCs/>
          <w:sz w:val="24"/>
          <w:szCs w:val="24"/>
          <w:highlight w:val="none"/>
        </w:rPr>
        <w:t>元</w:t>
      </w:r>
      <w:r>
        <w:rPr>
          <w:rFonts w:hint="eastAsia" w:ascii="Times New Roman" w:hAnsi="Times New Roman" w:eastAsia="宋体" w:cs="仿宋"/>
          <w:b/>
          <w:bCs/>
          <w:sz w:val="24"/>
          <w:szCs w:val="20"/>
          <w:highlight w:val="none"/>
        </w:rPr>
        <w:t>，报价超过最高限价的为无效响应文件；</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rPr>
      </w:pPr>
      <w:r>
        <w:rPr>
          <w:rFonts w:hint="eastAsia" w:ascii="Times New Roman" w:hAnsi="Times New Roman" w:eastAsia="宋体" w:cs="宋体"/>
          <w:sz w:val="24"/>
          <w:szCs w:val="24"/>
          <w:highlight w:val="none"/>
        </w:rPr>
        <w:t>6、采购需求：</w:t>
      </w:r>
      <w:r>
        <w:rPr>
          <w:rFonts w:hint="eastAsia" w:ascii="Times New Roman" w:hAnsi="Times New Roman" w:eastAsia="宋体" w:cs="宋体"/>
          <w:sz w:val="24"/>
          <w:szCs w:val="24"/>
          <w:highlight w:val="none"/>
          <w:lang w:eastAsia="zh-CN"/>
        </w:rPr>
        <w:t>为第三人民医院采购一套MDT多学科会诊系统，</w:t>
      </w:r>
      <w:r>
        <w:rPr>
          <w:rFonts w:hint="eastAsia" w:ascii="Times New Roman" w:hAnsi="Times New Roman" w:eastAsia="宋体" w:cs="宋体"/>
          <w:sz w:val="24"/>
          <w:szCs w:val="24"/>
          <w:highlight w:val="none"/>
        </w:rPr>
        <w:t>具体内容详见竞争性磋商文件第三章项目需求。</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val="zh-CN" w:eastAsia="zh-CN"/>
        </w:rPr>
      </w:pPr>
      <w:r>
        <w:rPr>
          <w:rFonts w:hint="eastAsia" w:ascii="Times New Roman" w:hAnsi="Times New Roman" w:eastAsia="宋体" w:cs="宋体"/>
          <w:sz w:val="24"/>
          <w:szCs w:val="24"/>
          <w:highlight w:val="none"/>
        </w:rPr>
        <w:t>7、交货期：自合同签署生效之日起60个工作日内，完成系统上线并试运行。</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rPr>
      </w:pPr>
      <w:r>
        <w:rPr>
          <w:rFonts w:hint="eastAsia" w:ascii="Times New Roman" w:hAnsi="Times New Roman" w:eastAsia="宋体" w:cs="宋体"/>
          <w:sz w:val="24"/>
          <w:szCs w:val="24"/>
          <w:highlight w:val="none"/>
        </w:rPr>
        <w:t>8、本项目不接受联合体。</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1、符合《中华人民共和国政府采购法》第二十二条规定，并提供声明函：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keepNext w:val="0"/>
        <w:keepLines w:val="0"/>
        <w:pageBreakBefore w:val="0"/>
        <w:widowControl w:val="0"/>
        <w:kinsoku/>
        <w:wordWrap/>
        <w:topLinePunct w:val="0"/>
        <w:autoSpaceDE/>
        <w:autoSpaceDN/>
        <w:bidi w:val="0"/>
        <w:spacing w:line="360" w:lineRule="auto"/>
        <w:ind w:firstLine="482"/>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lang w:eastAsia="zh-CN"/>
        </w:rPr>
        <w:t>无</w:t>
      </w:r>
      <w:r>
        <w:rPr>
          <w:rFonts w:hint="eastAsia" w:ascii="Times New Roman" w:hAnsi="Times New Roman" w:eastAsia="宋体" w:cs="宋体"/>
          <w:sz w:val="24"/>
          <w:szCs w:val="24"/>
          <w:u w:val="single"/>
          <w:lang w:val="en-US" w:eastAsia="zh-CN"/>
        </w:rPr>
        <w:t xml:space="preserve"> </w:t>
      </w:r>
      <w:r>
        <w:rPr>
          <w:rFonts w:hint="eastAsia" w:ascii="Times New Roman" w:hAnsi="Times New Roman" w:eastAsia="宋体" w:cs="宋体"/>
          <w:sz w:val="24"/>
          <w:szCs w:val="24"/>
          <w:lang w:eastAsia="zh-CN"/>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keepNext w:val="0"/>
        <w:keepLines w:val="0"/>
        <w:pageBreakBefore w:val="0"/>
        <w:widowControl w:val="0"/>
        <w:numPr>
          <w:ilvl w:val="0"/>
          <w:numId w:val="0"/>
        </w:numPr>
        <w:kinsoku/>
        <w:wordWrap/>
        <w:topLinePunct w:val="0"/>
        <w:autoSpaceDE/>
        <w:autoSpaceDN/>
        <w:bidi w:val="0"/>
        <w:snapToGrid w:val="0"/>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rPr>
        <w:t>（1）提供</w:t>
      </w:r>
      <w:r>
        <w:rPr>
          <w:rFonts w:hint="eastAsia" w:ascii="Times New Roman" w:hAnsi="Times New Roman" w:eastAsia="宋体"/>
          <w:color w:val="000000"/>
          <w:sz w:val="24"/>
          <w:szCs w:val="24"/>
          <w:lang w:eastAsia="zh-CN"/>
        </w:rPr>
        <w:t>响应</w:t>
      </w:r>
      <w:r>
        <w:rPr>
          <w:rFonts w:hint="eastAsia" w:ascii="Times New Roman" w:hAnsi="Times New Roman" w:eastAsia="宋体"/>
          <w:color w:val="000000"/>
          <w:sz w:val="24"/>
          <w:szCs w:val="24"/>
        </w:rPr>
        <w:t>供应商企业法人营业执照（副本）及税务登记证（副本）的复印件；或者是三证合一的营业执照（副本）的复印件；</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（2）法定代表人参加</w:t>
      </w:r>
      <w:r>
        <w:rPr>
          <w:rFonts w:hint="eastAsia" w:ascii="Times New Roman" w:hAnsi="Times New Roman" w:eastAsia="宋体"/>
          <w:color w:val="000000"/>
          <w:sz w:val="24"/>
          <w:szCs w:val="24"/>
          <w:lang w:eastAsia="zh-CN"/>
        </w:rPr>
        <w:t>磋商</w:t>
      </w:r>
      <w:r>
        <w:rPr>
          <w:rFonts w:hint="eastAsia" w:ascii="Times New Roman" w:hAnsi="Times New Roman" w:eastAsia="宋体"/>
          <w:color w:val="000000"/>
          <w:sz w:val="24"/>
          <w:szCs w:val="24"/>
        </w:rPr>
        <w:t>的，必须提供法定代表人身份证明及法定代表人本人身份证两项复印件（须加盖单位公章）；非法定代表人参加</w:t>
      </w:r>
      <w:r>
        <w:rPr>
          <w:rFonts w:hint="eastAsia" w:ascii="Times New Roman" w:hAnsi="Times New Roman" w:eastAsia="宋体"/>
          <w:color w:val="000000"/>
          <w:sz w:val="24"/>
          <w:szCs w:val="24"/>
          <w:lang w:eastAsia="zh-CN"/>
        </w:rPr>
        <w:t>磋商</w:t>
      </w:r>
      <w:r>
        <w:rPr>
          <w:rFonts w:hint="eastAsia" w:ascii="Times New Roman" w:hAnsi="Times New Roman" w:eastAsia="宋体"/>
          <w:color w:val="000000"/>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信用中国</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网站（www.creditchina.gov.cn）列入失信被执行人、重大税收违法案件当事人名单、政府采购严重失信行为记录名单；</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w:t>
      </w:r>
      <w:r>
        <w:rPr>
          <w:rFonts w:hint="eastAsia" w:ascii="Times New Roman" w:hAnsi="Times New Roman" w:eastAsia="宋体" w:cs="宋体"/>
          <w:b/>
          <w:kern w:val="0"/>
          <w:sz w:val="24"/>
          <w:szCs w:val="24"/>
          <w:highlight w:val="none"/>
        </w:rPr>
        <w:t>报名</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bookmarkStart w:id="2" w:name="_Toc35393793"/>
      <w:bookmarkStart w:id="3" w:name="_Toc28359005"/>
      <w:bookmarkStart w:id="4" w:name="_Toc35393624"/>
      <w:bookmarkStart w:id="5" w:name="_Toc28359082"/>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自本磋商公告发布之日起至202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2、方式：在南通市第三人民医院官网（http://www.ntdsyy.com/）自行下载采购文件。</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3、售价：300元/份，</w:t>
      </w:r>
      <w:r>
        <w:rPr>
          <w:rFonts w:hint="eastAsia" w:ascii="Times New Roman" w:hAnsi="Times New Roman" w:eastAsia="宋体" w:cs="宋体"/>
          <w:sz w:val="24"/>
          <w:szCs w:val="24"/>
          <w:highlight w:val="none"/>
          <w:lang w:eastAsia="zh-CN"/>
        </w:rPr>
        <w:t>报名时递交给招标代理机构</w:t>
      </w:r>
      <w:r>
        <w:rPr>
          <w:rFonts w:hint="eastAsia" w:ascii="Times New Roman" w:hAnsi="Times New Roman" w:eastAsia="宋体" w:cs="宋体"/>
          <w:sz w:val="24"/>
          <w:szCs w:val="24"/>
          <w:highlight w:val="none"/>
        </w:rPr>
        <w:t>，售后不退。</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4、报名方式：请有意参与本项目</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的供应商于202</w:t>
      </w:r>
      <w:r>
        <w:rPr>
          <w:rFonts w:hint="eastAsia" w:ascii="Times New Roman" w:hAnsi="Times New Roman" w:eastAsia="宋体" w:cs="宋体"/>
          <w:b/>
          <w:sz w:val="24"/>
          <w:szCs w:val="24"/>
          <w:highlight w:val="none"/>
          <w:lang w:val="en-US" w:eastAsia="zh-CN"/>
        </w:rPr>
        <w:t>4</w:t>
      </w:r>
      <w:r>
        <w:rPr>
          <w:rFonts w:hint="eastAsia" w:ascii="Times New Roman" w:hAnsi="Times New Roman" w:eastAsia="宋体" w:cs="宋体"/>
          <w:b/>
          <w:sz w:val="24"/>
          <w:szCs w:val="24"/>
          <w:highlight w:val="none"/>
        </w:rPr>
        <w:t>年</w:t>
      </w:r>
      <w:r>
        <w:rPr>
          <w:rFonts w:hint="eastAsia" w:ascii="Times New Roman" w:hAnsi="Times New Roman" w:eastAsia="宋体" w:cs="宋体"/>
          <w:b/>
          <w:sz w:val="24"/>
          <w:szCs w:val="24"/>
          <w:highlight w:val="none"/>
          <w:lang w:val="en-US" w:eastAsia="zh-CN"/>
        </w:rPr>
        <w:t>1</w:t>
      </w:r>
      <w:r>
        <w:rPr>
          <w:rFonts w:hint="eastAsia" w:ascii="Times New Roman" w:hAnsi="Times New Roman" w:eastAsia="宋体" w:cs="宋体"/>
          <w:b/>
          <w:sz w:val="24"/>
          <w:szCs w:val="24"/>
          <w:highlight w:val="none"/>
        </w:rPr>
        <w:t>月</w:t>
      </w:r>
      <w:r>
        <w:rPr>
          <w:rFonts w:hint="eastAsia" w:ascii="Times New Roman" w:hAnsi="Times New Roman" w:eastAsia="宋体" w:cs="宋体"/>
          <w:b/>
          <w:sz w:val="24"/>
          <w:szCs w:val="24"/>
          <w:highlight w:val="none"/>
          <w:lang w:val="en-US" w:eastAsia="zh-CN"/>
        </w:rPr>
        <w:t>10</w:t>
      </w:r>
      <w:r>
        <w:rPr>
          <w:rFonts w:hint="eastAsia" w:ascii="Times New Roman" w:hAnsi="Times New Roman" w:eastAsia="宋体" w:cs="宋体"/>
          <w:b/>
          <w:sz w:val="24"/>
          <w:szCs w:val="24"/>
          <w:highlight w:val="none"/>
        </w:rPr>
        <w:t>日18时00分前</w:t>
      </w:r>
      <w:r>
        <w:rPr>
          <w:rFonts w:hint="eastAsia" w:ascii="Times New Roman" w:hAnsi="Times New Roman" w:eastAsia="宋体" w:cs="宋体"/>
          <w:b/>
          <w:sz w:val="24"/>
          <w:szCs w:val="24"/>
          <w:highlight w:val="none"/>
          <w:lang w:eastAsia="zh-CN"/>
        </w:rPr>
        <w:t>联系</w:t>
      </w:r>
      <w:r>
        <w:rPr>
          <w:rFonts w:hint="eastAsia" w:ascii="Times New Roman" w:hAnsi="Times New Roman" w:eastAsia="宋体" w:cs="宋体"/>
          <w:b/>
          <w:sz w:val="24"/>
          <w:szCs w:val="24"/>
          <w:highlight w:val="none"/>
        </w:rPr>
        <w:t>代理机构报名</w:t>
      </w:r>
      <w:r>
        <w:rPr>
          <w:rFonts w:hint="eastAsia" w:ascii="Times New Roman" w:hAnsi="Times New Roman" w:eastAsia="宋体" w:cs="宋体"/>
          <w:b/>
          <w:bCs w:val="0"/>
          <w:sz w:val="24"/>
          <w:szCs w:val="24"/>
          <w:highlight w:val="none"/>
          <w:lang w:eastAsia="zh-CN"/>
        </w:rPr>
        <w:t>（联系人：</w:t>
      </w:r>
      <w:r>
        <w:rPr>
          <w:rFonts w:hint="eastAsia" w:ascii="Times New Roman" w:hAnsi="Times New Roman" w:eastAsia="宋体"/>
          <w:b/>
          <w:bCs w:val="0"/>
          <w:sz w:val="24"/>
          <w:szCs w:val="24"/>
        </w:rPr>
        <w:t>董安国</w:t>
      </w:r>
      <w:r>
        <w:rPr>
          <w:rFonts w:hint="eastAsia" w:ascii="Times New Roman" w:hAnsi="Times New Roman" w:eastAsia="宋体"/>
          <w:b/>
          <w:bCs w:val="0"/>
          <w:sz w:val="24"/>
          <w:szCs w:val="24"/>
          <w:lang w:eastAsia="zh-CN"/>
        </w:rPr>
        <w:t>，</w:t>
      </w:r>
      <w:r>
        <w:rPr>
          <w:rFonts w:hint="eastAsia" w:ascii="Times New Roman" w:hAnsi="Times New Roman" w:eastAsia="宋体"/>
          <w:b/>
          <w:bCs w:val="0"/>
          <w:sz w:val="24"/>
          <w:szCs w:val="24"/>
        </w:rPr>
        <w:t>联系电话：</w:t>
      </w:r>
      <w:r>
        <w:rPr>
          <w:rFonts w:hint="eastAsia" w:ascii="Times New Roman" w:hAnsi="Times New Roman" w:eastAsia="宋体" w:cs="宋体"/>
          <w:b/>
          <w:bCs w:val="0"/>
          <w:kern w:val="0"/>
          <w:sz w:val="24"/>
        </w:rPr>
        <w:t>18912299056</w:t>
      </w:r>
      <w:r>
        <w:rPr>
          <w:rFonts w:hint="eastAsia" w:ascii="Times New Roman" w:hAnsi="Times New Roman" w:eastAsia="宋体" w:cs="宋体"/>
          <w:b/>
          <w:bCs w:val="0"/>
          <w:kern w:val="0"/>
          <w:sz w:val="24"/>
          <w:lang w:eastAsia="zh-CN"/>
        </w:rPr>
        <w:t>，</w:t>
      </w:r>
      <w:r>
        <w:rPr>
          <w:rFonts w:hint="eastAsia" w:ascii="Times New Roman" w:hAnsi="Times New Roman" w:eastAsia="宋体" w:cs="宋体"/>
          <w:b/>
          <w:bCs w:val="0"/>
          <w:kern w:val="0"/>
          <w:sz w:val="24"/>
        </w:rPr>
        <w:t>邮箱：812298892@qq.com</w:t>
      </w:r>
      <w:r>
        <w:rPr>
          <w:rFonts w:hint="eastAsia" w:ascii="Times New Roman" w:hAnsi="Times New Roman" w:eastAsia="宋体" w:cs="宋体"/>
          <w:b/>
          <w:bCs w:val="0"/>
          <w:sz w:val="24"/>
          <w:szCs w:val="24"/>
          <w:highlight w:val="none"/>
          <w:lang w:eastAsia="zh-CN"/>
        </w:rPr>
        <w:t>）</w:t>
      </w:r>
      <w:r>
        <w:rPr>
          <w:rFonts w:hint="eastAsia" w:ascii="Times New Roman" w:hAnsi="Times New Roman" w:eastAsia="宋体" w:cs="宋体"/>
          <w:b/>
          <w:sz w:val="24"/>
          <w:szCs w:val="24"/>
          <w:highlight w:val="none"/>
        </w:rPr>
        <w:t>，未报名单位不得参加本项目的</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w:t>
      </w:r>
    </w:p>
    <w:bookmarkEnd w:id="2"/>
    <w:bookmarkEnd w:id="3"/>
    <w:bookmarkEnd w:id="4"/>
    <w:bookmarkEnd w:id="5"/>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6" w:name="_Toc28359084"/>
      <w:bookmarkStart w:id="7" w:name="_Toc35393794"/>
      <w:bookmarkStart w:id="8" w:name="_Toc35393625"/>
      <w:bookmarkStart w:id="9" w:name="_Toc28359007"/>
      <w:r>
        <w:rPr>
          <w:rFonts w:hint="eastAsia" w:ascii="Times New Roman" w:hAnsi="Times New Roman" w:eastAsia="宋体" w:cs="宋体"/>
          <w:b/>
          <w:kern w:val="0"/>
          <w:sz w:val="24"/>
          <w:szCs w:val="24"/>
          <w:highlight w:val="none"/>
        </w:rPr>
        <w:t>四、响应文件提交</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1、提交响应文件截止时间：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r>
        <w:rPr>
          <w:rFonts w:hint="eastAsia" w:ascii="Times New Roman" w:hAnsi="Times New Roman" w:eastAsia="宋体"/>
          <w:sz w:val="24"/>
          <w:highlight w:val="none"/>
        </w:rPr>
        <w:t>逾时，采购人将拒绝接受响应文件纸质文档。</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2、提交响应文件地点：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，如有变动另行通知。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五、开启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14</w:t>
      </w:r>
      <w:bookmarkStart w:id="18" w:name="_GoBack"/>
      <w:bookmarkEnd w:id="18"/>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2、开启文件及开标地点：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六、公告期限</w:t>
      </w:r>
      <w:bookmarkEnd w:id="6"/>
      <w:bookmarkEnd w:id="7"/>
      <w:bookmarkEnd w:id="8"/>
      <w:bookmarkEnd w:id="9"/>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kern w:val="0"/>
          <w:sz w:val="24"/>
          <w:szCs w:val="24"/>
          <w:highlight w:val="none"/>
        </w:rPr>
        <w:t>自本公告发布之日起3个工作日。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Cs/>
          <w:sz w:val="24"/>
          <w:szCs w:val="24"/>
          <w:highlight w:val="none"/>
        </w:rPr>
      </w:pPr>
      <w:r>
        <w:rPr>
          <w:rFonts w:hint="eastAsia" w:ascii="Times New Roman" w:hAnsi="Times New Roman" w:eastAsia="宋体" w:cs="宋体"/>
          <w:b/>
          <w:bCs/>
          <w:sz w:val="24"/>
          <w:szCs w:val="24"/>
          <w:highlight w:val="none"/>
        </w:rPr>
        <w:t>七、</w:t>
      </w:r>
      <w:r>
        <w:rPr>
          <w:rFonts w:hint="eastAsia" w:ascii="Times New Roman" w:hAnsi="Times New Roman" w:eastAsia="宋体" w:cs="宋体"/>
          <w:b/>
          <w:sz w:val="24"/>
          <w:szCs w:val="24"/>
          <w:highlight w:val="none"/>
        </w:rPr>
        <w:t>其他补充事宜</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rPr>
        <w:t>1、</w:t>
      </w:r>
      <w:r>
        <w:rPr>
          <w:rFonts w:hint="eastAsia" w:ascii="Times New Roman" w:hAnsi="Times New Roman" w:eastAsia="宋体" w:cs="宋体"/>
          <w:kern w:val="0"/>
          <w:sz w:val="24"/>
          <w:szCs w:val="24"/>
          <w:highlight w:val="none"/>
          <w:lang w:val="en-US" w:eastAsia="zh-CN"/>
        </w:rPr>
        <w:t>磋商保证金：免收。</w:t>
      </w:r>
      <w:r>
        <w:rPr>
          <w:rFonts w:hint="eastAsia" w:ascii="Times New Roman" w:hAnsi="Times New Roman" w:eastAsia="宋体" w:cs="宋体"/>
          <w:kern w:val="0"/>
          <w:sz w:val="24"/>
          <w:szCs w:val="24"/>
          <w:highlight w:val="none"/>
        </w:rPr>
        <w:t>本项目不收取磋商保证金，采购文件中涉及磋商保证金的事项，均按免收保证金执行。</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rPr>
        <w:t>2、</w:t>
      </w:r>
      <w:r>
        <w:rPr>
          <w:rFonts w:hint="default" w:ascii="Times New Roman" w:hAnsi="Times New Roman" w:eastAsia="宋体" w:cs="宋体"/>
          <w:kern w:val="0"/>
          <w:sz w:val="24"/>
          <w:szCs w:val="24"/>
          <w:highlight w:val="none"/>
          <w:lang w:val="en-US" w:eastAsia="zh-CN"/>
        </w:rPr>
        <w:t>项目磋商活动模式：</w:t>
      </w:r>
      <w:r>
        <w:rPr>
          <w:rFonts w:hint="eastAsia" w:ascii="Times New Roman" w:hAnsi="Times New Roman" w:eastAsia="宋体" w:cs="宋体"/>
          <w:kern w:val="0"/>
          <w:sz w:val="24"/>
          <w:szCs w:val="24"/>
          <w:highlight w:val="none"/>
          <w:lang w:val="en-US" w:eastAsia="zh-CN"/>
        </w:rPr>
        <w:t>现场磋商模式</w:t>
      </w:r>
      <w:r>
        <w:rPr>
          <w:rFonts w:hint="default" w:ascii="Times New Roman" w:hAnsi="Times New Roman" w:eastAsia="宋体" w:cs="宋体"/>
          <w:kern w:val="0"/>
          <w:sz w:val="24"/>
          <w:szCs w:val="24"/>
          <w:highlight w:val="none"/>
          <w:lang w:val="en-US" w:eastAsia="zh-CN"/>
        </w:rPr>
        <w:t>。</w:t>
      </w:r>
    </w:p>
    <w:p>
      <w:pPr>
        <w:keepNext w:val="0"/>
        <w:keepLines w:val="0"/>
        <w:pageBreakBefore w:val="0"/>
        <w:widowControl w:val="0"/>
        <w:kinsoku/>
        <w:wordWrap/>
        <w:topLinePunct w:val="0"/>
        <w:autoSpaceDE/>
        <w:autoSpaceDN/>
        <w:bidi w:val="0"/>
        <w:spacing w:line="360" w:lineRule="auto"/>
        <w:ind w:firstLine="480" w:firstLineChars="200"/>
        <w:rPr>
          <w:rFonts w:hint="default" w:ascii="Times New Roman" w:hAnsi="Times New Roman" w:eastAsia="宋体" w:cs="宋体"/>
          <w:kern w:val="0"/>
          <w:sz w:val="24"/>
          <w:szCs w:val="24"/>
          <w:highlight w:val="none"/>
          <w:lang w:val="en-US" w:eastAsia="zh-CN"/>
        </w:rPr>
      </w:pPr>
      <w:r>
        <w:rPr>
          <w:rFonts w:hint="default" w:ascii="Times New Roman" w:hAnsi="Times New Roman" w:eastAsia="宋体" w:cs="宋体"/>
          <w:kern w:val="0"/>
          <w:sz w:val="24"/>
          <w:szCs w:val="24"/>
          <w:highlight w:val="none"/>
          <w:lang w:val="en-US" w:eastAsia="zh-CN"/>
        </w:rPr>
        <w:t>3、项目演示、样品、答辩等：无。</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lang w:val="en-US" w:eastAsia="zh-CN"/>
        </w:rPr>
        <w:t>4、</w:t>
      </w:r>
      <w:r>
        <w:rPr>
          <w:rFonts w:hint="eastAsia" w:ascii="Times New Roman" w:hAnsi="Times New Roman" w:eastAsia="宋体" w:cs="宋体"/>
          <w:kern w:val="0"/>
          <w:sz w:val="24"/>
          <w:szCs w:val="24"/>
          <w:highlight w:val="none"/>
        </w:rPr>
        <w:t>对项目需求部分（供应商其他资格要求、项目需求、评分标准）的询问、质疑请向采购人提出，由采购人负责答复；对项目磋商文件其它部分的询问请向采购人或招标代理提出。</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lang w:val="en-US" w:eastAsia="zh-CN"/>
        </w:rPr>
        <w:t>5</w:t>
      </w:r>
      <w:r>
        <w:rPr>
          <w:rFonts w:hint="eastAsia" w:ascii="Times New Roman" w:hAnsi="Times New Roman" w:eastAsia="宋体" w:cs="宋体"/>
          <w:kern w:val="0"/>
          <w:sz w:val="24"/>
          <w:szCs w:val="24"/>
          <w:highlight w:val="none"/>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w:t>
      </w:r>
      <w:r>
        <w:rPr>
          <w:rFonts w:hint="eastAsia" w:ascii="Times New Roman" w:hAnsi="Times New Roman" w:eastAsia="宋体"/>
          <w:sz w:val="24"/>
          <w:szCs w:val="24"/>
          <w:lang w:val="en-US" w:eastAsia="zh-CN"/>
        </w:rPr>
        <w:t>60</w:t>
      </w:r>
      <w:r>
        <w:rPr>
          <w:rFonts w:hint="eastAsia" w:ascii="Times New Roman" w:hAnsi="Times New Roman" w:eastAsia="宋体"/>
          <w:sz w:val="24"/>
          <w:szCs w:val="24"/>
        </w:rPr>
        <w:t>号</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bCs/>
          <w:sz w:val="24"/>
          <w:lang w:eastAsia="zh-CN"/>
        </w:rPr>
      </w:pPr>
      <w:r>
        <w:rPr>
          <w:rFonts w:hint="eastAsia" w:ascii="Times New Roman" w:hAnsi="Times New Roman" w:eastAsia="宋体" w:cs="宋体"/>
          <w:bCs/>
          <w:sz w:val="24"/>
        </w:rPr>
        <w:t>联系人：钱</w:t>
      </w:r>
      <w:r>
        <w:rPr>
          <w:rFonts w:hint="eastAsia" w:ascii="Times New Roman" w:hAnsi="Times New Roman" w:eastAsia="宋体" w:cs="宋体"/>
          <w:bCs/>
          <w:sz w:val="24"/>
          <w:lang w:eastAsia="zh-CN"/>
        </w:rPr>
        <w:t>先生</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联系电话：0513-85116168</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kern w:val="0"/>
          <w:sz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pStyle w:val="9"/>
        <w:keepNext w:val="0"/>
        <w:keepLines w:val="0"/>
        <w:pageBreakBefore w:val="0"/>
        <w:widowControl w:val="0"/>
        <w:kinsoku/>
        <w:wordWrap/>
        <w:topLinePunct w:val="0"/>
        <w:autoSpaceDE/>
        <w:autoSpaceDN/>
        <w:bidi w:val="0"/>
        <w:spacing w:line="360" w:lineRule="auto"/>
        <w:rPr>
          <w:kern w:val="0"/>
        </w:rPr>
      </w:pPr>
      <w:r>
        <w:rPr>
          <w:kern w:val="0"/>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5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4、澄清或者修改的内容可能影响到响应文件编制的，代理机构应当在提交响应文件接收截止之日3个工作日前，发布澄清或者修改公告，不足3个工作日的，当顺延提交响应文件接收截止时间。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供应商按磋商文件要求编写响应文件，并牢固装订成册。响应文件均需采用A4纸（图纸等除外）装订。响应文件不得行间插字、涂改、增删，如修改错漏处，须经响应文件签署人签字并加盖公章。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正本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壹份和</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副本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叁份。</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字样。</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和</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若有差异，概以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为准。</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，其正文内容须按磋商文件要求由供应商法定代表人或被授权人签字（或盖章）并加盖单位公章。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可复印，但须加盖单位公章。</w:t>
      </w:r>
    </w:p>
    <w:p>
      <w:pPr>
        <w:keepNext w:val="0"/>
        <w:keepLines w:val="0"/>
        <w:pageBreakBefore w:val="0"/>
        <w:widowControl w:val="0"/>
        <w:kinsoku/>
        <w:wordWrap/>
        <w:topLinePunct w:val="0"/>
        <w:autoSpaceDE/>
        <w:autoSpaceDN/>
        <w:bidi w:val="0"/>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或</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中，均不得含有报价响应文件中报价表（报价单）内的任何项目价格，否则作无效投标处理。</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4、本项目报价为固定价格报价，供应商应充分考虑服务实施期间各类市场价格和政策性价格调整因素，确定价格风险计入总报价，今后不作调整。（</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报价应包括完成本项目所需的一切费用，包括但不限于</w:t>
      </w:r>
      <w:r>
        <w:rPr>
          <w:rFonts w:hint="eastAsia" w:ascii="宋体" w:hAnsi="宋体"/>
          <w:bCs/>
          <w:sz w:val="24"/>
          <w:szCs w:val="24"/>
        </w:rPr>
        <w:t>服务的成本、利润、税金、开办费、政策性调整风险费等的所有费用；人工费、检测费、管理费；国家税务部门规定的各项税金；相关伴随服务以及售后服务等一切费用</w:t>
      </w:r>
      <w:r>
        <w:rPr>
          <w:rFonts w:hint="eastAsia" w:ascii="Times New Roman" w:hAnsi="Times New Roman" w:eastAsia="宋体" w:cs="宋体"/>
          <w:sz w:val="24"/>
          <w:szCs w:val="24"/>
        </w:rPr>
        <w:t>。同时，报价也应包含合同履行过程中可能发生的一切风险。）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1、磋商文件每套售价300元，在</w:t>
      </w:r>
      <w:r>
        <w:rPr>
          <w:rFonts w:hint="eastAsia" w:ascii="Times New Roman" w:hAnsi="Times New Roman" w:eastAsia="宋体" w:cs="宋体"/>
          <w:sz w:val="24"/>
          <w:szCs w:val="24"/>
          <w:lang w:eastAsia="zh-CN"/>
        </w:rPr>
        <w:t>报名</w:t>
      </w:r>
      <w:r>
        <w:rPr>
          <w:rFonts w:hint="eastAsia" w:ascii="Times New Roman" w:hAnsi="Times New Roman" w:eastAsia="宋体" w:cs="宋体"/>
          <w:sz w:val="24"/>
          <w:szCs w:val="24"/>
        </w:rPr>
        <w:t>的同时提交给</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代理机构。</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向成交供应商收取代理服务费，按国家发改委颁发的[2011]534号文《国家发改委关于降低部分建设项目收费标准规范收费行为等有关问题的通知》的有关规定执行，具体如下：</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服务费按差额定率累进法计算，以成交通知书确定的</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金额作为收费的计算依据，按招标收费标准下浮40%计算，不满1500元的，按1500元收取。</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日历天</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内响应文件应保持有效。有效期短于这个规定期限的磋商，将被拒绝。</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一、采购标的需实现的功能或者目标, 以及为落实政府采购政策需满足的要求</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随着国家医改的逐步推进以及互联网的发展，MDT成为医疗发展的必经之路，互联网+医疗健康成为大趋势。在医改的环境下大型综合性医院主要任务转为疑难、急危重症疾病的诊疗，而MDT模式能最大程度发挥大型综合性医院的专科优势。通过多学科会诊，针对具体患者制定个性化治疗方案，提高诊疗效率和患者的满意度。</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仿宋" w:hAnsi="仿宋" w:eastAsia="仿宋" w:cs="仿宋"/>
          <w:sz w:val="24"/>
          <w:szCs w:val="24"/>
        </w:rPr>
      </w:pPr>
      <w:r>
        <w:rPr>
          <w:rFonts w:hint="eastAsia" w:ascii="Times New Roman" w:hAnsi="Times New Roman" w:eastAsia="宋体" w:cs="宋体"/>
          <w:bCs/>
          <w:sz w:val="24"/>
          <w:szCs w:val="24"/>
        </w:rPr>
        <w:t>我院MDT多学科会诊系统的建设，能够改变以单一科室为主导的方式，真正实现以病人为中心制定诊疗方案，有利于提高诊疗效率，有利于整合医院优势医疗科室资源，打造医院知名服务品牌。现拟采购一套MDT多学科会诊系统。</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二、采购标的需执行的国家相关标准、行业标准、地方标准或者其他标准、规范</w:t>
      </w:r>
    </w:p>
    <w:p>
      <w:pPr>
        <w:pStyle w:val="19"/>
        <w:keepNext w:val="0"/>
        <w:keepLines w:val="0"/>
        <w:pageBreakBefore w:val="0"/>
        <w:widowControl w:val="0"/>
        <w:kinsoku/>
        <w:wordWrap/>
        <w:topLinePunct w:val="0"/>
        <w:autoSpaceDE/>
        <w:autoSpaceDN/>
        <w:bidi w:val="0"/>
        <w:spacing w:before="0" w:beforeAutospacing="0" w:after="0" w:afterAutospacing="0" w:line="360" w:lineRule="auto"/>
        <w:ind w:firstLine="480" w:firstLineChars="200"/>
        <w:jc w:val="both"/>
        <w:rPr>
          <w:rFonts w:ascii="仿宋" w:hAnsi="仿宋" w:eastAsia="仿宋" w:cs="仿宋"/>
          <w:kern w:val="2"/>
        </w:rPr>
      </w:pPr>
      <w:bookmarkStart w:id="10" w:name="OLE_LINK2"/>
      <w:r>
        <w:rPr>
          <w:rFonts w:hint="eastAsia" w:ascii="Times New Roman" w:hAnsi="Times New Roman" w:eastAsia="宋体" w:cs="宋体"/>
          <w:bCs/>
          <w:kern w:val="2"/>
          <w:sz w:val="24"/>
          <w:szCs w:val="24"/>
          <w:lang w:val="en-US" w:eastAsia="zh-CN" w:bidi="ar-SA"/>
        </w:rPr>
        <w:t>产品的技术标准按国家标准执行，无国家标准的，按行业标准执行，无国家和行业标准的，按企业标准执行；但在采购文件中有特别要求的，按采购文件中规定的要求执行，并且符合相关法律、法规规定的要求。</w:t>
      </w:r>
      <w:bookmarkEnd w:id="10"/>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三、采购标的需满足的质量、安全、技术规格、物理特性等要求</w:t>
      </w:r>
    </w:p>
    <w:tbl>
      <w:tblPr>
        <w:tblStyle w:val="2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4"/>
        <w:gridCol w:w="1459"/>
        <w:gridCol w:w="1485"/>
        <w:gridCol w:w="52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459"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软件名称</w:t>
            </w:r>
          </w:p>
        </w:tc>
        <w:tc>
          <w:tcPr>
            <w:tcW w:w="148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软件模块</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功能技术指标要求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restart"/>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459" w:type="dxa"/>
            <w:vMerge w:val="restart"/>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MDT医疗数据异构集成软件</w:t>
            </w: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异构系统接口</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1）支持与集成平台、HIS、EMR、LIS、PACS/RIS、超声、内镜、病理、心电等异构信息系统接口，以患者为核心的诊疗数据异构集成;</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2）支持DICOM Query/Retrieve接口，对医学影像采集和传输能力；</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3）支持WebService接口方式；</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4）支持对接Oracle、SQL等数据库，支持中间表、数据库视图等接口方式。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临床数据采集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1）支持从各业务系统采集患者基本信息和临床诊疗数据。</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2）支持从HIS获取会诊患者基本信息、医嘱等数据；</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3）支持从EMR获取会诊患者入院病历、病程记录等数据；</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4）支持从LIS获取会诊患者检验结果等；</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5）支持采集策略设置，支持按T+1定时采集，支持按患者即时采集；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6）支持对采集的患者基本信息和临床诊疗数据进行关联。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影像数据采集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▲1）支持从PACS系统实时采集DICOM全序列影像数据能力，支持DICOM Query/Retrieve服务、FTP服务、LAN方式直连多种影像采集模式，按策略采集、传输DICOM序列影像文件</w:t>
            </w:r>
            <w:r>
              <w:rPr>
                <w:rFonts w:hint="eastAsia" w:ascii="宋体" w:hAnsi="宋体" w:eastAsia="宋体" w:cs="宋体"/>
                <w:b/>
                <w:bCs/>
                <w:sz w:val="24"/>
                <w:szCs w:val="24"/>
              </w:rPr>
              <w:t>（提供影像数据采集相关的计算机软件著作权登记证扫描件，著作权登记时间以项目招标公告发布之日前为准）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2）支持从RIS获取会诊患者检查诊断报告；</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3）支持从超声影像系统采集会诊患者检查报告和超声影像文件；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4）支持从内镜影像系统采集会诊患者检查报告和内镜影像文件；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5）支持从病理影像系统采集会诊患者检查报告和病理影像文件；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6）支持从心电信息系统采集会诊患者检查报告和心电JPEG或PDF格式图像文件。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外院病历导入</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▲1）支持患者基本信息录入和外院病历资料导入，包括纸质病历、检验结果单、检查报告单资等拍照导入</w:t>
            </w:r>
            <w:r>
              <w:rPr>
                <w:rFonts w:hint="eastAsia" w:ascii="宋体" w:hAnsi="宋体" w:eastAsia="宋体" w:cs="宋体"/>
                <w:b/>
                <w:bCs/>
                <w:sz w:val="24"/>
                <w:szCs w:val="24"/>
              </w:rPr>
              <w:t>（提供病历录入相关的计算机软件著作权登记证扫描件，著作权登记时间以项目招标公告发布之日前为准）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2）支持胶片采用胶片扫描仪扫描录入；</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3）支持DICOM数字影像支持数据导入。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患者数据存储</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1）支持创建MDT医疗数据中心，会诊患者全部临床诊疗数据统一标准、集中存储；</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2）支持索引信息和诊断信息以数据库存储格式存储；</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3）支持医学影像文件以文件格式存储；</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4）支持医学影像类数据与非影像类数据共同使用唯一索引；</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5）支持提供授权用户查询。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影像云计算</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▲1）支持影像云计算引擎服务集群，影像云计算单元实时划分，支持CT、MRI、CR、DR、DSA、RF、US等DICOM影像数据即时加载和运算</w:t>
            </w:r>
            <w:r>
              <w:rPr>
                <w:rFonts w:hint="eastAsia" w:ascii="宋体" w:hAnsi="宋体" w:eastAsia="宋体" w:cs="宋体"/>
                <w:b/>
                <w:bCs/>
                <w:sz w:val="24"/>
                <w:szCs w:val="24"/>
              </w:rPr>
              <w:t>（提供影像云计算相关的计算机软件著作权登记证扫描件，著作权登记时间以项目招标公告发布之日前为准）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2）支持即时处理终端操作指令、并返回处理结果图像；</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3）支持终端设备DICOM图像窗宽/窗位、缩放、移动等基本处理指令；</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4）支持Wifi、4G、5G网络带宽环境下的终端应用服务；</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5）支持多任务、多并发负载均衡。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restart"/>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459" w:type="dxa"/>
            <w:vMerge w:val="restart"/>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MDT多学科会诊软件</w:t>
            </w: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专家管理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1）支持建立会诊专家管理，为每位专家分配登录账号；</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2）支持专家用户按科室分组。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会诊管理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1）支持涵盖DICOM医学影像传输和图像处理门诊MDT会诊、住院MDT会诊、远程MDT会诊等远程会诊应用；</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2）支持MDT会诊申请，提供会诊申请及取消申请功能，支持与HIS接口获取已缴费的MDT会诊申请信息；</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3）支持会诊分配，MDT管理人员根据会诊申请信息，预约MDT专家，确定会诊时间；</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4）支持会诊信息通知，支持与医院短信平台对接，即时通知被邀请参与会诊的专家、会诊申请医生、会诊患者；</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5）支持会诊记录，包括会诊发起时间、会诊结束时间等；</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6）支持会诊报告及发放，被邀请会诊专家提交会诊意见，对已审签的会诊报告，可以通过打印机打印给患者。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会诊质控</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▲1）支持专人对会诊患者资料审核及质控</w:t>
            </w:r>
            <w:r>
              <w:rPr>
                <w:rFonts w:hint="eastAsia" w:ascii="宋体" w:hAnsi="宋体" w:eastAsia="宋体" w:cs="宋体"/>
                <w:b/>
                <w:bCs/>
                <w:sz w:val="24"/>
                <w:szCs w:val="24"/>
              </w:rPr>
              <w:t>（提供会诊质控相关的计算机软件著作权登记证扫描件，著作权登记时间以项目招标公告发布之日前为准）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2）支持对不符合会诊申请条件、病历资料不全等会诊申请驳回。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会诊统计</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1）支持会诊申请量统计；</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2）支持专家会诊量统计；</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3）支持按病种会诊量统计；</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4）支持会诊统计数据可视化图形展现，以及统计数据的导出。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同屏会诊服务</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1）支持Windows、Android、IOS会诊终端的跨平台病历、检验、医嘱信息同步交互，支持跨平台影像同屏操作指令处理；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2）支持实时建立会诊双方稳定的全双工音频通道，通过声音软件处理技术实现会诊双方的语音通讯；</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3）支持实时建立会诊双方稳定的高清、标清视频通道，通过视频压缩传输处理技术实现会诊双方的视频通讯。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移动端融合通讯服务</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1）支持通过用户通讯录创建在线病历讨论群；</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▲2）支持群内在线文字、语音、音视频即时交互等融合通信服务</w:t>
            </w:r>
            <w:r>
              <w:rPr>
                <w:rFonts w:hint="eastAsia" w:ascii="宋体" w:hAnsi="宋体" w:eastAsia="宋体" w:cs="宋体"/>
                <w:b/>
                <w:bCs/>
                <w:sz w:val="24"/>
                <w:szCs w:val="24"/>
              </w:rPr>
              <w:t>（提供融合通信相关的计算机软件著作权登记证扫描件，著作权登记时间以项目招标公告发布之日前为准）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3）支持病例数据调阅限时授权分享给讨论群用户，包括电子病历、影像检查、检验结果、医嘱等；</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4）支持群内图片、文件传输功能。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restart"/>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459" w:type="dxa"/>
            <w:vMerge w:val="restart"/>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color w:val="000000"/>
                <w:kern w:val="0"/>
                <w:sz w:val="24"/>
                <w:szCs w:val="24"/>
              </w:rPr>
              <w:t>MDT会诊室远程同屏会诊软件</w:t>
            </w: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登录检索</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1）支持会诊终端按授权用户名登录；</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2）支持按用户权限查询相关患者，住院患者按科室或病区分组，门诊患者按姓名、门诊号等查询；</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3）支持我的关注收藏患者功能。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诊疗数据调阅</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1）支持调阅患者的入院病历和病历记录；</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2）支持调阅患者诊疗期间的长期医嘱、临时医嘱；</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3）支持调阅患者诊疗期间的生化检验结果，对于异常值支持差异颜色字体提示；</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4）支持调阅患者诊疗期间放射、超声、内镜、病理影像检查已发布的诊断报告。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影像调阅及图像处理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1）支持在线调阅CT、MR、CR、DR、DSA、ECT、PET/CT、数字乳腺、数字胃肠等DICOM影像；</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2）支持图像窗宽/窗位、移动、缩放、测量、标注等功能；</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3）支持CT影像播放、序列对比、MPR等图像处理功能。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会诊申请/记录查询</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1）支持点名会诊申请，直接从通讯录邀请会诊专家；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2）支持预约会诊申请，通过中心端分配专家；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3）支持提交会诊申请时，可同步将患者病历数据授权分享给被邀请专家，专家可预诊断；</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4）支持会诊记录查询和会诊状态显示。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bookmarkStart w:id="11" w:name="_Toc99724229"/>
            <w:r>
              <w:rPr>
                <w:rFonts w:hint="eastAsia" w:ascii="宋体" w:hAnsi="宋体" w:eastAsia="宋体" w:cs="宋体"/>
                <w:sz w:val="24"/>
                <w:szCs w:val="24"/>
              </w:rPr>
              <w:t>即时会诊呼叫/应答</w:t>
            </w:r>
            <w:bookmarkEnd w:id="11"/>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1）支持邀请方即时通过通讯录，向被邀方发出会诊请求；</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2）支持被邀会诊即时弹出被邀窗口，显示申请会诊方；</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3）支持可选接受或拒绝该次会诊申请。</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4）支持因网络等故障导致的会诊中断，再次加入功能。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会诊实时同屏交互</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1）支持Android、IOS、Windows跨平台同屏会诊交互；</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2）支持参与会诊多方同步调阅电子病历、影像检查、检验结果、医嘱等资料；</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3）支持参与会诊多方影像处理交互操作和标注功能同屏显示。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会诊报告</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1）可查看专家会诊报告；</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2）支持会诊完成后，会诊方书写会诊意见；</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3）支持会诊报告模板可根据需求定制；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4）支持会诊报告打印输出。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restart"/>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459" w:type="dxa"/>
            <w:vMerge w:val="restart"/>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color w:val="000000"/>
                <w:kern w:val="0"/>
                <w:sz w:val="24"/>
                <w:szCs w:val="24"/>
              </w:rPr>
              <w:t>MDT APP移动会诊软件</w:t>
            </w: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登录检索</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1）支持会诊终端按授权用户名登录；</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2）支持按用户权限查询相关患者，住院患者按科室或病区分组，门诊患者按姓名、门诊号等查询；</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3）支持我的关注收藏患者功能。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诊疗数据调阅</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1）支持调阅患者的入院病历和病历记录；</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2）支持调阅患者诊疗期间的长期医嘱、临时医嘱；</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3）支持调阅患者诊疗期间的生化检验结果，对于异常值支持差异颜色字体提示；</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4）支持调阅患者诊疗期间放射、超声、内镜、病理影像检查已发布的诊断报告。</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5）支持水印功能，安卓手机端可禁止屏幕截图功能。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影像调阅及图像处理</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▲1）支持CT、MR、CR、DR、DSA、ECT、PET/CT、数字乳腺、数字胃肠等DICOM影像在移动端的调阅和DICOM图像处理，DICOM影像数据无须下载</w:t>
            </w:r>
            <w:r>
              <w:rPr>
                <w:rFonts w:hint="eastAsia" w:ascii="宋体" w:hAnsi="宋体" w:eastAsia="宋体" w:cs="宋体"/>
                <w:b/>
                <w:bCs/>
                <w:sz w:val="24"/>
                <w:szCs w:val="24"/>
              </w:rPr>
              <w:t>（提供移动影像处理相关的计算机软件著作权登记证扫描件，著作权登记时间以项目招标公告发布之日前为准）</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2）支持基于图像云计算的DICOM图像窗宽/窗位调节、移动、缩放等处理功能；</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3）支持超声、内镜、病理、心电图像显示。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在线病历讨论</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1）支持Android、IOS跨平台图文、语音、视音频的融合通讯功能；</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2）支持移动用户在线与通讯录其他用户创建多人的病例讨论群组，支持讨论群文字、语音、音视频在线即时通讯和交流；</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▲3）支持将患者病例授权分享到讨论群，可设置分享病例授权查看时间</w:t>
            </w:r>
            <w:r>
              <w:rPr>
                <w:rFonts w:hint="eastAsia" w:ascii="宋体" w:hAnsi="宋体" w:eastAsia="宋体" w:cs="宋体"/>
                <w:b/>
                <w:bCs/>
                <w:sz w:val="24"/>
                <w:szCs w:val="24"/>
              </w:rPr>
              <w:t>（提供病历授权查看时间设置界面的截图）</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4）支持群内用户调阅分享病历资料，包括电子病历、影像检查、检验结果、医嘱等；</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5）支持群内用户在线同步影像处理交互操作和标注功能同屏显示。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 w:hRule="atLeast"/>
          <w:jc w:val="center"/>
        </w:trPr>
        <w:tc>
          <w:tcPr>
            <w:tcW w:w="794"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59" w:type="dxa"/>
            <w:vMerge w:val="continue"/>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p>
        </w:tc>
        <w:tc>
          <w:tcPr>
            <w:tcW w:w="1485"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跨平台交互会诊</w:t>
            </w:r>
          </w:p>
        </w:tc>
        <w:tc>
          <w:tcPr>
            <w:tcW w:w="5208"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1）支持即时点名会诊和预约会诊，用户可在移动端选择患者创建会诊申请单，并提交会诊申请；</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2）支持会诊申请提交时，会诊患者病历资料授权分享功能，支持患者病历资料分项内容可选设置；</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3）支持会诊申请通过后即时以会诊患者创建的会诊通讯群，被邀请专家可在群内调阅分享的会诊患者电子病历信息、检查报告和医学影像、检验结果、医嘱信息等分享的病历资料，进行预诊断；</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4）支持被邀请会诊专家、申请医生在会诊患者交流群中，在线交流和讨论；</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5）支持用户会诊记录查询和会诊状态显示；</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6）支持移动端在线即时视音频会诊请求即时发起和接收功能，被邀请用户终端会诊信息提醒功能；</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7）支持会诊电子签到功能；</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8）支持Android、IOS、Windows跨平台实时远程同屏交互会诊，参与会诊多方同步调阅电子病历、检查报告、检验结果、医嘱等病历信息资料，影像窗宽窗位、缩放、移动等图像处理和标注功能同屏交互显示；</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9）支持参与会诊移动终端多方语音、视频交互，支持多通道视音频信号同屏显示，多路混音方便在会议中进行讨论，支持多方参与者视音频控制。</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10）支持被邀请人在线会诊讨论结束后，会诊意见编辑和录入；</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11）支持会诊意见语音录入，可对接第三方语音识别软件，将语音录入转换文字报告；</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▲12）支持会诊意见提交时屏幕数字签名和视频认证功能</w:t>
            </w:r>
            <w:r>
              <w:rPr>
                <w:rFonts w:hint="eastAsia" w:ascii="宋体" w:hAnsi="宋体" w:eastAsia="宋体" w:cs="宋体"/>
                <w:b/>
                <w:bCs/>
                <w:sz w:val="24"/>
                <w:szCs w:val="24"/>
              </w:rPr>
              <w:t>（提供屏幕数字签名界面和视频认证界面的截图）</w:t>
            </w:r>
            <w:r>
              <w:rPr>
                <w:rFonts w:hint="eastAsia" w:ascii="宋体" w:hAnsi="宋体" w:eastAsia="宋体" w:cs="宋体"/>
                <w:sz w:val="24"/>
                <w:szCs w:val="24"/>
              </w:rPr>
              <w:t>。</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13）支持</w:t>
            </w:r>
            <w:r>
              <w:rPr>
                <w:rFonts w:hint="eastAsia" w:ascii="宋体" w:hAnsi="宋体" w:eastAsia="宋体" w:cs="宋体"/>
                <w:color w:val="000000"/>
                <w:kern w:val="0"/>
                <w:sz w:val="24"/>
                <w:szCs w:val="24"/>
              </w:rPr>
              <w:t>50并发用户</w:t>
            </w:r>
          </w:p>
        </w:tc>
      </w:tr>
    </w:tbl>
    <w:p>
      <w:pPr>
        <w:keepNext w:val="0"/>
        <w:keepLines w:val="0"/>
        <w:pageBreakBefore w:val="0"/>
        <w:widowControl w:val="0"/>
        <w:kinsoku/>
        <w:wordWrap/>
        <w:topLinePunct w:val="0"/>
        <w:autoSpaceDE/>
        <w:autoSpaceDN/>
        <w:bidi w:val="0"/>
        <w:spacing w:line="360" w:lineRule="auto"/>
        <w:ind w:firstLine="482" w:firstLineChars="200"/>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四、采购标的数量、采购项目交付或者实施的时间和地点</w:t>
      </w:r>
    </w:p>
    <w:tbl>
      <w:tblPr>
        <w:tblStyle w:val="23"/>
        <w:tblW w:w="891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846"/>
        <w:gridCol w:w="5980"/>
        <w:gridCol w:w="2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5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名称</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5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MDT医疗数据异构集成软件</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9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5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MDT多学科会诊软件</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5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MDT会诊室远程同屏会诊软件</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2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5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MDT APP移动会诊软件</w:t>
            </w:r>
          </w:p>
        </w:tc>
        <w:tc>
          <w:tcPr>
            <w:tcW w:w="20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1套</w:t>
            </w:r>
          </w:p>
        </w:tc>
      </w:tr>
    </w:tbl>
    <w:p>
      <w:pPr>
        <w:keepNext w:val="0"/>
        <w:keepLines w:val="0"/>
        <w:pageBreakBefore w:val="0"/>
        <w:widowControl w:val="0"/>
        <w:kinsoku/>
        <w:wordWrap/>
        <w:topLinePunct w:val="0"/>
        <w:autoSpaceDE/>
        <w:autoSpaceDN/>
        <w:bidi w:val="0"/>
        <w:spacing w:line="360" w:lineRule="auto"/>
        <w:ind w:firstLine="482" w:firstLineChars="200"/>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五、采购标的需满足的服务标准、期限、效率等要求</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1、合同签订日期：自中标（成交）通知书发出之日起10个工作日内按时签约。</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2、交货期：自合同签署生效之日起60个工作日内，完成系统上线并试运行。</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3、质保期限：质保期自验收合格之日起1年；保修期内软件的维保、升级等所需一切支出由</w:t>
      </w:r>
      <w:r>
        <w:rPr>
          <w:rFonts w:hint="eastAsia" w:ascii="Times New Roman" w:hAnsi="Times New Roman" w:eastAsia="宋体" w:cs="宋体"/>
          <w:bCs/>
          <w:sz w:val="24"/>
          <w:szCs w:val="24"/>
          <w:lang w:eastAsia="zh-CN"/>
        </w:rPr>
        <w:t>成交</w:t>
      </w:r>
      <w:r>
        <w:rPr>
          <w:rFonts w:hint="eastAsia" w:ascii="Times New Roman" w:hAnsi="Times New Roman" w:eastAsia="宋体" w:cs="宋体"/>
          <w:bCs/>
          <w:sz w:val="24"/>
          <w:szCs w:val="24"/>
        </w:rPr>
        <w:t>单位负责。</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仿宋" w:hAnsi="仿宋" w:eastAsia="仿宋" w:cs="仿宋"/>
          <w:kern w:val="2"/>
        </w:rPr>
      </w:pPr>
      <w:r>
        <w:rPr>
          <w:rFonts w:hint="eastAsia" w:ascii="Times New Roman" w:hAnsi="Times New Roman" w:eastAsia="宋体" w:cs="宋体"/>
          <w:bCs/>
          <w:sz w:val="24"/>
          <w:szCs w:val="24"/>
        </w:rPr>
        <w:t>4、服务效率：质保期内，</w:t>
      </w:r>
      <w:r>
        <w:rPr>
          <w:rFonts w:hint="eastAsia" w:ascii="Times New Roman" w:hAnsi="Times New Roman" w:eastAsia="宋体" w:cs="宋体"/>
          <w:bCs/>
          <w:sz w:val="24"/>
          <w:szCs w:val="24"/>
          <w:lang w:eastAsia="zh-CN"/>
        </w:rPr>
        <w:t>响应</w:t>
      </w:r>
      <w:r>
        <w:rPr>
          <w:rFonts w:hint="eastAsia" w:ascii="Times New Roman" w:hAnsi="Times New Roman" w:eastAsia="宋体" w:cs="宋体"/>
          <w:bCs/>
          <w:sz w:val="24"/>
          <w:szCs w:val="24"/>
        </w:rPr>
        <w:t>人提供7×24小时远程服务，解答使用中遇到的问题，保证在接到通知30分钟内响应；对于通过电话、网络、远程手段无法解决的紧急问题，1小时内到达现场解决问题。</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六、采购标的验收标准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仿宋" w:hAnsi="仿宋" w:eastAsia="仿宋" w:cs="仿宋"/>
        </w:rPr>
      </w:pPr>
      <w:r>
        <w:rPr>
          <w:rFonts w:hint="eastAsia" w:ascii="Times New Roman" w:hAnsi="Times New Roman" w:eastAsia="宋体" w:cs="宋体"/>
          <w:bCs/>
          <w:sz w:val="24"/>
          <w:szCs w:val="24"/>
        </w:rPr>
        <w:t>供应商必须保证所供应产品为合格正品，如发现非合格产品，或产品有明显瑕疵等原因，采购人有权拒收，在相关软件安装调试完成后，采购单位将通知供应商共同组织验收。</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七、采购标的其他技术、服务等要求</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仿宋" w:hAnsi="仿宋" w:eastAsia="宋体" w:cs="仿宋"/>
          <w:lang w:eastAsia="zh-CN"/>
        </w:rPr>
      </w:pPr>
      <w:r>
        <w:rPr>
          <w:rFonts w:hint="eastAsia" w:ascii="Times New Roman" w:hAnsi="Times New Roman" w:eastAsia="宋体" w:cs="宋体"/>
          <w:bCs/>
          <w:sz w:val="24"/>
          <w:szCs w:val="24"/>
        </w:rPr>
        <w:t>无</w:t>
      </w:r>
      <w:r>
        <w:rPr>
          <w:rFonts w:hint="eastAsia" w:ascii="Times New Roman" w:hAnsi="Times New Roman" w:eastAsia="宋体" w:cs="宋体"/>
          <w:bCs/>
          <w:sz w:val="24"/>
          <w:szCs w:val="24"/>
          <w:lang w:eastAsia="zh-CN"/>
        </w:rPr>
        <w:t>。</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八、付款条件</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lang w:val="en-US" w:eastAsia="zh-CN"/>
        </w:rPr>
      </w:pPr>
      <w:r>
        <w:rPr>
          <w:rFonts w:hint="eastAsia" w:ascii="Times New Roman" w:hAnsi="Times New Roman" w:eastAsia="宋体" w:cs="宋体"/>
          <w:bCs/>
          <w:sz w:val="24"/>
          <w:szCs w:val="24"/>
          <w:lang w:val="en-US" w:eastAsia="zh-CN"/>
        </w:rPr>
        <w:t>合同签订生效后15个工作日内，支付合同全款的30%；实施完毕验收合格后15个工作日内，支付合同全款的60%；余款10%在质保期满后15个工作日内付清。</w:t>
      </w:r>
    </w:p>
    <w:p>
      <w:pPr>
        <w:keepNext w:val="0"/>
        <w:keepLines w:val="0"/>
        <w:pageBreakBefore w:val="0"/>
        <w:widowControl w:val="0"/>
        <w:kinsoku/>
        <w:wordWrap/>
        <w:topLinePunct w:val="0"/>
        <w:autoSpaceDE/>
        <w:autoSpaceDN/>
        <w:bidi w:val="0"/>
        <w:snapToGrid w:val="0"/>
        <w:spacing w:line="360" w:lineRule="auto"/>
        <w:ind w:firstLine="422" w:firstLineChars="176"/>
        <w:outlineLvl w:val="1"/>
        <w:rPr>
          <w:rFonts w:ascii="Times New Roman" w:hAnsi="Times New Roman" w:eastAsia="宋体" w:cs="宋体"/>
          <w:bCs/>
          <w:sz w:val="24"/>
          <w:szCs w:val="24"/>
        </w:rPr>
      </w:pPr>
      <w:r>
        <w:rPr>
          <w:rFonts w:hint="eastAsia" w:ascii="宋体" w:hAnsi="宋体" w:cs="宋体"/>
          <w:sz w:val="24"/>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2" w:name="_Toc43217893"/>
      <w:bookmarkStart w:id="13" w:name="_Toc85627670"/>
      <w:bookmarkStart w:id="14" w:name="_Toc38121794"/>
      <w:bookmarkStart w:id="15" w:name="_Toc37322565"/>
      <w:bookmarkStart w:id="16" w:name="_Toc182848996"/>
      <w:r>
        <w:rPr>
          <w:rFonts w:hint="eastAsia" w:ascii="Times New Roman" w:hAnsi="Times New Roman" w:eastAsia="宋体" w:cs="宋体"/>
          <w:w w:val="80"/>
          <w:sz w:val="48"/>
          <w:szCs w:val="44"/>
        </w:rPr>
        <w:t xml:space="preserve"> 评审方法和程序</w:t>
      </w:r>
      <w:bookmarkEnd w:id="12"/>
      <w:bookmarkEnd w:id="13"/>
      <w:bookmarkEnd w:id="14"/>
      <w:bookmarkEnd w:id="15"/>
      <w:bookmarkEnd w:id="16"/>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7" w:name="_Toc363573857"/>
      <w:bookmarkEnd w:id="17"/>
      <w:r>
        <w:rPr>
          <w:rFonts w:hint="eastAsia" w:ascii="Times New Roman" w:hAnsi="Times New Roman" w:cs="宋体"/>
          <w:b/>
          <w:bCs/>
          <w:szCs w:val="24"/>
          <w:shd w:val="clear" w:color="auto" w:fill="FFFFFF"/>
        </w:rPr>
        <w:t>一、代理机构组织磋商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1、本次竞争性磋商依据《中华人民共和国政府采购法》、《政府采购竞争性磋商采购人式管理暂行办法》及有关法规成立磋商小组。磋商小组由3人以上单数组成。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1、磋商小组依据《中华人民共和国政府采购法》、《政府采购竞争性磋商采购人式管理暂行办法》以及有关政府采购的相关法规，遵循</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公开、公平、公正、择优、信用</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的原则进行磋商评审。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hint="eastAsia" w:ascii="Times New Roman" w:hAnsi="Times New Roman" w:eastAsia="宋体" w:cs="宋体"/>
          <w:b/>
          <w:bCs/>
          <w:color w:val="FF0000"/>
          <w:sz w:val="24"/>
          <w:szCs w:val="24"/>
        </w:rPr>
      </w:pPr>
      <w:r>
        <w:rPr>
          <w:rFonts w:hint="eastAsia" w:ascii="Times New Roman" w:hAnsi="Times New Roman" w:eastAsia="宋体" w:cs="宋体"/>
          <w:b/>
          <w:bCs/>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lang w:val="en-US" w:eastAsia="zh-CN"/>
        </w:rPr>
        <w:t>80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lang w:val="en-US" w:eastAsia="zh-CN"/>
        </w:rPr>
        <w:t>20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四、综合评分评审标准</w:t>
      </w:r>
    </w:p>
    <w:p>
      <w:pPr>
        <w:pStyle w:val="19"/>
        <w:shd w:val="clear" w:color="auto" w:fill="FFFFFF"/>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（一）商务技术分：</w:t>
      </w:r>
      <w:r>
        <w:rPr>
          <w:rFonts w:hint="eastAsia" w:ascii="Times New Roman" w:hAnsi="Times New Roman" w:eastAsia="宋体" w:cs="宋体"/>
          <w:b/>
          <w:bCs/>
          <w:szCs w:val="24"/>
          <w:shd w:val="clear" w:color="auto" w:fill="FFFFFF"/>
          <w:lang w:val="en-US" w:eastAsia="zh-CN"/>
        </w:rPr>
        <w:t>80</w:t>
      </w:r>
      <w:r>
        <w:rPr>
          <w:rFonts w:hint="eastAsia" w:ascii="Times New Roman" w:hAnsi="Times New Roman" w:eastAsia="宋体" w:cs="宋体"/>
          <w:b/>
          <w:bCs/>
          <w:szCs w:val="24"/>
          <w:shd w:val="clear" w:color="auto" w:fill="FFFFFF"/>
        </w:rPr>
        <w:t>分</w:t>
      </w:r>
    </w:p>
    <w:tbl>
      <w:tblPr>
        <w:tblStyle w:val="24"/>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9"/>
        <w:gridCol w:w="6356"/>
        <w:gridCol w:w="8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pacing w:val="20"/>
                <w:sz w:val="24"/>
                <w:szCs w:val="24"/>
              </w:rPr>
            </w:pPr>
            <w:r>
              <w:rPr>
                <w:rFonts w:hint="eastAsia" w:ascii="宋体" w:hAnsi="宋体" w:eastAsia="宋体" w:cs="宋体"/>
                <w:b/>
                <w:bCs/>
                <w:spacing w:val="20"/>
                <w:sz w:val="24"/>
                <w:szCs w:val="24"/>
              </w:rPr>
              <w:t>评审条款</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pacing w:val="20"/>
                <w:sz w:val="24"/>
                <w:szCs w:val="24"/>
              </w:rPr>
            </w:pPr>
            <w:r>
              <w:rPr>
                <w:rFonts w:hint="eastAsia" w:ascii="宋体" w:hAnsi="宋体" w:eastAsia="宋体" w:cs="宋体"/>
                <w:b/>
                <w:bCs/>
                <w:spacing w:val="20"/>
                <w:sz w:val="24"/>
                <w:szCs w:val="24"/>
              </w:rPr>
              <w:t>评审标准</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b/>
                <w:bCs/>
                <w:spacing w:val="20"/>
                <w:sz w:val="24"/>
                <w:szCs w:val="24"/>
              </w:rPr>
            </w:pPr>
            <w:r>
              <w:rPr>
                <w:rFonts w:hint="eastAsia" w:ascii="宋体" w:hAnsi="宋体" w:eastAsia="宋体" w:cs="宋体"/>
                <w:b/>
                <w:bCs/>
                <w:spacing w:val="20"/>
                <w:sz w:val="24"/>
                <w:szCs w:val="24"/>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技术功能参数响应情况</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根据产品技术指标响应程度打分，所投产品全部满足或优于招标文件技术参数要求的得4</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带</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的主要技术参数每负偏离一项扣2分；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非</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技术参数每负偏离一项扣1分，扣完为止。</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（主要技术参数按招标文件须提供对应的软件著作权证书或界面截图证明材料的，不提供或者提供证明材料不满足技术要求的作负偏离处理。）</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企业资质</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人或软件制造商具有有效期内的以下所有证书的：</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1、ISO9001质量管理体系认证证书（认证范围含计算机软件开发），得1分；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2、ISO27001信息安全管理体系认证证书（认证范围含计算机软件开发），得1分；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3、知识产权管理体系认证证书（认证范围含计算机软件开发），得2分。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备注：</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提供与</w:t>
            </w:r>
            <w:r>
              <w:rPr>
                <w:rFonts w:hint="eastAsia" w:ascii="宋体" w:hAnsi="宋体" w:eastAsia="宋体" w:cs="宋体"/>
                <w:sz w:val="24"/>
                <w:szCs w:val="24"/>
                <w:lang w:eastAsia="zh-CN"/>
              </w:rPr>
              <w:t>响应</w:t>
            </w:r>
            <w:r>
              <w:rPr>
                <w:rFonts w:hint="eastAsia" w:ascii="宋体" w:hAnsi="宋体" w:eastAsia="宋体" w:cs="宋体"/>
                <w:sz w:val="24"/>
                <w:szCs w:val="24"/>
              </w:rPr>
              <w:t>人</w:t>
            </w:r>
            <w:r>
              <w:rPr>
                <w:rFonts w:hint="eastAsia" w:ascii="宋体" w:hAnsi="宋体" w:eastAsia="宋体" w:cs="宋体"/>
                <w:kern w:val="0"/>
                <w:sz w:val="24"/>
                <w:szCs w:val="24"/>
              </w:rPr>
              <w:t>或软件制造商名称一致的有效期内有效的证书复印件并加盖</w:t>
            </w:r>
            <w:r>
              <w:rPr>
                <w:rFonts w:hint="eastAsia" w:ascii="宋体" w:hAnsi="宋体" w:eastAsia="宋体" w:cs="宋体"/>
                <w:sz w:val="24"/>
                <w:szCs w:val="24"/>
                <w:lang w:eastAsia="zh-CN"/>
              </w:rPr>
              <w:t>响应</w:t>
            </w:r>
            <w:r>
              <w:rPr>
                <w:rFonts w:hint="eastAsia" w:ascii="宋体" w:hAnsi="宋体" w:eastAsia="宋体" w:cs="宋体"/>
                <w:sz w:val="24"/>
                <w:szCs w:val="24"/>
              </w:rPr>
              <w:t>人</w:t>
            </w:r>
            <w:r>
              <w:rPr>
                <w:rFonts w:hint="eastAsia" w:ascii="宋体" w:hAnsi="宋体" w:eastAsia="宋体" w:cs="宋体"/>
                <w:kern w:val="0"/>
                <w:sz w:val="24"/>
                <w:szCs w:val="24"/>
              </w:rPr>
              <w:t>公章。（换证期内的需提供颁发机构出具的换证证明）</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所投软件成熟度</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提供所投MDT多学科会诊软件、同屏会诊软件、异构集成软件、移动会诊软件相关的计算机著作权登记证和软件测试报告复印件，每提供一个计算机软件著作权登记证和软件测试报告得1.5分，最高得6分，软件名称不相关不得分。</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同类业绩证明</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人提供所投MDT会诊产品近三年来项目业绩合同，每提供一份有效合同复印件的得2分，最高不超过6分，无证明不得分。合同复印件至少包含了首页、反映采购内容页、签字盖章、合同签署时间信息等内容。</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项目实施技术力量</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1、项目经理具有高级信息系统项目管理师证书和PMP证书，得3分；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2、项目组成员至少一人具有中级系统集成项目管理工程师证书，得2分；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3、项目组成员至少一人具有软件设计师证书得1分。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kern w:val="0"/>
                <w:sz w:val="24"/>
                <w:szCs w:val="24"/>
              </w:rPr>
              <w:t>注：同一人持有多项证书按一项计算得分，若一人同时持有上述证书，则按照上述顺序优先计算得分。提供以上相关资质证书复印件以及2023年9月至今任意连续3个月在投标人单位或软件制造商单位购买社保或缴纳个人所得税的证明文件复印件。</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99" w:hRule="atLeast"/>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项目实施方案</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响应</w:t>
            </w:r>
            <w:r>
              <w:rPr>
                <w:rFonts w:hint="eastAsia" w:ascii="宋体" w:hAnsi="宋体" w:eastAsia="宋体" w:cs="宋体"/>
                <w:sz w:val="24"/>
                <w:szCs w:val="24"/>
              </w:rPr>
              <w:t>人项目实施方案评分：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（1）实施方案内容全面，配备的人员能够很好满足项目实施且分工明确合理，能够有效保障项目进度是项目进度优于采购人要求得6-8分；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（2）实施方案较全面，配备的人员情况一般分工较明确，能够保障项目按采购人要求完成，得3-5分；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（3）实施方案较片面，配备的人员情况较差，分工不明确，勉强能够保障项目按采购人要求完成，得1-2分。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（4）不提供不得分。</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59"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培训方案</w:t>
            </w:r>
          </w:p>
        </w:tc>
        <w:tc>
          <w:tcPr>
            <w:tcW w:w="6356" w:type="dxa"/>
            <w:vAlign w:val="center"/>
          </w:tcPr>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响应</w:t>
            </w:r>
            <w:r>
              <w:rPr>
                <w:rFonts w:hint="eastAsia" w:ascii="宋体" w:hAnsi="宋体" w:eastAsia="宋体" w:cs="宋体"/>
                <w:sz w:val="24"/>
                <w:szCs w:val="24"/>
              </w:rPr>
              <w:t>人培训方案评分：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响应</w:t>
            </w:r>
            <w:r>
              <w:rPr>
                <w:rFonts w:hint="eastAsia" w:ascii="宋体" w:hAnsi="宋体" w:eastAsia="宋体" w:cs="宋体"/>
                <w:sz w:val="24"/>
                <w:szCs w:val="24"/>
              </w:rPr>
              <w:t>人培训方案内容全面，时效性高，满足或优于采购要求得4-5分；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响应</w:t>
            </w:r>
            <w:r>
              <w:rPr>
                <w:rFonts w:hint="eastAsia" w:ascii="宋体" w:hAnsi="宋体" w:eastAsia="宋体" w:cs="宋体"/>
                <w:sz w:val="24"/>
                <w:szCs w:val="24"/>
              </w:rPr>
              <w:t>人培训方案内容较全面，时效性较高，基本满足采购要求，得2-3分；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响应</w:t>
            </w:r>
            <w:r>
              <w:rPr>
                <w:rFonts w:hint="eastAsia" w:ascii="宋体" w:hAnsi="宋体" w:eastAsia="宋体" w:cs="宋体"/>
                <w:sz w:val="24"/>
                <w:szCs w:val="24"/>
              </w:rPr>
              <w:t>人培训方案培训内容有缺陷，时效性差，得1分。</w:t>
            </w:r>
          </w:p>
          <w:p>
            <w:pPr>
              <w:keepNext w:val="0"/>
              <w:keepLines w:val="0"/>
              <w:pageBreakBefore w:val="0"/>
              <w:widowControl w:val="0"/>
              <w:kinsoku/>
              <w:wordWrap/>
              <w:topLinePunct w:val="0"/>
              <w:autoSpaceDE/>
              <w:autoSpaceDN/>
              <w:bidi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（4）不提供不得分。</w:t>
            </w:r>
          </w:p>
        </w:tc>
        <w:tc>
          <w:tcPr>
            <w:tcW w:w="805" w:type="dxa"/>
            <w:vAlign w:val="center"/>
          </w:tcPr>
          <w:p>
            <w:pPr>
              <w:keepNext w:val="0"/>
              <w:keepLines w:val="0"/>
              <w:pageBreakBefore w:val="0"/>
              <w:widowControl w:val="0"/>
              <w:kinsoku/>
              <w:wordWrap/>
              <w:topLinePunct w:val="0"/>
              <w:autoSpaceDE/>
              <w:autoSpaceDN/>
              <w:bidi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r>
    </w:tbl>
    <w:p>
      <w:pPr>
        <w:keepNext w:val="0"/>
        <w:keepLines w:val="0"/>
        <w:pageBreakBefore w:val="0"/>
        <w:widowControl w:val="0"/>
        <w:kinsoku/>
        <w:wordWrap/>
        <w:topLinePunct w:val="0"/>
        <w:autoSpaceDE/>
        <w:autoSpaceDN/>
        <w:bidi w:val="0"/>
        <w:spacing w:line="360" w:lineRule="auto"/>
        <w:ind w:right="105" w:rightChars="5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评委依据磋商文件载明的方法评分，评分四舍五入精确到小数点后两位。</w:t>
      </w:r>
    </w:p>
    <w:p>
      <w:pPr>
        <w:keepNext w:val="0"/>
        <w:keepLines w:val="0"/>
        <w:pageBreakBefore w:val="0"/>
        <w:widowControl w:val="0"/>
        <w:kinsoku/>
        <w:wordWrap/>
        <w:topLinePunct w:val="0"/>
        <w:autoSpaceDE/>
        <w:autoSpaceDN/>
        <w:bidi w:val="0"/>
        <w:spacing w:line="360" w:lineRule="auto"/>
        <w:ind w:right="105" w:rightChars="5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响应供应商按照</w:t>
      </w:r>
      <w:r>
        <w:rPr>
          <w:rFonts w:hint="eastAsia" w:ascii="宋体" w:hAnsi="宋体" w:eastAsia="宋体" w:cs="宋体"/>
          <w:sz w:val="24"/>
          <w:szCs w:val="24"/>
          <w:lang w:eastAsia="zh-CN"/>
        </w:rPr>
        <w:t>“</w:t>
      </w:r>
      <w:r>
        <w:rPr>
          <w:rFonts w:hint="eastAsia" w:ascii="宋体" w:hAnsi="宋体" w:eastAsia="宋体" w:cs="宋体"/>
          <w:sz w:val="24"/>
          <w:szCs w:val="24"/>
        </w:rPr>
        <w:t>评分标准表</w:t>
      </w:r>
      <w:r>
        <w:rPr>
          <w:rFonts w:hint="eastAsia" w:ascii="宋体" w:hAnsi="宋体" w:eastAsia="宋体" w:cs="宋体"/>
          <w:sz w:val="24"/>
          <w:szCs w:val="24"/>
          <w:lang w:eastAsia="zh-CN"/>
        </w:rPr>
        <w:t>”</w:t>
      </w:r>
      <w:r>
        <w:rPr>
          <w:rFonts w:hint="eastAsia" w:ascii="宋体" w:hAnsi="宋体" w:eastAsia="宋体" w:cs="宋体"/>
          <w:sz w:val="24"/>
          <w:szCs w:val="24"/>
        </w:rPr>
        <w:t>中的打分要求及顺序提供相关材料，</w:t>
      </w:r>
      <w:r>
        <w:rPr>
          <w:rFonts w:hint="eastAsia" w:ascii="宋体" w:hAnsi="宋体" w:eastAsia="宋体" w:cs="宋体"/>
          <w:bCs/>
          <w:color w:val="000000"/>
          <w:kern w:val="0"/>
          <w:sz w:val="24"/>
          <w:szCs w:val="24"/>
        </w:rPr>
        <w:t>并请编制目录及页码，以最大限度的避免造成评委误判或漏判。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bCs/>
          <w:color w:val="000000"/>
          <w:kern w:val="0"/>
          <w:sz w:val="24"/>
          <w:szCs w:val="24"/>
          <w:lang w:val="en-US" w:eastAsia="zh-CN"/>
        </w:rPr>
        <w:t>3</w:t>
      </w:r>
      <w:r>
        <w:rPr>
          <w:rFonts w:hint="eastAsia" w:ascii="宋体" w:hAnsi="宋体" w:eastAsia="宋体" w:cs="宋体"/>
          <w:bCs/>
          <w:color w:val="000000"/>
          <w:kern w:val="0"/>
          <w:sz w:val="24"/>
          <w:szCs w:val="24"/>
          <w:lang w:eastAsia="zh-CN"/>
        </w:rPr>
        <w:t>、</w:t>
      </w:r>
      <w:r>
        <w:rPr>
          <w:rFonts w:hint="eastAsia" w:ascii="宋体" w:hAnsi="宋体" w:eastAsia="宋体" w:cs="宋体"/>
          <w:b/>
          <w:sz w:val="24"/>
          <w:szCs w:val="24"/>
        </w:rPr>
        <w:t>以上证明材料提供原件复印件，复印件不清晰或关键内容无法辨识所引起的后果由响应供应商自行承担。</w:t>
      </w:r>
    </w:p>
    <w:p>
      <w:pPr>
        <w:pStyle w:val="19"/>
        <w:shd w:val="clear" w:color="auto" w:fill="FFFFFF"/>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（二）</w:t>
      </w:r>
      <w:r>
        <w:rPr>
          <w:rFonts w:hint="eastAsia" w:ascii="Times New Roman" w:hAnsi="Times New Roman" w:eastAsia="宋体" w:cs="宋体"/>
          <w:b/>
          <w:bCs/>
          <w:szCs w:val="24"/>
          <w:shd w:val="clear" w:color="auto" w:fill="FFFFFF"/>
          <w:lang w:val="zh-CN"/>
        </w:rPr>
        <w:t>价格分</w:t>
      </w:r>
      <w:r>
        <w:rPr>
          <w:rFonts w:hint="eastAsia" w:ascii="Times New Roman" w:hAnsi="Times New Roman" w:eastAsia="宋体" w:cs="宋体"/>
          <w:b/>
          <w:bCs/>
          <w:szCs w:val="24"/>
          <w:shd w:val="clear" w:color="auto" w:fill="FFFFFF"/>
        </w:rPr>
        <w:t>：</w:t>
      </w:r>
      <w:r>
        <w:rPr>
          <w:rFonts w:hint="eastAsia" w:ascii="Times New Roman" w:hAnsi="Times New Roman" w:eastAsia="宋体" w:cs="宋体"/>
          <w:b/>
          <w:bCs/>
          <w:szCs w:val="24"/>
          <w:shd w:val="clear" w:color="auto" w:fill="FFFFFF"/>
          <w:lang w:val="en-US" w:eastAsia="zh-CN"/>
        </w:rPr>
        <w:t>20</w:t>
      </w:r>
      <w:r>
        <w:rPr>
          <w:rFonts w:hint="eastAsia" w:ascii="Times New Roman" w:hAnsi="Times New Roman" w:eastAsia="宋体" w:cs="宋体"/>
          <w:b/>
          <w:bCs/>
          <w:szCs w:val="24"/>
          <w:shd w:val="clear" w:color="auto" w:fill="FFFFFF"/>
        </w:rPr>
        <w:t>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磋商报价得分=（磋商基准价/最后磋商报价）×</w:t>
      </w:r>
      <w:r>
        <w:rPr>
          <w:rFonts w:hint="eastAsia" w:ascii="Times New Roman" w:hAnsi="Times New Roman" w:eastAsia="宋体" w:cs="宋体"/>
          <w:sz w:val="24"/>
          <w:szCs w:val="24"/>
          <w:lang w:val="en-US" w:eastAsia="zh-CN"/>
        </w:rPr>
        <w:t>20</w:t>
      </w:r>
      <w:r>
        <w:rPr>
          <w:rFonts w:hint="eastAsia" w:ascii="Times New Roman" w:hAnsi="Times New Roman" w:eastAsia="宋体" w:cs="宋体"/>
          <w:sz w:val="24"/>
          <w:szCs w:val="24"/>
        </w:rPr>
        <w:t>%×100。</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如评标委员会认为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价格严重偏离市场价，将取消</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人价格分得分。</w:t>
      </w:r>
    </w:p>
    <w:p>
      <w:pPr>
        <w:pStyle w:val="19"/>
        <w:shd w:val="clear" w:color="auto" w:fill="FFFFFF"/>
        <w:spacing w:before="0" w:beforeAutospacing="0" w:after="0" w:afterAutospacing="0" w:line="360" w:lineRule="auto"/>
        <w:ind w:firstLine="482" w:firstLineChars="200"/>
        <w:jc w:val="both"/>
        <w:textAlignment w:val="baseline"/>
        <w:rPr>
          <w:rFonts w:hint="eastAsia" w:ascii="Times New Roman" w:hAnsi="Times New Roman" w:cs="宋体"/>
          <w:b/>
          <w:bCs/>
          <w:szCs w:val="24"/>
          <w:shd w:val="clear" w:color="auto" w:fill="FFFFFF"/>
        </w:rPr>
      </w:pPr>
      <w:r>
        <w:rPr>
          <w:rFonts w:hint="eastAsia" w:ascii="Times New Roman" w:hAnsi="Times New Roman" w:cs="宋体"/>
          <w:b/>
          <w:bCs/>
          <w:szCs w:val="24"/>
          <w:shd w:val="clear" w:color="auto" w:fill="FFFFFF"/>
        </w:rPr>
        <w:t>（</w:t>
      </w:r>
      <w:r>
        <w:rPr>
          <w:rFonts w:hint="eastAsia" w:ascii="Times New Roman" w:hAnsi="Times New Roman" w:cs="宋体"/>
          <w:b/>
          <w:bCs/>
          <w:szCs w:val="24"/>
          <w:shd w:val="clear" w:color="auto" w:fill="FFFFFF"/>
          <w:lang w:eastAsia="zh-CN"/>
        </w:rPr>
        <w:t>三</w:t>
      </w:r>
      <w:r>
        <w:rPr>
          <w:rFonts w:hint="eastAsia" w:ascii="Times New Roman" w:hAnsi="Times New Roman" w:cs="宋体"/>
          <w:b/>
          <w:bCs/>
          <w:szCs w:val="24"/>
          <w:shd w:val="clear" w:color="auto" w:fill="FFFFFF"/>
        </w:rPr>
        <w:t>）政府采购政策功能落实</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1、</w:t>
      </w:r>
      <w:r>
        <w:rPr>
          <w:rFonts w:hint="eastAsia" w:ascii="Times New Roman" w:hAnsi="Times New Roman" w:eastAsia="宋体" w:cs="宋体"/>
          <w:sz w:val="24"/>
          <w:szCs w:val="24"/>
        </w:rPr>
        <w:t>小微型企业价格扣除</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（1）本项目对小型和微型企业产品给予10%的扣除价格，用扣除后的价格参与评审。</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（2）供应商需按照《政府采购促进中小企业发展管理办法》（财库﹝2020﹞46 号）的规定提供相应的《中小企业声明函》。</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（3）企业标准请参照《关于印发中小企业划型标准规定的通知》（工信部联企业[2011]300号）文件规定自行填写。</w:t>
      </w:r>
    </w:p>
    <w:p>
      <w:pPr>
        <w:kinsoku w:val="0"/>
        <w:overflowPunct w:val="0"/>
        <w:autoSpaceDE w:val="0"/>
        <w:autoSpaceDN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（4）本次采购对应的中小企业划分标准所属行业为：</w:t>
      </w:r>
      <w:r>
        <w:rPr>
          <w:rFonts w:hint="eastAsia" w:ascii="宋体" w:hAnsi="宋体" w:eastAsia="宋体" w:cs="宋体"/>
          <w:b/>
          <w:bCs/>
          <w:color w:val="FF0000"/>
          <w:sz w:val="24"/>
          <w:u w:val="single"/>
        </w:rPr>
        <w:t>软件和信息技术服务业</w:t>
      </w:r>
      <w:r>
        <w:rPr>
          <w:rFonts w:hint="eastAsia" w:ascii="Times New Roman" w:hAnsi="Times New Roman" w:eastAsia="宋体" w:cs="宋体"/>
          <w:sz w:val="24"/>
          <w:szCs w:val="24"/>
        </w:rPr>
        <w:t>。</w:t>
      </w:r>
    </w:p>
    <w:p>
      <w:pPr>
        <w:kinsoku w:val="0"/>
        <w:overflowPunct w:val="0"/>
        <w:autoSpaceDE w:val="0"/>
        <w:autoSpaceDN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2、</w:t>
      </w:r>
      <w:r>
        <w:rPr>
          <w:rFonts w:hint="eastAsia" w:ascii="Times New Roman" w:hAnsi="Times New Roman" w:eastAsia="宋体" w:cs="宋体"/>
          <w:sz w:val="24"/>
          <w:szCs w:val="24"/>
        </w:rPr>
        <w:t>残疾人福利单位价格扣除</w:t>
      </w:r>
    </w:p>
    <w:p>
      <w:pPr>
        <w:spacing w:line="360" w:lineRule="auto"/>
        <w:ind w:firstLine="480" w:firstLineChars="200"/>
        <w:textAlignment w:val="baseline"/>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（1）本项目对残疾人福利性单位，给予10%的价格扣除，用扣除后的价格参与评审</w:t>
      </w:r>
      <w:r>
        <w:rPr>
          <w:rFonts w:hint="eastAsia" w:ascii="Times New Roman" w:hAnsi="Times New Roman" w:eastAsia="宋体" w:cs="宋体"/>
          <w:sz w:val="24"/>
          <w:szCs w:val="24"/>
          <w:lang w:eastAsia="zh-CN"/>
        </w:rPr>
        <w:t>。</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（2）残疾人福利单位需按照采购文件的要求提供《残疾人福利性单位声明函》。</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（3）残疾人福利单位标准请参照《关于促进残疾人就业政府采购政策的通知》（财库〔2017〕141号）。</w:t>
      </w:r>
    </w:p>
    <w:p>
      <w:pPr>
        <w:kinsoku w:val="0"/>
        <w:overflowPunct w:val="0"/>
        <w:autoSpaceDE w:val="0"/>
        <w:autoSpaceDN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3、</w:t>
      </w:r>
      <w:r>
        <w:rPr>
          <w:rFonts w:hint="eastAsia" w:ascii="Times New Roman" w:hAnsi="Times New Roman" w:eastAsia="宋体" w:cs="宋体"/>
          <w:sz w:val="24"/>
          <w:szCs w:val="24"/>
        </w:rPr>
        <w:t>监狱和戒毒企业价格扣除</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（1）本项目对监狱和戒毒企业（简称监狱企业）给予10%的价格扣除，用扣除后的价格参与评审。</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（3）监狱企业标准请参照《关于政府采购支持监狱企业发展有关问题的通知》（财库[2014]68号）。</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4、</w:t>
      </w:r>
      <w:r>
        <w:rPr>
          <w:rFonts w:hint="eastAsia" w:ascii="Times New Roman" w:hAnsi="Times New Roman" w:eastAsia="宋体" w:cs="宋体"/>
          <w:sz w:val="24"/>
          <w:szCs w:val="24"/>
        </w:rPr>
        <w:t>残疾人福利单位、监狱企业属于小型、微型企业的，不重复享受政策。</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5、</w:t>
      </w:r>
      <w:r>
        <w:rPr>
          <w:rFonts w:hint="eastAsia" w:ascii="Times New Roman" w:hAnsi="Times New Roman" w:eastAsia="宋体" w:cs="宋体"/>
          <w:sz w:val="24"/>
          <w:szCs w:val="24"/>
        </w:rPr>
        <w:t>大中型企业与小微企业（残疾人福利单位、监狱企业）组成联合体或者大中型企业向小微企业（残疾人福利单位、监狱企业）分包的，对联合协议或者分包意向协议约定小微企业合同份额占到合同总金额30%以上的，对联合体或者大中型企业的报价给予6%的扣除，用扣除后的价格参与评审。</w:t>
      </w:r>
    </w:p>
    <w:p>
      <w:pPr>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6、</w:t>
      </w:r>
      <w:r>
        <w:rPr>
          <w:rFonts w:hint="eastAsia" w:ascii="Times New Roman" w:hAnsi="Times New Roman" w:eastAsia="宋体" w:cs="宋体"/>
          <w:sz w:val="24"/>
          <w:szCs w:val="24"/>
        </w:rPr>
        <w:t>联合体各方均为小型、微型企业（残疾人福利单位、监狱企业）的，联合体享受上述同类价格扣除，用扣除后的价格参与评审。</w:t>
      </w:r>
    </w:p>
    <w:p>
      <w:pPr>
        <w:spacing w:line="360" w:lineRule="auto"/>
        <w:ind w:firstLine="480" w:firstLineChars="200"/>
        <w:textAlignment w:val="baseline"/>
      </w:pPr>
      <w:r>
        <w:rPr>
          <w:rFonts w:hint="eastAsia" w:ascii="Times New Roman" w:hAnsi="Times New Roman" w:eastAsia="宋体" w:cs="宋体"/>
          <w:sz w:val="24"/>
          <w:szCs w:val="24"/>
          <w:lang w:val="en-US" w:eastAsia="zh-CN"/>
        </w:rPr>
        <w:t>7、</w:t>
      </w:r>
      <w:r>
        <w:rPr>
          <w:rFonts w:hint="eastAsia" w:ascii="Times New Roman" w:hAnsi="Times New Roman" w:eastAsia="宋体" w:cs="宋体"/>
          <w:sz w:val="24"/>
          <w:szCs w:val="24"/>
        </w:rPr>
        <w:t>专门面向中小企业采购的项目或者采购包，不再执行价格评审优惠的扶持政策。</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1、响应文件未按规定要求密封、签署、盖章及主要资料不齐全的；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2、响应文件的资料有虚报或者谎报的；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3、响应文件中资格审查文件及技术响应文件出现磋商报价的内容；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4、不具备磋商文件规定的资格要求的；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5、响应文件有重大漏项或重大不合理的；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6、项目技术、方案不满足项目需求中的要求，有重大偏离或保留的；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7、磋商响应报价超出项目预算的；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8、被认定为低于成本报价磋商竞标的；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9、供应商的磋商报价高于自己前一轮的；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10、不符合法律、法规和磋商文件中规定的其他实质性响应要求的；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11、磋商小组依据法律法规可以认定为无效投标的其他情况；</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12、未按要求提供样品的</w:t>
      </w:r>
      <w:r>
        <w:rPr>
          <w:rFonts w:hint="eastAsia" w:ascii="Times New Roman" w:hAnsi="Times New Roman" w:eastAsia="宋体" w:cs="宋体"/>
          <w:color w:val="000000" w:themeColor="text1"/>
          <w:sz w:val="24"/>
          <w:szCs w:val="24"/>
          <w14:textFill>
            <w14:solidFill>
              <w14:schemeClr w14:val="tx1"/>
            </w14:solidFill>
          </w14:textFill>
        </w:rPr>
        <w:t>（如有）</w:t>
      </w:r>
      <w:r>
        <w:rPr>
          <w:rFonts w:hint="eastAsia" w:ascii="Times New Roman" w:hAnsi="Times New Roman" w:eastAsia="宋体" w:cs="宋体"/>
          <w:sz w:val="24"/>
          <w:szCs w:val="24"/>
        </w:rPr>
        <w:t>。</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2、因情况变化，不再符合规定的竞争性磋商采购人式所适用情形的；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w:t>
      </w:r>
      <w:r>
        <w:rPr>
          <w:rFonts w:hint="eastAsia" w:ascii="Times New Roman" w:hAnsi="Times New Roman" w:eastAsia="宋体" w:cs="宋体"/>
          <w:kern w:val="0"/>
          <w:sz w:val="24"/>
          <w:lang w:eastAsia="zh-CN"/>
        </w:rPr>
        <w:t>后</w:t>
      </w:r>
      <w:r>
        <w:rPr>
          <w:rFonts w:hint="eastAsia" w:ascii="Times New Roman" w:hAnsi="Times New Roman" w:eastAsia="宋体" w:cs="宋体"/>
          <w:b w:val="0"/>
          <w:bCs w:val="0"/>
          <w:color w:val="auto"/>
          <w:kern w:val="0"/>
          <w:sz w:val="24"/>
          <w:lang w:val="en-US" w:eastAsia="zh-CN"/>
        </w:rPr>
        <w:t>10个工作日</w:t>
      </w:r>
      <w:r>
        <w:rPr>
          <w:rFonts w:hint="eastAsia" w:ascii="Times New Roman" w:hAnsi="Times New Roman" w:eastAsia="宋体" w:cs="宋体"/>
          <w:b w:val="0"/>
          <w:bCs w:val="0"/>
          <w:color w:val="auto"/>
          <w:kern w:val="0"/>
          <w:sz w:val="24"/>
        </w:rPr>
        <w:t>内</w:t>
      </w:r>
      <w:r>
        <w:rPr>
          <w:rFonts w:hint="eastAsia" w:ascii="Times New Roman" w:hAnsi="Times New Roman" w:eastAsia="宋体" w:cs="宋体"/>
          <w:b w:val="0"/>
          <w:bCs w:val="0"/>
          <w:kern w:val="0"/>
          <w:sz w:val="24"/>
        </w:rPr>
        <w:t>须按</w:t>
      </w:r>
      <w:r>
        <w:rPr>
          <w:rFonts w:hint="eastAsia" w:ascii="Times New Roman" w:hAnsi="Times New Roman" w:eastAsia="宋体" w:cs="宋体"/>
          <w:kern w:val="0"/>
          <w:sz w:val="24"/>
        </w:rPr>
        <w:t>照磋商文件确定的事项签订采购合同。合同一式四份，采购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三份、供应商一份。所签合同不得对磋商文件作实质性修改。采购单位不得向成交供应商提出不合理的要求作为签订合同的条件，不得与成交供应商私下订立背离磋商文件实质性内容的协议。 </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二、</w:t>
      </w:r>
      <w:r>
        <w:rPr>
          <w:rFonts w:hint="eastAsia" w:ascii="Times New Roman" w:hAnsi="Times New Roman" w:cs="宋体"/>
          <w:sz w:val="24"/>
        </w:rPr>
        <w:t>采购单位按合同约定积极配合成交供应商履约，成交供应商履约到位后，请以书面形式向采购单位提出验收申请。</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四、供应商出现违约情形，应当及时纠正或补偿；造成损失的，按合同约定追究违约责任；发现有假冒、伪劣、走私产品、商业贿赂等违法情形的，应由采购单位移交工商、质监、公安等行政执法部门依法查处。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五、不响应付款方式的，视同响应文件无效，按无效响应文件处理。</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
          <w:iCs/>
          <w:color w:val="000000" w:themeColor="text1"/>
          <w:w w:val="80"/>
          <w:sz w:val="44"/>
          <w:szCs w:val="44"/>
          <w14:textFill>
            <w14:solidFill>
              <w14:schemeClr w14:val="tx1"/>
            </w14:solidFill>
          </w14:textFill>
        </w:rPr>
      </w:pPr>
      <w:r>
        <w:rPr>
          <w:rFonts w:hint="eastAsia" w:ascii="Times New Roman" w:hAnsi="Times New Roman" w:eastAsia="宋体" w:cs="宋体"/>
          <w:sz w:val="24"/>
        </w:rPr>
        <w:t>七、以上项目款的支付不计息。</w:t>
      </w:r>
    </w:p>
    <w:p>
      <w:pPr>
        <w:keepNext w:val="0"/>
        <w:keepLines w:val="0"/>
        <w:pageBreakBefore w:val="0"/>
        <w:widowControl w:val="0"/>
        <w:kinsoku/>
        <w:wordWrap/>
        <w:topLinePunct w:val="0"/>
        <w:autoSpaceDE/>
        <w:autoSpaceDN/>
        <w:bidi w:val="0"/>
        <w:spacing w:line="360" w:lineRule="auto"/>
        <w:rPr>
          <w:rFonts w:ascii="Times New Roman" w:hAnsi="Times New Roman" w:eastAsia="宋体"/>
          <w:w w:val="80"/>
          <w:kern w:val="4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投标供应商须知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谁主张，谁举证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实事求是</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3"/>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w:t>
      </w:r>
      <w:r>
        <w:rPr>
          <w:rFonts w:hint="eastAsia" w:ascii="Times New Roman" w:hAnsi="Times New Roman" w:eastAsia="宋体"/>
          <w:sz w:val="24"/>
          <w:szCs w:val="24"/>
          <w:lang w:eastAsia="zh-CN"/>
        </w:rPr>
        <w:t>响应</w:t>
      </w:r>
      <w:r>
        <w:rPr>
          <w:rFonts w:hint="eastAsia" w:ascii="Times New Roman" w:hAnsi="Times New Roman" w:eastAsia="宋体"/>
          <w:sz w:val="24"/>
          <w:szCs w:val="24"/>
        </w:rPr>
        <w:t>供应商企业法人营业执照（副本）及税务登记证（副本）的复印件；或者是三证合一的营业执照（副本）的复印件</w:t>
      </w:r>
      <w:r>
        <w:rPr>
          <w:rFonts w:hint="eastAsia" w:ascii="宋体" w:hAnsi="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的，必须提供法定代表人身份证明及法定代表人本人身份证两项复印件（须加盖单位公章）；非法定代表人参加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rPr>
        <w:t>3、提供供应商符合《中华人民共和国政府采购法》第二十二条规定条件的声明函。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default" w:ascii="Times New Roman" w:hAnsi="Times New Roman" w:eastAsia="宋体"/>
          <w:sz w:val="24"/>
          <w:szCs w:val="24"/>
          <w:highlight w:val="none"/>
          <w:lang w:val="en-US" w:eastAsia="zh-CN"/>
        </w:rPr>
      </w:pPr>
      <w:r>
        <w:rPr>
          <w:rFonts w:hint="eastAsia" w:ascii="Times New Roman" w:hAnsi="Times New Roman"/>
          <w:sz w:val="24"/>
          <w:szCs w:val="24"/>
          <w:lang w:val="en-US" w:eastAsia="zh-CN"/>
        </w:rPr>
        <w:t>4、</w:t>
      </w:r>
      <w:r>
        <w:rPr>
          <w:rFonts w:hint="eastAsia" w:ascii="Times New Roman" w:hAnsi="Times New Roman"/>
          <w:sz w:val="24"/>
          <w:szCs w:val="24"/>
        </w:rPr>
        <w:t>诚信承诺书（</w:t>
      </w:r>
      <w:r>
        <w:rPr>
          <w:rFonts w:hint="eastAsia" w:ascii="Times New Roman" w:hAnsi="Times New Roman" w:cs="宋体"/>
          <w:sz w:val="24"/>
          <w:szCs w:val="24"/>
        </w:rPr>
        <w:t>格式参见附件）</w:t>
      </w:r>
      <w:r>
        <w:rPr>
          <w:rFonts w:hint="eastAsia" w:ascii="Times New Roman" w:hAnsi="Times New Roman" w:eastAsia="宋体"/>
          <w:sz w:val="24"/>
          <w:szCs w:val="24"/>
          <w:highlight w:val="none"/>
          <w:lang w:val="en-US" w:eastAsia="zh-CN"/>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lang w:val="en-US" w:eastAsia="zh-CN"/>
        </w:rPr>
        <w:t>5</w:t>
      </w:r>
      <w:r>
        <w:rPr>
          <w:rFonts w:hint="eastAsia" w:ascii="Times New Roman" w:hAnsi="Times New Roman" w:eastAsia="宋体"/>
          <w:sz w:val="24"/>
          <w:szCs w:val="24"/>
        </w:rPr>
        <w:t>、其它需要提交的资格审查证明材料。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b/>
          <w:sz w:val="24"/>
          <w:szCs w:val="24"/>
          <w:highlight w:val="none"/>
        </w:rPr>
      </w:pPr>
      <w:r>
        <w:rPr>
          <w:rFonts w:hint="eastAsia" w:ascii="Times New Roman" w:hAnsi="Times New Roman" w:eastAsia="宋体"/>
          <w:b/>
          <w:sz w:val="24"/>
          <w:szCs w:val="24"/>
          <w:highlight w:val="none"/>
        </w:rPr>
        <w:t>以上材料如为复印件均需加盖投标单位公章。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highlight w:val="none"/>
        </w:rPr>
        <w:t>二、技术响</w:t>
      </w:r>
      <w:r>
        <w:rPr>
          <w:rFonts w:hint="eastAsia" w:ascii="Times New Roman" w:hAnsi="Times New Roman" w:eastAsia="宋体"/>
          <w:b/>
          <w:bCs/>
          <w:sz w:val="24"/>
          <w:szCs w:val="24"/>
        </w:rPr>
        <w:t>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w:t>
      </w:r>
      <w:r>
        <w:rPr>
          <w:rFonts w:hint="eastAsia" w:ascii="Times New Roman" w:hAnsi="Times New Roman" w:cs="宋体"/>
          <w:sz w:val="24"/>
          <w:szCs w:val="24"/>
        </w:rPr>
        <w:t>磋商</w:t>
      </w:r>
      <w:r>
        <w:rPr>
          <w:rFonts w:ascii="Times New Roman" w:hAnsi="Times New Roman" w:cs="宋体"/>
          <w:sz w:val="24"/>
          <w:szCs w:val="24"/>
        </w:rPr>
        <w:t>响应函（格式参见第八章）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bCs/>
          <w:sz w:val="24"/>
          <w:szCs w:val="24"/>
          <w:lang w:val="en-US" w:eastAsia="zh-CN"/>
        </w:rPr>
        <w:t>2、</w:t>
      </w:r>
      <w:r>
        <w:rPr>
          <w:rFonts w:hint="eastAsia" w:ascii="Times New Roman" w:hAnsi="Times New Roman" w:eastAsia="宋体" w:cs="宋体"/>
          <w:bCs/>
          <w:sz w:val="24"/>
          <w:szCs w:val="24"/>
        </w:rPr>
        <w:t>技术条款响应正负偏离表</w:t>
      </w:r>
      <w:r>
        <w:rPr>
          <w:rFonts w:hint="eastAsia" w:ascii="Times New Roman" w:hAnsi="Times New Roman" w:eastAsia="宋体" w:cs="宋体"/>
          <w:sz w:val="24"/>
          <w:szCs w:val="24"/>
        </w:rPr>
        <w:t>（格式参见附件）</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default" w:eastAsia="宋体"/>
          <w:lang w:val="en-US" w:eastAsia="zh-CN"/>
        </w:rPr>
      </w:pPr>
      <w:r>
        <w:rPr>
          <w:rFonts w:hint="eastAsia" w:ascii="Times New Roman" w:hAnsi="Times New Roman" w:cs="宋体"/>
          <w:sz w:val="24"/>
          <w:szCs w:val="24"/>
          <w:lang w:val="en-US" w:eastAsia="zh-CN"/>
        </w:rPr>
        <w:t>3、商务</w:t>
      </w:r>
      <w:r>
        <w:rPr>
          <w:rFonts w:hint="eastAsia" w:ascii="Times New Roman" w:hAnsi="Times New Roman" w:eastAsia="宋体" w:cs="宋体"/>
          <w:bCs/>
          <w:sz w:val="24"/>
          <w:szCs w:val="24"/>
        </w:rPr>
        <w:t>条款响应正负偏离表</w:t>
      </w:r>
      <w:r>
        <w:rPr>
          <w:rFonts w:hint="eastAsia" w:ascii="Times New Roman" w:hAnsi="Times New Roman" w:eastAsia="宋体" w:cs="宋体"/>
          <w:sz w:val="24"/>
          <w:szCs w:val="24"/>
        </w:rPr>
        <w:t>（格式参见附件）</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lang w:val="en-US" w:eastAsia="zh-CN"/>
        </w:rPr>
        <w:t>4、</w:t>
      </w:r>
      <w:r>
        <w:rPr>
          <w:rFonts w:hint="eastAsia" w:ascii="Times New Roman" w:hAnsi="Times New Roman" w:eastAsia="宋体" w:cs="宋体"/>
          <w:bCs/>
          <w:sz w:val="24"/>
          <w:szCs w:val="24"/>
        </w:rPr>
        <w:t>磋商文件中评分标准所涉及的事项需提供的所有资料；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lang w:val="en-US" w:eastAsia="zh-CN"/>
        </w:rPr>
        <w:t>5</w:t>
      </w:r>
      <w:r>
        <w:rPr>
          <w:rFonts w:hint="eastAsia" w:ascii="Times New Roman" w:hAnsi="Times New Roman" w:eastAsia="宋体" w:cs="宋体"/>
          <w:bCs/>
          <w:sz w:val="24"/>
          <w:szCs w:val="24"/>
        </w:rPr>
        <w:t>、磋商文件中未涉及的事项，投标供应商认为需要提交的其他资料。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资格审查文件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技术响应文件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所须提供的材料按磋商文件要求装订，密封，递交。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cs="宋体"/>
          <w:sz w:val="24"/>
          <w:szCs w:val="24"/>
        </w:rPr>
        <w:t>磋商响应报价表（格式参见附件）</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hint="eastAsia" w:ascii="Times New Roman" w:hAnsi="Times New Roman" w:eastAsia="宋体" w:cs="宋体"/>
          <w:bCs/>
          <w:sz w:val="24"/>
          <w:szCs w:val="24"/>
          <w:lang w:val="en-US" w:eastAsia="zh-CN"/>
        </w:rPr>
      </w:pPr>
      <w:r>
        <w:rPr>
          <w:rFonts w:hint="eastAsia" w:ascii="Times New Roman" w:hAnsi="Times New Roman" w:eastAsia="宋体" w:cs="宋体"/>
          <w:bCs/>
          <w:sz w:val="24"/>
          <w:szCs w:val="24"/>
          <w:lang w:val="en-US" w:eastAsia="zh-CN"/>
        </w:rPr>
        <w:t>2、磋商响应报价明细表；</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ascii="Times New Roman" w:hAnsi="Times New Roman" w:eastAsia="宋体"/>
          <w:b/>
          <w:sz w:val="24"/>
          <w:szCs w:val="24"/>
        </w:rPr>
      </w:pPr>
      <w:r>
        <w:rPr>
          <w:rFonts w:hint="eastAsia" w:ascii="Times New Roman" w:hAnsi="Times New Roman" w:eastAsia="宋体" w:cs="宋体"/>
          <w:bCs/>
          <w:sz w:val="24"/>
          <w:szCs w:val="24"/>
          <w:lang w:val="en-US" w:eastAsia="zh-CN"/>
        </w:rPr>
        <w:t>3、中小企业声明函</w:t>
      </w:r>
      <w:r>
        <w:rPr>
          <w:rFonts w:hint="eastAsia" w:ascii="Times New Roman" w:hAnsi="Times New Roman" w:eastAsia="宋体" w:cs="宋体"/>
          <w:bCs/>
          <w:sz w:val="24"/>
          <w:szCs w:val="24"/>
          <w:lang w:val="zh-CN" w:eastAsia="zh-CN"/>
        </w:rPr>
        <w:t>或《残疾人福利性单位声明函》或监</w:t>
      </w:r>
      <w:r>
        <w:rPr>
          <w:rFonts w:hint="eastAsia" w:ascii="Times New Roman" w:hAnsi="Times New Roman" w:eastAsia="宋体" w:cs="宋体"/>
          <w:bCs/>
          <w:sz w:val="24"/>
          <w:szCs w:val="24"/>
          <w:lang w:val="en-US" w:eastAsia="zh-CN"/>
        </w:rPr>
        <w:t>狱和戒毒企业证明材料（如涉有）</w:t>
      </w:r>
      <w:r>
        <w:rPr>
          <w:rFonts w:hint="eastAsia" w:ascii="Times New Roman" w:hAnsi="Times New Roman" w:cs="宋体"/>
          <w:sz w:val="24"/>
          <w:szCs w:val="24"/>
        </w:rPr>
        <w:br w:type="page"/>
      </w:r>
    </w:p>
    <w:p>
      <w:pPr>
        <w:keepNext w:val="0"/>
        <w:keepLines w:val="0"/>
        <w:pageBreakBefore w:val="0"/>
        <w:widowControl w:val="0"/>
        <w:kinsoku/>
        <w:wordWrap/>
        <w:topLinePunct w:val="0"/>
        <w:autoSpaceDE/>
        <w:autoSpaceDN/>
        <w:bidi w:val="0"/>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lang w:eastAsia="zh-CN"/>
        </w:rPr>
        <w:t>南通市第三人民医院多学科会诊平台项目</w:t>
      </w:r>
      <w:r>
        <w:rPr>
          <w:rFonts w:hint="eastAsia" w:ascii="Times New Roman" w:hAnsi="Times New Roman" w:eastAsia="宋体" w:cs="宋体"/>
          <w:sz w:val="24"/>
          <w:szCs w:val="24"/>
        </w:rPr>
        <w:t>（竞争性磋商项目名称）项目的磋商活动，全权代表我公司处理该磋商活动的有关事宜。</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lang w:eastAsia="zh-CN"/>
        </w:rPr>
        <w:t>南通市第三人民医院多学科会诊平台项目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3、供应商符合《中华人民共和国政府采购法》第二十二条规定条件的声明函</w:t>
      </w: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sz w:val="24"/>
          <w:szCs w:val="21"/>
          <w:u w:val="single"/>
        </w:rPr>
      </w:pP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14:textFill>
            <w14:solidFill>
              <w14:schemeClr w14:val="tx1"/>
            </w14:solidFill>
          </w14:textFill>
        </w:rPr>
        <w:t>南通市第三人民医院</w:t>
      </w:r>
      <w:r>
        <w:rPr>
          <w:rFonts w:ascii="Times New Roman" w:hAnsi="Times New Roman" w:eastAsia="宋体" w:cs="Times New Roman"/>
          <w:bCs/>
          <w:sz w:val="24"/>
          <w:szCs w:val="21"/>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认定为200万元以上的罚款，法律、行政法规以及国务院有关部门明确规定相关领域</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标准高于200万元的，从其规定。）</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0"/>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keepNext w:val="0"/>
        <w:keepLines w:val="0"/>
        <w:pageBreakBefore w:val="0"/>
        <w:widowControl w:val="0"/>
        <w:kinsoku/>
        <w:wordWrap/>
        <w:topLinePunct w:val="0"/>
        <w:autoSpaceDE/>
        <w:autoSpaceDN/>
        <w:bidi w:val="0"/>
        <w:spacing w:line="360" w:lineRule="auto"/>
        <w:ind w:firstLine="560" w:firstLineChars="200"/>
        <w:rPr>
          <w:rFonts w:ascii="Times New Roman" w:hAnsi="Times New Roman" w:eastAsia="宋体" w:cs="宋体"/>
          <w:bCs/>
          <w:sz w:val="28"/>
          <w:szCs w:val="28"/>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hint="eastAsia"/>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b/>
          <w:sz w:val="24"/>
          <w:szCs w:val="24"/>
        </w:rPr>
      </w:pPr>
      <w:r>
        <w:rPr>
          <w:rFonts w:hint="eastAsia" w:ascii="Times New Roman" w:hAnsi="Times New Roman" w:eastAsia="宋体"/>
          <w:b/>
          <w:sz w:val="24"/>
          <w:szCs w:val="24"/>
          <w:lang w:val="en-US" w:eastAsia="zh-CN"/>
        </w:rPr>
        <w:t>5</w:t>
      </w:r>
      <w:r>
        <w:rPr>
          <w:rFonts w:hint="eastAsia" w:ascii="Times New Roman" w:hAnsi="Times New Roman" w:eastAsia="宋体"/>
          <w:b/>
          <w:sz w:val="24"/>
          <w:szCs w:val="24"/>
        </w:rPr>
        <w:t>、技术条款响应正负偏离表</w:t>
      </w:r>
    </w:p>
    <w:p>
      <w:pPr>
        <w:keepNext w:val="0"/>
        <w:keepLines w:val="0"/>
        <w:pageBreakBefore w:val="0"/>
        <w:widowControl w:val="0"/>
        <w:kinsoku/>
        <w:wordWrap/>
        <w:topLinePunct w:val="0"/>
        <w:autoSpaceDE/>
        <w:autoSpaceDN/>
        <w:bidi w:val="0"/>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357"/>
        <w:gridCol w:w="2302"/>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1357"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采购文件条目号</w:t>
            </w:r>
          </w:p>
        </w:tc>
        <w:tc>
          <w:tcPr>
            <w:tcW w:w="230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bl>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项目需求说明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中的技术部分的要求有不同时，应逐条填列在偏离表中，否则将认为响应人接受磋商文件的所有要求。完全响应部分不填。</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偏离说明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一栏选择</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正偏离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负偏离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进行填写。正偏离的确认和负偏离的是否相应磋商文件，经三分之二评委认定。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keepNext w:val="0"/>
        <w:keepLines w:val="0"/>
        <w:pageBreakBefore w:val="0"/>
        <w:widowControl w:val="0"/>
        <w:kinsoku/>
        <w:wordWrap/>
        <w:topLinePunct w:val="0"/>
        <w:autoSpaceDE/>
        <w:autoSpaceDN/>
        <w:bidi w:val="0"/>
        <w:spacing w:line="360" w:lineRule="auto"/>
        <w:rPr>
          <w:rFonts w:ascii="Times New Roman" w:hAnsi="Times New Roman" w:eastAsia="宋体" w:cs="仿宋"/>
          <w:sz w:val="28"/>
          <w:szCs w:val="28"/>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b/>
          <w:sz w:val="24"/>
          <w:szCs w:val="24"/>
        </w:rPr>
      </w:pPr>
      <w:r>
        <w:rPr>
          <w:rFonts w:ascii="Times New Roman" w:hAnsi="Times New Roman" w:eastAsia="宋体" w:cs="宋体"/>
          <w:b/>
          <w:bCs/>
          <w:sz w:val="24"/>
          <w:szCs w:val="24"/>
        </w:rPr>
        <w:br w:type="page"/>
      </w:r>
      <w:r>
        <w:rPr>
          <w:rFonts w:hint="eastAsia" w:ascii="Times New Roman" w:hAnsi="Times New Roman" w:eastAsia="宋体"/>
          <w:b/>
          <w:sz w:val="24"/>
          <w:szCs w:val="24"/>
          <w:lang w:val="en-US" w:eastAsia="zh-CN"/>
        </w:rPr>
        <w:t>6</w:t>
      </w:r>
      <w:r>
        <w:rPr>
          <w:rFonts w:hint="eastAsia" w:ascii="Times New Roman" w:hAnsi="Times New Roman" w:eastAsia="宋体"/>
          <w:b/>
          <w:sz w:val="24"/>
          <w:szCs w:val="24"/>
        </w:rPr>
        <w:t>、</w:t>
      </w:r>
      <w:r>
        <w:rPr>
          <w:rFonts w:hint="eastAsia" w:ascii="Times New Roman" w:hAnsi="Times New Roman" w:eastAsia="宋体"/>
          <w:b/>
          <w:sz w:val="24"/>
          <w:szCs w:val="24"/>
          <w:lang w:eastAsia="zh-CN"/>
        </w:rPr>
        <w:t>商务</w:t>
      </w:r>
      <w:r>
        <w:rPr>
          <w:rFonts w:hint="eastAsia" w:ascii="Times New Roman" w:hAnsi="Times New Roman" w:eastAsia="宋体"/>
          <w:b/>
          <w:sz w:val="24"/>
          <w:szCs w:val="24"/>
        </w:rPr>
        <w:t>条款响应正负偏离表</w:t>
      </w:r>
    </w:p>
    <w:p>
      <w:pPr>
        <w:keepNext w:val="0"/>
        <w:keepLines w:val="0"/>
        <w:pageBreakBefore w:val="0"/>
        <w:widowControl w:val="0"/>
        <w:kinsoku/>
        <w:wordWrap/>
        <w:topLinePunct w:val="0"/>
        <w:autoSpaceDE/>
        <w:autoSpaceDN/>
        <w:bidi w:val="0"/>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529"/>
        <w:gridCol w:w="2130"/>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1529"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采购文件条目号</w:t>
            </w:r>
          </w:p>
        </w:tc>
        <w:tc>
          <w:tcPr>
            <w:tcW w:w="213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5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1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5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1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5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1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5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13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bl>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项目需求说明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中的</w:t>
      </w:r>
      <w:r>
        <w:rPr>
          <w:rFonts w:hint="eastAsia" w:ascii="Times New Roman" w:hAnsi="Times New Roman" w:eastAsia="宋体" w:cs="宋体"/>
          <w:sz w:val="24"/>
          <w:szCs w:val="24"/>
          <w:lang w:eastAsia="zh-CN"/>
        </w:rPr>
        <w:t>商务</w:t>
      </w:r>
      <w:r>
        <w:rPr>
          <w:rFonts w:ascii="Times New Roman" w:hAnsi="Times New Roman" w:eastAsia="宋体" w:cs="宋体"/>
          <w:sz w:val="24"/>
          <w:szCs w:val="24"/>
        </w:rPr>
        <w:t>部分的要求有不同时，应逐条填列在偏离表中，否则将认为响应人接受磋商文件的所有要求。完全响应部分不填。</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偏离说明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一栏选择</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正偏离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负偏离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进行填写。正偏离的确认和负偏离的是否相应磋商文件，经三分之二评委认定。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rPr>
          <w:rFonts w:hint="eastAsia"/>
          <w:lang w:val="en-US" w:eastAsia="zh-CN"/>
        </w:rPr>
      </w:pPr>
      <w:r>
        <w:rPr>
          <w:rFonts w:hint="eastAsia" w:ascii="Times New Roman" w:hAnsi="Times New Roman" w:eastAsia="宋体" w:cs="宋体"/>
          <w:b/>
          <w:bCs/>
          <w:sz w:val="24"/>
          <w:szCs w:val="24"/>
          <w:lang w:val="en-US" w:eastAsia="zh-CN"/>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r>
        <w:rPr>
          <w:rFonts w:hint="eastAsia" w:ascii="Times New Roman" w:hAnsi="Times New Roman" w:eastAsia="宋体" w:cs="宋体"/>
          <w:b/>
          <w:bCs/>
          <w:sz w:val="24"/>
          <w:szCs w:val="24"/>
          <w:lang w:val="en-US" w:eastAsia="zh-CN"/>
        </w:rPr>
        <w:t>7</w:t>
      </w:r>
      <w:r>
        <w:rPr>
          <w:rFonts w:hint="eastAsia" w:ascii="Times New Roman" w:hAnsi="Times New Roman" w:eastAsia="宋体" w:cs="宋体"/>
          <w:b/>
          <w:bCs/>
          <w:sz w:val="24"/>
          <w:szCs w:val="24"/>
        </w:rPr>
        <w:t>、竞争性磋商响应函</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w:t>
      </w:r>
      <w:r>
        <w:rPr>
          <w:rFonts w:hint="eastAsia" w:ascii="Times New Roman" w:hAnsi="Times New Roman" w:eastAsia="宋体"/>
          <w:sz w:val="24"/>
          <w:szCs w:val="24"/>
          <w:u w:val="single"/>
        </w:rPr>
        <w:t>（姓名）（职务）为</w:t>
      </w:r>
      <w:r>
        <w:rPr>
          <w:rFonts w:hint="eastAsia" w:ascii="Times New Roman" w:hAnsi="Times New Roman" w:eastAsia="宋体"/>
          <w:sz w:val="24"/>
          <w:szCs w:val="24"/>
        </w:rPr>
        <w:t>全权代表参加该项目的磋商工作，全权处理本次竞争性磋商的有关事宜。同时，我公司声明如下：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rPr>
      </w:pPr>
      <w:r>
        <w:rPr>
          <w:rFonts w:hint="eastAsia" w:ascii="Times New Roman" w:hAnsi="Times New Roman" w:eastAsia="宋体" w:cs="宋体"/>
          <w:b/>
          <w:sz w:val="24"/>
          <w:szCs w:val="24"/>
          <w:lang w:val="en-US" w:eastAsia="zh-CN"/>
        </w:rPr>
        <w:t>8</w:t>
      </w:r>
      <w:r>
        <w:rPr>
          <w:rFonts w:hint="eastAsia" w:ascii="Times New Roman" w:hAnsi="Times New Roman" w:eastAsia="宋体" w:cs="宋体"/>
          <w:b/>
          <w:sz w:val="24"/>
          <w:szCs w:val="24"/>
        </w:rPr>
        <w:t>、磋商响应报价表</w:t>
      </w:r>
    </w:p>
    <w:p>
      <w:pPr>
        <w:keepNext w:val="0"/>
        <w:keepLines w:val="0"/>
        <w:pageBreakBefore w:val="0"/>
        <w:widowControl w:val="0"/>
        <w:kinsoku/>
        <w:wordWrap/>
        <w:topLinePunct w:val="0"/>
        <w:autoSpaceDE/>
        <w:autoSpaceDN/>
        <w:bidi w:val="0"/>
        <w:spacing w:line="360" w:lineRule="auto"/>
        <w:ind w:firstLine="241" w:firstLineChars="100"/>
        <w:textAlignment w:val="baseline"/>
        <w:rPr>
          <w:rFonts w:hint="eastAsia" w:ascii="Times New Roman" w:hAnsi="Times New Roman" w:eastAsia="宋体"/>
          <w:b/>
          <w:sz w:val="24"/>
          <w:szCs w:val="24"/>
          <w:lang w:eastAsia="zh-CN"/>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lang w:eastAsia="zh-CN"/>
        </w:rPr>
        <w:t>南通市第三人民医院多学科会诊平台项目</w:t>
      </w:r>
    </w:p>
    <w:tbl>
      <w:tblPr>
        <w:tblStyle w:val="23"/>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180"/>
        <w:gridCol w:w="1945"/>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1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hint="eastAsia" w:ascii="Times New Roman" w:hAnsi="Times New Roman" w:eastAsia="宋体"/>
                <w:b/>
                <w:bCs/>
                <w:sz w:val="20"/>
                <w:szCs w:val="21"/>
                <w:lang w:eastAsia="zh-CN"/>
              </w:rPr>
            </w:pPr>
            <w:r>
              <w:rPr>
                <w:rFonts w:hint="eastAsia" w:ascii="Times New Roman" w:hAnsi="Times New Roman" w:eastAsia="宋体"/>
                <w:b/>
                <w:sz w:val="22"/>
                <w:szCs w:val="24"/>
                <w:lang w:eastAsia="zh-CN"/>
              </w:rPr>
              <w:t>南通市第三人民医院多学科会诊平台项目</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180" w:type="dxa"/>
            <w:vMerge w:val="continue"/>
            <w:tcBorders>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bl>
    <w:p>
      <w:pPr>
        <w:keepNext w:val="0"/>
        <w:keepLines w:val="0"/>
        <w:pageBreakBefore w:val="0"/>
        <w:widowControl w:val="0"/>
        <w:kinsoku/>
        <w:wordWrap/>
        <w:topLinePunct w:val="0"/>
        <w:autoSpaceDE/>
        <w:autoSpaceDN/>
        <w:bidi w:val="0"/>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0"/>
        </w:rPr>
      </w:pPr>
    </w:p>
    <w:p>
      <w:pPr>
        <w:pStyle w:val="12"/>
        <w:keepNext w:val="0"/>
        <w:keepLines w:val="0"/>
        <w:pageBreakBefore w:val="0"/>
        <w:widowControl w:val="0"/>
        <w:kinsoku/>
        <w:wordWrap/>
        <w:topLinePunct w:val="0"/>
        <w:autoSpaceDE/>
        <w:autoSpaceDN/>
        <w:bidi w:val="0"/>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12"/>
        <w:keepNext w:val="0"/>
        <w:keepLines w:val="0"/>
        <w:pageBreakBefore w:val="0"/>
        <w:widowControl w:val="0"/>
        <w:kinsoku/>
        <w:wordWrap/>
        <w:topLinePunct w:val="0"/>
        <w:autoSpaceDE/>
        <w:autoSpaceDN/>
        <w:bidi w:val="0"/>
        <w:spacing w:line="360" w:lineRule="auto"/>
        <w:textAlignment w:val="baseline"/>
        <w:rPr>
          <w:rFonts w:ascii="Times New Roman" w:hAnsi="Times New Roman"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（2）磋商报价的总价中应包含：完成本项目所需的一切费用，</w:t>
      </w:r>
      <w:r>
        <w:rPr>
          <w:rFonts w:hint="eastAsia" w:ascii="宋体" w:hAnsi="宋体" w:eastAsia="宋体"/>
          <w:bCs/>
          <w:sz w:val="24"/>
          <w:szCs w:val="24"/>
          <w:lang w:eastAsia="zh-CN"/>
        </w:rPr>
        <w:t>包含但不限于</w:t>
      </w:r>
      <w:r>
        <w:rPr>
          <w:rFonts w:hint="eastAsia" w:ascii="宋体" w:hAnsi="宋体"/>
          <w:bCs/>
          <w:sz w:val="24"/>
          <w:szCs w:val="24"/>
        </w:rPr>
        <w:t>服务的成本、利润、税金、开办费、政策性调整风险费等的所有费用；人工费、检测费、管理费；国家税务部门规定的各项税金；相关伴随服务以及售后服务等一切费用</w:t>
      </w:r>
      <w:r>
        <w:rPr>
          <w:rFonts w:hint="eastAsia" w:ascii="Times New Roman" w:hAnsi="Times New Roman" w:eastAsia="宋体" w:cs="宋体"/>
          <w:sz w:val="24"/>
          <w:szCs w:val="24"/>
        </w:rPr>
        <w:t>。同时，报价也包含了合同履行过程中可能发生的一切风险。</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14:textFill>
            <w14:solidFill>
              <w14:schemeClr w14:val="tx1"/>
            </w14:solidFill>
          </w14:textFill>
        </w:rPr>
        <w:t>第二次报价将在开标现场填写，响应文件密封提交时只需填写磋商报价总计（首次）。报价明细表总价金额应当与首次报价表金额相等，且第二次报价时，磋商响应报价明细表按同比例下浮。</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numPr>
          <w:ilvl w:val="0"/>
          <w:numId w:val="0"/>
        </w:numPr>
        <w:kinsoku/>
        <w:wordWrap/>
        <w:topLinePunct w:val="0"/>
        <w:autoSpaceDE/>
        <w:autoSpaceDN/>
        <w:bidi w:val="0"/>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lang w:val="en-US" w:eastAsia="zh-CN"/>
        </w:rPr>
        <w:t>9、</w:t>
      </w:r>
      <w:r>
        <w:rPr>
          <w:rFonts w:hint="eastAsia" w:ascii="Times New Roman" w:hAnsi="Times New Roman" w:eastAsia="宋体" w:cs="宋体"/>
          <w:b/>
          <w:sz w:val="24"/>
          <w:szCs w:val="24"/>
        </w:rPr>
        <w:t>磋商响应报价明细表</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rPr>
      </w:pPr>
      <w:r>
        <w:rPr>
          <w:rFonts w:hint="eastAsia" w:ascii="Times New Roman" w:hAnsi="Times New Roman" w:eastAsia="宋体" w:cs="宋体"/>
          <w:sz w:val="24"/>
          <w:szCs w:val="24"/>
        </w:rPr>
        <w:t>项目名称：</w:t>
      </w:r>
      <w:r>
        <w:rPr>
          <w:rFonts w:hint="eastAsia" w:ascii="Times New Roman" w:hAnsi="Times New Roman" w:eastAsia="宋体"/>
          <w:sz w:val="24"/>
          <w:szCs w:val="24"/>
          <w:lang w:eastAsia="zh-CN"/>
        </w:rPr>
        <w:t>南通市第三人民医院多学科会诊平台项目</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格式自拟</w:t>
      </w:r>
    </w:p>
    <w:p>
      <w:pPr>
        <w:keepNext w:val="0"/>
        <w:keepLines w:val="0"/>
        <w:pageBreakBefore w:val="0"/>
        <w:widowControl w:val="0"/>
        <w:kinsoku/>
        <w:wordWrap/>
        <w:topLinePunct w:val="0"/>
        <w:autoSpaceDE/>
        <w:autoSpaceDN/>
        <w:bidi w:val="0"/>
        <w:spacing w:line="360" w:lineRule="auto"/>
      </w:pPr>
    </w:p>
    <w:p>
      <w:pPr>
        <w:pStyle w:val="9"/>
        <w:keepNext w:val="0"/>
        <w:keepLines w:val="0"/>
        <w:pageBreakBefore w:val="0"/>
        <w:widowControl w:val="0"/>
        <w:kinsoku/>
        <w:wordWrap/>
        <w:topLinePunct w:val="0"/>
        <w:autoSpaceDE/>
        <w:autoSpaceDN/>
        <w:bidi w:val="0"/>
        <w:spacing w:line="360" w:lineRule="auto"/>
      </w:pPr>
    </w:p>
    <w:p>
      <w:pPr>
        <w:keepNext w:val="0"/>
        <w:keepLines w:val="0"/>
        <w:pageBreakBefore w:val="0"/>
        <w:widowControl w:val="0"/>
        <w:kinsoku/>
        <w:wordWrap/>
        <w:topLinePunct w:val="0"/>
        <w:autoSpaceDE/>
        <w:autoSpaceDN/>
        <w:bidi w:val="0"/>
        <w:spacing w:line="360" w:lineRule="auto"/>
        <w:jc w:val="left"/>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pStyle w:val="12"/>
        <w:keepNext w:val="0"/>
        <w:keepLines w:val="0"/>
        <w:pageBreakBefore w:val="0"/>
        <w:widowControl w:val="0"/>
        <w:kinsoku/>
        <w:wordWrap/>
        <w:topLinePunct w:val="0"/>
        <w:autoSpaceDE/>
        <w:autoSpaceDN/>
        <w:bidi w:val="0"/>
        <w:spacing w:line="360" w:lineRule="auto"/>
        <w:ind w:left="0" w:firstLine="600" w:firstLineChars="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注：1、本项目报价已包括完成本项目所需的一切费用，完成本项目所需的一切费用，</w:t>
      </w:r>
      <w:r>
        <w:rPr>
          <w:rFonts w:hint="eastAsia" w:ascii="宋体" w:hAnsi="宋体" w:eastAsia="宋体"/>
          <w:bCs/>
          <w:sz w:val="24"/>
          <w:szCs w:val="24"/>
          <w:lang w:eastAsia="zh-CN"/>
        </w:rPr>
        <w:t>包含但不限于</w:t>
      </w:r>
      <w:r>
        <w:rPr>
          <w:rFonts w:hint="eastAsia" w:ascii="宋体" w:hAnsi="宋体"/>
          <w:bCs/>
          <w:sz w:val="24"/>
          <w:szCs w:val="24"/>
        </w:rPr>
        <w:t>服务的成本、利润、税金、开办费、政策性调整风险费等的所有费用；人工费、检测费、管理费；国家税务部门规定的各项税金；相关伴随服务以及售后服务等一切费用</w:t>
      </w:r>
      <w:r>
        <w:rPr>
          <w:rFonts w:hint="eastAsia" w:ascii="Times New Roman" w:hAnsi="Times New Roman" w:eastAsia="宋体"/>
          <w:bCs/>
          <w:sz w:val="24"/>
          <w:szCs w:val="24"/>
        </w:rPr>
        <w:t>。同时，报价也包含了合同履行过程中可能发生的一切风险。</w:t>
      </w:r>
    </w:p>
    <w:p>
      <w:pPr>
        <w:keepNext w:val="0"/>
        <w:keepLines w:val="0"/>
        <w:pageBreakBefore w:val="0"/>
        <w:widowControl w:val="0"/>
        <w:kinsoku/>
        <w:wordWrap/>
        <w:topLinePunct w:val="0"/>
        <w:autoSpaceDE/>
        <w:autoSpaceDN/>
        <w:bidi w:val="0"/>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2、报价明细表总价金额应当与首次报价表金额相等，且第二次报价时，磋商响应报价明细表按同比例下浮。</w:t>
      </w:r>
    </w:p>
    <w:p>
      <w:pPr>
        <w:keepNext w:val="0"/>
        <w:keepLines w:val="0"/>
        <w:pageBreakBefore w:val="0"/>
        <w:widowControl w:val="0"/>
        <w:kinsoku/>
        <w:wordWrap/>
        <w:topLinePunct w:val="0"/>
        <w:autoSpaceDE/>
        <w:autoSpaceDN/>
        <w:bidi w:val="0"/>
        <w:spacing w:line="360" w:lineRule="auto"/>
        <w:rPr>
          <w:rFonts w:hint="eastAsia" w:ascii="Times New Roman" w:hAnsi="Times New Roman" w:eastAsia="宋体"/>
          <w:b/>
          <w:bCs/>
          <w:sz w:val="24"/>
          <w:szCs w:val="24"/>
        </w:rPr>
      </w:pPr>
      <w:r>
        <w:rPr>
          <w:rFonts w:hint="eastAsia" w:ascii="Times New Roman" w:hAnsi="Times New Roman" w:eastAsia="宋体"/>
          <w:b/>
          <w:bCs/>
          <w:sz w:val="24"/>
          <w:szCs w:val="24"/>
        </w:rPr>
        <w:br w:type="page"/>
      </w:r>
    </w:p>
    <w:p>
      <w:pPr>
        <w:widowControl/>
        <w:spacing w:line="360" w:lineRule="auto"/>
        <w:jc w:val="center"/>
        <w:rPr>
          <w:rFonts w:ascii="Times New Roman" w:hAnsi="Times New Roman"/>
          <w:b/>
          <w:sz w:val="24"/>
          <w:szCs w:val="24"/>
        </w:rPr>
      </w:pPr>
      <w:r>
        <w:rPr>
          <w:rFonts w:hint="eastAsia" w:ascii="Times New Roman" w:hAnsi="Times New Roman"/>
          <w:b/>
          <w:sz w:val="24"/>
          <w:szCs w:val="24"/>
          <w:lang w:val="en-US" w:eastAsia="zh-CN"/>
        </w:rPr>
        <w:t>10</w:t>
      </w:r>
      <w:r>
        <w:rPr>
          <w:rFonts w:hint="eastAsia" w:ascii="Times New Roman" w:hAnsi="Times New Roman"/>
          <w:b/>
          <w:sz w:val="24"/>
          <w:szCs w:val="24"/>
        </w:rPr>
        <w:t>、中小企业声明函（货物）</w:t>
      </w:r>
    </w:p>
    <w:p>
      <w:pPr>
        <w:spacing w:line="360" w:lineRule="auto"/>
        <w:ind w:firstLine="480"/>
        <w:outlineLvl w:val="0"/>
        <w:rPr>
          <w:rFonts w:hint="eastAsia" w:ascii="宋体" w:hAnsi="宋体" w:cs="宋体"/>
          <w:sz w:val="24"/>
          <w:szCs w:val="28"/>
          <w:lang w:bidi="zh-CN"/>
        </w:rPr>
      </w:pPr>
      <w:r>
        <w:rPr>
          <w:rFonts w:hint="eastAsia" w:ascii="宋体" w:hAnsi="宋体" w:cs="宋体"/>
          <w:sz w:val="24"/>
          <w:szCs w:val="28"/>
          <w:lang w:bidi="zh-CN"/>
        </w:rPr>
        <w:t>本公司(联合体)郑重声明,根据《政府采购促进中小企业发展管理办法》财库(2020]46 号)的规定,本公司(联合体)参加</w:t>
      </w:r>
      <w:r>
        <w:rPr>
          <w:rFonts w:hint="eastAsia" w:ascii="宋体" w:hAnsi="宋体" w:cs="宋体"/>
          <w:sz w:val="24"/>
          <w:szCs w:val="28"/>
          <w:u w:val="single"/>
          <w:lang w:bidi="zh-CN"/>
        </w:rPr>
        <w:t>(单位名称)</w:t>
      </w:r>
      <w:r>
        <w:rPr>
          <w:rFonts w:hint="eastAsia" w:ascii="宋体" w:hAnsi="宋体" w:cs="宋体"/>
          <w:sz w:val="24"/>
          <w:szCs w:val="28"/>
          <w:lang w:bidi="zh-CN"/>
        </w:rPr>
        <w:t>的</w:t>
      </w:r>
      <w:r>
        <w:rPr>
          <w:rFonts w:hint="eastAsia" w:ascii="宋体" w:hAnsi="宋体" w:cs="宋体"/>
          <w:sz w:val="24"/>
          <w:szCs w:val="28"/>
          <w:u w:val="single"/>
          <w:lang w:bidi="zh-CN"/>
        </w:rPr>
        <w:t>(项目名称)</w:t>
      </w:r>
      <w:r>
        <w:rPr>
          <w:rFonts w:hint="eastAsia" w:ascii="宋体" w:hAnsi="宋体" w:cs="宋体"/>
          <w:sz w:val="24"/>
          <w:szCs w:val="28"/>
          <w:lang w:bidi="zh-CN"/>
        </w:rPr>
        <w:t>采购活动,提供的货物全部由符合政策要求的中小企业制造。相关企业(含联合体中的中小企业、签订分包意向协议的中小企业)的具体情况如下：</w:t>
      </w:r>
    </w:p>
    <w:p>
      <w:pPr>
        <w:numPr>
          <w:ilvl w:val="0"/>
          <w:numId w:val="1"/>
        </w:numPr>
        <w:spacing w:line="360" w:lineRule="auto"/>
        <w:ind w:firstLine="480"/>
        <w:jc w:val="left"/>
        <w:outlineLvl w:val="0"/>
        <w:rPr>
          <w:rFonts w:hint="eastAsia" w:ascii="宋体" w:hAnsi="宋体" w:cs="宋体"/>
          <w:sz w:val="24"/>
          <w:szCs w:val="28"/>
          <w:lang w:bidi="zh-CN"/>
        </w:rPr>
      </w:pPr>
      <w:r>
        <w:rPr>
          <w:rFonts w:hint="eastAsia" w:ascii="宋体" w:hAnsi="宋体" w:cs="宋体"/>
          <w:sz w:val="24"/>
          <w:szCs w:val="28"/>
          <w:u w:val="single"/>
          <w:lang w:bidi="zh-CN"/>
        </w:rPr>
        <w:t>(标的名称)</w:t>
      </w:r>
      <w:r>
        <w:rPr>
          <w:rFonts w:hint="eastAsia" w:ascii="宋体" w:hAnsi="宋体" w:cs="宋体"/>
          <w:sz w:val="24"/>
          <w:szCs w:val="28"/>
          <w:lang w:bidi="zh-CN"/>
        </w:rPr>
        <w:t>,属于</w:t>
      </w:r>
      <w:r>
        <w:rPr>
          <w:rFonts w:hint="eastAsia" w:ascii="宋体" w:hAnsi="宋体" w:cs="宋体"/>
          <w:sz w:val="24"/>
          <w:szCs w:val="28"/>
          <w:u w:val="single"/>
          <w:lang w:bidi="zh-CN"/>
        </w:rPr>
        <w:t>(采购文件中明确的所属行业)行业</w:t>
      </w:r>
      <w:r>
        <w:rPr>
          <w:rFonts w:hint="eastAsia" w:ascii="宋体" w:hAnsi="宋体" w:cs="宋体"/>
          <w:sz w:val="24"/>
          <w:szCs w:val="28"/>
          <w:lang w:bidi="zh-CN"/>
        </w:rPr>
        <w:t>;制造商为</w:t>
      </w:r>
      <w:r>
        <w:rPr>
          <w:rFonts w:hint="eastAsia" w:ascii="宋体" w:hAnsi="宋体" w:cs="宋体"/>
          <w:sz w:val="24"/>
          <w:szCs w:val="28"/>
          <w:u w:val="single"/>
          <w:lang w:bidi="zh-CN"/>
        </w:rPr>
        <w:t>（企业名称)</w:t>
      </w:r>
      <w:r>
        <w:rPr>
          <w:rFonts w:hint="eastAsia" w:ascii="宋体" w:hAnsi="宋体" w:cs="宋体"/>
          <w:sz w:val="24"/>
          <w:szCs w:val="28"/>
          <w:lang w:bidi="zh-CN"/>
        </w:rPr>
        <w:t>，从业人员</w:t>
      </w:r>
      <w:r>
        <w:rPr>
          <w:rFonts w:hint="eastAsia" w:ascii="宋体" w:hAnsi="宋体" w:cs="宋体"/>
          <w:sz w:val="24"/>
          <w:szCs w:val="28"/>
          <w:u w:val="single"/>
          <w:lang w:bidi="zh-CN"/>
        </w:rPr>
        <w:t xml:space="preserve">    </w:t>
      </w:r>
      <w:r>
        <w:rPr>
          <w:rFonts w:hint="eastAsia" w:ascii="宋体" w:hAnsi="宋体" w:cs="宋体"/>
          <w:sz w:val="24"/>
          <w:szCs w:val="28"/>
          <w:lang w:bidi="zh-CN"/>
        </w:rPr>
        <w:t>人,营业收入为</w:t>
      </w:r>
      <w:r>
        <w:rPr>
          <w:rFonts w:hint="eastAsia" w:ascii="宋体" w:hAnsi="宋体" w:cs="宋体"/>
          <w:sz w:val="24"/>
          <w:szCs w:val="28"/>
          <w:u w:val="single"/>
          <w:lang w:bidi="zh-CN"/>
        </w:rPr>
        <w:t xml:space="preserve">     </w:t>
      </w:r>
      <w:r>
        <w:rPr>
          <w:rFonts w:hint="eastAsia" w:ascii="宋体" w:hAnsi="宋体" w:cs="宋体"/>
          <w:sz w:val="24"/>
          <w:szCs w:val="28"/>
          <w:lang w:bidi="zh-CN"/>
        </w:rPr>
        <w:t>万元,资产总额为</w:t>
      </w:r>
      <w:r>
        <w:rPr>
          <w:rFonts w:hint="eastAsia" w:ascii="宋体" w:hAnsi="宋体" w:cs="宋体"/>
          <w:sz w:val="24"/>
          <w:szCs w:val="28"/>
          <w:u w:val="single"/>
          <w:lang w:bidi="zh-CN"/>
        </w:rPr>
        <w:t xml:space="preserve">       </w:t>
      </w:r>
      <w:r>
        <w:rPr>
          <w:rFonts w:hint="eastAsia" w:ascii="宋体" w:hAnsi="宋体" w:cs="宋体"/>
          <w:sz w:val="24"/>
          <w:szCs w:val="28"/>
          <w:lang w:bidi="zh-CN"/>
        </w:rPr>
        <w:t>万元,属于(中型企业、小型企业、微型企业)，</w:t>
      </w:r>
    </w:p>
    <w:p>
      <w:pPr>
        <w:numPr>
          <w:ilvl w:val="0"/>
          <w:numId w:val="1"/>
        </w:numPr>
        <w:spacing w:line="360" w:lineRule="auto"/>
        <w:ind w:firstLine="480"/>
        <w:jc w:val="left"/>
        <w:outlineLvl w:val="0"/>
        <w:rPr>
          <w:rFonts w:hint="eastAsia" w:ascii="宋体" w:hAnsi="宋体" w:cs="宋体"/>
          <w:sz w:val="24"/>
          <w:szCs w:val="28"/>
          <w:lang w:bidi="zh-CN"/>
        </w:rPr>
      </w:pPr>
      <w:r>
        <w:rPr>
          <w:rFonts w:hint="eastAsia" w:ascii="宋体" w:hAnsi="宋体" w:cs="宋体"/>
          <w:sz w:val="24"/>
          <w:szCs w:val="28"/>
          <w:u w:val="single"/>
          <w:lang w:bidi="zh-CN"/>
        </w:rPr>
        <w:t xml:space="preserve">(标的名称) </w:t>
      </w:r>
      <w:r>
        <w:rPr>
          <w:rFonts w:hint="eastAsia" w:ascii="宋体" w:hAnsi="宋体" w:cs="宋体"/>
          <w:sz w:val="24"/>
          <w:szCs w:val="28"/>
          <w:lang w:bidi="zh-CN"/>
        </w:rPr>
        <w:t>,属于</w:t>
      </w:r>
      <w:r>
        <w:rPr>
          <w:rFonts w:hint="eastAsia" w:ascii="宋体" w:hAnsi="宋体" w:cs="宋体"/>
          <w:sz w:val="24"/>
          <w:szCs w:val="28"/>
          <w:u w:val="single"/>
          <w:lang w:bidi="zh-CN"/>
        </w:rPr>
        <w:t>(采购文件中明确的所属行业)行业</w:t>
      </w:r>
      <w:r>
        <w:rPr>
          <w:rFonts w:hint="eastAsia" w:ascii="宋体" w:hAnsi="宋体" w:cs="宋体"/>
          <w:sz w:val="24"/>
          <w:szCs w:val="28"/>
          <w:lang w:bidi="zh-CN"/>
        </w:rPr>
        <w:t>;制造商为</w:t>
      </w:r>
      <w:r>
        <w:rPr>
          <w:rFonts w:hint="eastAsia" w:ascii="宋体" w:hAnsi="宋体" w:cs="宋体"/>
          <w:sz w:val="24"/>
          <w:szCs w:val="28"/>
          <w:u w:val="single"/>
          <w:lang w:bidi="zh-CN"/>
        </w:rPr>
        <w:t xml:space="preserve">(企业名称) </w:t>
      </w:r>
      <w:r>
        <w:rPr>
          <w:rFonts w:hint="eastAsia" w:ascii="宋体" w:hAnsi="宋体" w:cs="宋体"/>
          <w:sz w:val="24"/>
          <w:szCs w:val="28"/>
          <w:lang w:bidi="zh-CN"/>
        </w:rPr>
        <w:t>，从业人员</w:t>
      </w:r>
      <w:r>
        <w:rPr>
          <w:rFonts w:hint="eastAsia" w:ascii="宋体" w:hAnsi="宋体" w:cs="宋体"/>
          <w:sz w:val="24"/>
          <w:szCs w:val="28"/>
          <w:u w:val="single"/>
          <w:lang w:bidi="zh-CN"/>
        </w:rPr>
        <w:t xml:space="preserve">     </w:t>
      </w:r>
      <w:r>
        <w:rPr>
          <w:rFonts w:hint="eastAsia" w:ascii="宋体" w:hAnsi="宋体" w:cs="宋体"/>
          <w:sz w:val="24"/>
          <w:szCs w:val="28"/>
          <w:lang w:bidi="zh-CN"/>
        </w:rPr>
        <w:t>人,营业收入为</w:t>
      </w:r>
      <w:r>
        <w:rPr>
          <w:rFonts w:hint="eastAsia" w:ascii="宋体" w:hAnsi="宋体" w:cs="宋体"/>
          <w:sz w:val="24"/>
          <w:szCs w:val="28"/>
          <w:u w:val="single"/>
          <w:lang w:bidi="zh-CN"/>
        </w:rPr>
        <w:t xml:space="preserve">     </w:t>
      </w:r>
      <w:r>
        <w:rPr>
          <w:rFonts w:hint="eastAsia" w:ascii="宋体" w:hAnsi="宋体" w:cs="宋体"/>
          <w:sz w:val="24"/>
          <w:szCs w:val="28"/>
          <w:lang w:bidi="zh-CN"/>
        </w:rPr>
        <w:t>万元，资产总额为</w:t>
      </w:r>
      <w:r>
        <w:rPr>
          <w:rFonts w:hint="eastAsia" w:ascii="宋体" w:hAnsi="宋体" w:cs="宋体"/>
          <w:sz w:val="24"/>
          <w:szCs w:val="28"/>
          <w:u w:val="single"/>
          <w:lang w:bidi="zh-CN"/>
        </w:rPr>
        <w:t xml:space="preserve">     </w:t>
      </w:r>
      <w:r>
        <w:rPr>
          <w:rFonts w:hint="eastAsia" w:ascii="宋体" w:hAnsi="宋体" w:cs="宋体"/>
          <w:sz w:val="24"/>
          <w:szCs w:val="28"/>
          <w:lang w:bidi="zh-CN"/>
        </w:rPr>
        <w:t>万元,属于</w:t>
      </w:r>
      <w:r>
        <w:rPr>
          <w:rFonts w:hint="eastAsia" w:ascii="宋体" w:hAnsi="宋体" w:cs="宋体"/>
          <w:sz w:val="24"/>
          <w:szCs w:val="28"/>
          <w:u w:val="single"/>
          <w:lang w:bidi="zh-CN"/>
        </w:rPr>
        <w:t>(中型企业、小型企业、微型企业)</w:t>
      </w:r>
      <w:r>
        <w:rPr>
          <w:rFonts w:hint="eastAsia" w:ascii="宋体" w:hAnsi="宋体" w:cs="宋体"/>
          <w:sz w:val="24"/>
          <w:szCs w:val="28"/>
          <w:lang w:bidi="zh-CN"/>
        </w:rPr>
        <w:t>，</w:t>
      </w:r>
    </w:p>
    <w:p>
      <w:pPr>
        <w:spacing w:line="360" w:lineRule="auto"/>
        <w:ind w:firstLine="480"/>
        <w:jc w:val="left"/>
        <w:outlineLvl w:val="0"/>
        <w:rPr>
          <w:rFonts w:hint="eastAsia" w:ascii="宋体" w:hAnsi="宋体" w:cs="宋体"/>
          <w:sz w:val="24"/>
          <w:szCs w:val="28"/>
          <w:lang w:bidi="zh-CN"/>
        </w:rPr>
      </w:pPr>
      <w:r>
        <w:rPr>
          <w:rFonts w:hint="eastAsia" w:ascii="宋体" w:hAnsi="宋体" w:cs="宋体"/>
          <w:sz w:val="24"/>
          <w:szCs w:val="28"/>
          <w:lang w:bidi="zh-CN"/>
        </w:rPr>
        <w:t>……</w:t>
      </w:r>
    </w:p>
    <w:p>
      <w:pPr>
        <w:spacing w:line="360" w:lineRule="auto"/>
        <w:ind w:firstLine="480"/>
        <w:outlineLvl w:val="0"/>
        <w:rPr>
          <w:rFonts w:hint="eastAsia" w:ascii="宋体" w:hAnsi="宋体" w:cs="宋体"/>
          <w:sz w:val="24"/>
          <w:szCs w:val="28"/>
          <w:lang w:bidi="zh-CN"/>
        </w:rPr>
      </w:pPr>
      <w:r>
        <w:rPr>
          <w:rFonts w:hint="eastAsia" w:ascii="宋体" w:hAnsi="宋体" w:cs="宋体"/>
          <w:sz w:val="24"/>
          <w:szCs w:val="28"/>
          <w:lang w:bidi="zh-CN"/>
        </w:rPr>
        <w:t>以上企业，不属于大企业的分支机构，不存在控股股东为大企业的情形，也不存在与大企业的负责人为同一人的情形。</w:t>
      </w:r>
    </w:p>
    <w:p>
      <w:pPr>
        <w:spacing w:line="360" w:lineRule="auto"/>
        <w:ind w:firstLine="480"/>
        <w:outlineLvl w:val="0"/>
        <w:rPr>
          <w:rFonts w:hint="eastAsia" w:ascii="宋体" w:hAnsi="宋体" w:cs="宋体"/>
          <w:sz w:val="24"/>
          <w:szCs w:val="28"/>
          <w:lang w:bidi="zh-CN"/>
        </w:rPr>
      </w:pPr>
      <w:r>
        <w:rPr>
          <w:rFonts w:hint="eastAsia" w:ascii="宋体" w:hAnsi="宋体" w:cs="宋体"/>
          <w:sz w:val="24"/>
          <w:szCs w:val="28"/>
          <w:lang w:bidi="zh-CN"/>
        </w:rPr>
        <w:t>本企业对上述声明内容的真实性负责。如有虚假，将依法承担相应责任。</w:t>
      </w:r>
    </w:p>
    <w:p>
      <w:pPr>
        <w:spacing w:line="300" w:lineRule="auto"/>
        <w:outlineLvl w:val="0"/>
        <w:rPr>
          <w:rFonts w:hint="eastAsia" w:ascii="宋体" w:hAnsi="宋体" w:cs="宋体"/>
          <w:sz w:val="24"/>
          <w:szCs w:val="28"/>
          <w:lang w:bidi="zh-CN"/>
        </w:rPr>
      </w:pPr>
    </w:p>
    <w:p>
      <w:pPr>
        <w:spacing w:line="300" w:lineRule="auto"/>
        <w:outlineLvl w:val="0"/>
        <w:rPr>
          <w:rFonts w:hint="eastAsia" w:ascii="宋体" w:hAnsi="宋体" w:cs="宋体"/>
          <w:sz w:val="24"/>
          <w:szCs w:val="28"/>
          <w:lang w:bidi="zh-CN"/>
        </w:rPr>
      </w:pPr>
    </w:p>
    <w:p>
      <w:pPr>
        <w:spacing w:line="300" w:lineRule="auto"/>
        <w:outlineLvl w:val="0"/>
        <w:rPr>
          <w:rFonts w:hint="eastAsia" w:ascii="宋体" w:hAnsi="宋体" w:cs="宋体"/>
          <w:sz w:val="24"/>
          <w:szCs w:val="28"/>
          <w:lang w:bidi="zh-CN"/>
        </w:rPr>
      </w:pPr>
    </w:p>
    <w:p>
      <w:pPr>
        <w:spacing w:line="300" w:lineRule="auto"/>
        <w:ind w:firstLine="4200"/>
        <w:jc w:val="center"/>
        <w:outlineLvl w:val="0"/>
        <w:rPr>
          <w:rFonts w:hint="eastAsia" w:ascii="宋体" w:hAnsi="宋体" w:cs="宋体"/>
          <w:sz w:val="24"/>
          <w:szCs w:val="28"/>
          <w:lang w:bidi="zh-CN"/>
        </w:rPr>
      </w:pPr>
      <w:r>
        <w:rPr>
          <w:rFonts w:hint="eastAsia" w:ascii="宋体" w:hAnsi="宋体" w:cs="宋体"/>
          <w:sz w:val="24"/>
          <w:szCs w:val="28"/>
          <w:lang w:bidi="zh-CN"/>
        </w:rPr>
        <w:t>企业名称（盖章）：</w:t>
      </w:r>
    </w:p>
    <w:p>
      <w:pPr>
        <w:spacing w:line="300" w:lineRule="auto"/>
        <w:ind w:firstLine="5760"/>
        <w:outlineLvl w:val="0"/>
        <w:rPr>
          <w:rFonts w:hint="eastAsia" w:ascii="宋体" w:hAnsi="宋体" w:cs="宋体"/>
          <w:sz w:val="24"/>
          <w:szCs w:val="28"/>
          <w:lang w:bidi="zh-CN"/>
        </w:rPr>
      </w:pPr>
      <w:r>
        <w:rPr>
          <w:rFonts w:hint="eastAsia" w:ascii="宋体" w:hAnsi="宋体" w:cs="宋体"/>
          <w:sz w:val="24"/>
          <w:szCs w:val="28"/>
          <w:lang w:bidi="zh-CN"/>
        </w:rPr>
        <w:t>日 期：</w:t>
      </w:r>
    </w:p>
    <w:p>
      <w:pPr>
        <w:pStyle w:val="37"/>
        <w:rPr>
          <w:rFonts w:hint="eastAsia"/>
          <w:lang w:eastAsia="zh-CN"/>
        </w:rPr>
      </w:pPr>
    </w:p>
    <w:p>
      <w:pPr>
        <w:spacing w:line="360" w:lineRule="auto"/>
        <w:ind w:right="561"/>
        <w:rPr>
          <w:rFonts w:ascii="Times New Roman" w:hAnsi="Times New Roman"/>
          <w:sz w:val="24"/>
          <w:szCs w:val="21"/>
        </w:rPr>
      </w:pPr>
      <w:r>
        <w:rPr>
          <w:rFonts w:hint="eastAsia" w:ascii="Times New Roman" w:hAnsi="Times New Roman"/>
          <w:sz w:val="24"/>
          <w:szCs w:val="21"/>
        </w:rPr>
        <w:t>注1：从业人员、营业收入、资产总额填报上一年度数据，无上一年度数据的新成立企业可不填报。</w:t>
      </w:r>
    </w:p>
    <w:p>
      <w:pPr>
        <w:spacing w:line="480" w:lineRule="auto"/>
        <w:ind w:firstLine="1320"/>
        <w:jc w:val="right"/>
        <w:rPr>
          <w:rFonts w:ascii="Times New Roman" w:hAnsi="Times New Roman" w:cs="宋体"/>
          <w:sz w:val="24"/>
          <w:szCs w:val="24"/>
        </w:rPr>
      </w:pPr>
    </w:p>
    <w:p>
      <w:pPr>
        <w:spacing w:line="360" w:lineRule="auto"/>
        <w:jc w:val="center"/>
        <w:rPr>
          <w:rFonts w:hint="eastAsia" w:ascii="Times New Roman" w:hAnsi="Times New Roman" w:cs="Calibri"/>
          <w:b/>
          <w:szCs w:val="21"/>
        </w:rPr>
      </w:pPr>
      <w:r>
        <w:rPr>
          <w:rFonts w:ascii="Times New Roman" w:hAnsi="Times New Roman" w:cs="宋体"/>
          <w:b/>
          <w:bCs/>
          <w:sz w:val="24"/>
          <w:szCs w:val="24"/>
        </w:rPr>
        <w:br w:type="page" w:clear="all"/>
      </w:r>
      <w:r>
        <w:rPr>
          <w:rFonts w:hint="eastAsia" w:ascii="Times New Roman" w:hAnsi="Times New Roman" w:cs="宋体"/>
          <w:b/>
          <w:bCs/>
          <w:sz w:val="24"/>
          <w:szCs w:val="24"/>
          <w:lang w:val="en-US" w:eastAsia="zh-CN"/>
        </w:rPr>
        <w:t>11</w:t>
      </w:r>
      <w:r>
        <w:rPr>
          <w:rFonts w:hint="eastAsia" w:ascii="Times New Roman" w:hAnsi="Times New Roman" w:cs="宋体"/>
          <w:b/>
          <w:bCs/>
          <w:sz w:val="24"/>
          <w:szCs w:val="24"/>
        </w:rPr>
        <w:t>、</w:t>
      </w:r>
      <w:r>
        <w:rPr>
          <w:rFonts w:hint="eastAsia" w:ascii="Times New Roman" w:hAnsi="Times New Roman"/>
          <w:b/>
          <w:bCs/>
          <w:sz w:val="24"/>
          <w:szCs w:val="21"/>
        </w:rPr>
        <w:t>残疾人福利性单位声明函</w:t>
      </w:r>
    </w:p>
    <w:p>
      <w:pPr>
        <w:spacing w:line="360" w:lineRule="auto"/>
        <w:ind w:firstLine="480"/>
        <w:rPr>
          <w:rFonts w:hint="eastAsia" w:ascii="Times New Roman" w:hAnsi="Times New Roman" w:cs="宋体"/>
          <w:sz w:val="24"/>
          <w:szCs w:val="21"/>
        </w:rPr>
      </w:pPr>
      <w:r>
        <w:rPr>
          <w:rFonts w:hint="eastAsia" w:ascii="Times New Roman" w:hAnsi="Times New Roman" w:cs="宋体"/>
          <w:sz w:val="24"/>
          <w:szCs w:val="21"/>
        </w:rPr>
        <w:t>本单位郑重声明，根据《财政部民政部中国残疾人联合会关于促进残疾人就业政府采购政策的通知》（财库〔2017〕141号）的规定，本单位为符合条件的残疾人福利性单位，且本单位参加______单位的采购文件编号为______的</w:t>
      </w:r>
      <w:r>
        <w:rPr>
          <w:rFonts w:hint="eastAsia" w:ascii="Times New Roman" w:hAnsi="Times New Roman" w:cs="宋体"/>
          <w:sz w:val="24"/>
          <w:szCs w:val="21"/>
          <w:u w:val="single"/>
        </w:rPr>
        <w:t xml:space="preserve">       </w:t>
      </w:r>
      <w:r>
        <w:rPr>
          <w:rFonts w:hint="eastAsia" w:ascii="Times New Roman" w:hAnsi="Times New Roman" w:cs="宋体"/>
          <w:sz w:val="24"/>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Times New Roman" w:hAnsi="Times New Roman" w:cs="宋体"/>
          <w:sz w:val="24"/>
          <w:szCs w:val="21"/>
        </w:rPr>
      </w:pPr>
      <w:r>
        <w:rPr>
          <w:rFonts w:hint="eastAsia" w:ascii="Times New Roman" w:hAnsi="Times New Roman" w:cs="宋体"/>
          <w:sz w:val="24"/>
          <w:szCs w:val="21"/>
        </w:rPr>
        <w:t>本单位在本次政府采购活动中提供的残疾人福利单位产品报价合计为人民币（大写）</w:t>
      </w:r>
      <w:r>
        <w:rPr>
          <w:rFonts w:hint="eastAsia" w:ascii="Times New Roman" w:hAnsi="Times New Roman" w:cs="宋体"/>
          <w:sz w:val="24"/>
          <w:szCs w:val="21"/>
          <w:u w:val="single"/>
        </w:rPr>
        <w:t xml:space="preserve">      </w:t>
      </w:r>
      <w:r>
        <w:rPr>
          <w:rFonts w:hint="eastAsia" w:ascii="Times New Roman" w:hAnsi="Times New Roman" w:cs="宋体"/>
          <w:sz w:val="24"/>
          <w:szCs w:val="21"/>
        </w:rPr>
        <w:t>圆整（￥：     ）。</w:t>
      </w:r>
    </w:p>
    <w:p>
      <w:pPr>
        <w:spacing w:line="360" w:lineRule="auto"/>
        <w:ind w:firstLine="480"/>
        <w:rPr>
          <w:rFonts w:hint="eastAsia" w:ascii="Times New Roman" w:hAnsi="Times New Roman" w:cs="宋体"/>
          <w:sz w:val="24"/>
          <w:szCs w:val="21"/>
        </w:rPr>
      </w:pPr>
      <w:r>
        <w:rPr>
          <w:rFonts w:hint="eastAsia" w:ascii="Times New Roman" w:hAnsi="Times New Roman" w:cs="宋体"/>
          <w:sz w:val="24"/>
          <w:szCs w:val="21"/>
        </w:rPr>
        <w:t>本单位对上述声明的真实性负责。如有虚假，将依法承担相应责任。</w:t>
      </w:r>
    </w:p>
    <w:p>
      <w:pPr>
        <w:spacing w:line="360" w:lineRule="auto"/>
        <w:ind w:firstLine="480"/>
        <w:rPr>
          <w:rFonts w:hint="eastAsia" w:ascii="Times New Roman" w:hAnsi="Times New Roman" w:cs="宋体"/>
          <w:sz w:val="24"/>
          <w:szCs w:val="21"/>
        </w:rPr>
      </w:pPr>
      <w:r>
        <w:rPr>
          <w:rFonts w:hint="eastAsia" w:ascii="Times New Roman" w:hAnsi="Times New Roman" w:cs="宋体"/>
          <w:sz w:val="24"/>
          <w:szCs w:val="21"/>
        </w:rPr>
        <w:t>（备注：成交供应商为残疾人福利单位的，此声明函将随成交结果同时公告，接受社会监督）</w:t>
      </w:r>
    </w:p>
    <w:p>
      <w:pPr>
        <w:spacing w:line="360" w:lineRule="auto"/>
        <w:ind w:firstLine="624"/>
        <w:rPr>
          <w:rFonts w:hint="eastAsia" w:ascii="Times New Roman" w:hAnsi="Times New Roman" w:cs="宋体"/>
          <w:spacing w:val="6"/>
          <w:sz w:val="30"/>
          <w:szCs w:val="30"/>
        </w:rPr>
      </w:pPr>
    </w:p>
    <w:p>
      <w:pPr>
        <w:tabs>
          <w:tab w:val="left" w:pos="4860"/>
        </w:tabs>
        <w:spacing w:line="360" w:lineRule="auto"/>
        <w:ind w:firstLine="624"/>
        <w:jc w:val="center"/>
        <w:rPr>
          <w:rFonts w:hint="eastAsia" w:ascii="Times New Roman" w:hAnsi="Times New Roman" w:cs="宋体"/>
          <w:sz w:val="24"/>
          <w:szCs w:val="21"/>
        </w:rPr>
      </w:pPr>
      <w:r>
        <w:rPr>
          <w:rFonts w:hint="eastAsia" w:ascii="Times New Roman" w:hAnsi="Times New Roman" w:cs="宋体"/>
          <w:spacing w:val="6"/>
          <w:sz w:val="30"/>
          <w:szCs w:val="30"/>
        </w:rPr>
        <w:t xml:space="preserve">      </w:t>
      </w:r>
      <w:r>
        <w:rPr>
          <w:rFonts w:hint="eastAsia" w:ascii="Times New Roman" w:hAnsi="Times New Roman" w:cs="宋体"/>
          <w:sz w:val="24"/>
          <w:szCs w:val="21"/>
        </w:rPr>
        <w:t xml:space="preserve">                     供应商全称（盖章）：</w:t>
      </w:r>
    </w:p>
    <w:p>
      <w:pPr>
        <w:tabs>
          <w:tab w:val="left" w:pos="4860"/>
        </w:tabs>
        <w:spacing w:line="360" w:lineRule="auto"/>
        <w:ind w:firstLine="480"/>
        <w:jc w:val="center"/>
        <w:rPr>
          <w:rFonts w:hint="eastAsia" w:ascii="Times New Roman" w:hAnsi="Times New Roman" w:cs="宋体"/>
          <w:sz w:val="24"/>
          <w:szCs w:val="21"/>
        </w:rPr>
      </w:pPr>
      <w:r>
        <w:rPr>
          <w:rFonts w:hint="eastAsia" w:ascii="Times New Roman" w:hAnsi="Times New Roman" w:cs="宋体"/>
          <w:sz w:val="24"/>
          <w:szCs w:val="21"/>
        </w:rPr>
        <w:t xml:space="preserve">                              日  期：</w:t>
      </w:r>
    </w:p>
    <w:p>
      <w:pPr>
        <w:shd w:val="clear" w:color="auto" w:fill="FFFFFF"/>
        <w:spacing w:line="360" w:lineRule="auto"/>
        <w:jc w:val="left"/>
        <w:rPr>
          <w:rFonts w:hint="eastAsia" w:ascii="Times New Roman" w:hAnsi="Times New Roman" w:cs="宋体"/>
          <w:sz w:val="24"/>
          <w:szCs w:val="21"/>
        </w:rPr>
      </w:pP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享受政府采购支持政策的残疾人福利性单位应当同时满足以下条件：</w:t>
      </w: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　　（一）安置的残疾人占本单位在职职工人数的比例不低于25%（含25%），并且安置的残疾人人数不少于10人（含10人）；</w:t>
      </w: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　　（二）依法与安置的每位残疾人签订了一年以上（含一年）的劳动合同或服务协议；</w:t>
      </w: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　　（三）为安置的每位残疾人按月足额缴纳了基本养老保险、基本医疗保险、失业保险、工伤保险和生育保险等社会保险费；</w:t>
      </w: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　　（四）通过银行等金融机构向安置的每位残疾人，按月支付了不低于单位所在区县适用的经省级人民政府批准的月最低工资标准的工资；</w:t>
      </w:r>
    </w:p>
    <w:p>
      <w:pPr>
        <w:shd w:val="clear" w:color="auto" w:fill="FFFFFF"/>
        <w:spacing w:line="360" w:lineRule="auto"/>
        <w:jc w:val="left"/>
        <w:rPr>
          <w:rFonts w:hint="eastAsia" w:ascii="Times New Roman" w:hAnsi="Times New Roman" w:cs="宋体"/>
          <w:sz w:val="24"/>
          <w:szCs w:val="21"/>
        </w:rPr>
      </w:pPr>
      <w:r>
        <w:rPr>
          <w:rFonts w:hint="eastAsia" w:ascii="Times New Roman" w:hAnsi="Times New Roman" w:cs="宋体"/>
          <w:sz w:val="24"/>
          <w:szCs w:val="21"/>
        </w:rPr>
        <w:t>　　（五）提供本单位制造的货物、承担的工程或者服务（以下简称产品），或者提供其他残疾人福利性单位制造的货物（不包括使用非残疾人福利性单位注册商标的货物）。</w:t>
      </w:r>
    </w:p>
    <w:p>
      <w:pPr>
        <w:shd w:val="clear" w:color="auto" w:fill="FFFFFF"/>
        <w:spacing w:line="360" w:lineRule="auto"/>
        <w:ind w:firstLine="480"/>
        <w:jc w:val="left"/>
        <w:rPr>
          <w:rFonts w:hint="eastAsia" w:ascii="Times New Roman" w:hAnsi="Times New Roman" w:cs="宋体"/>
          <w:sz w:val="24"/>
          <w:szCs w:val="21"/>
        </w:rPr>
      </w:pPr>
      <w:r>
        <w:rPr>
          <w:rFonts w:hint="eastAsia" w:ascii="Times New Roman" w:hAnsi="Times New Roman" w:cs="宋体"/>
          <w:sz w:val="24"/>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560" w:lineRule="exact"/>
        <w:ind w:firstLine="211"/>
        <w:jc w:val="center"/>
        <w:rPr>
          <w:rFonts w:ascii="Times New Roman" w:hAnsi="Times New Roman" w:cs="宋体"/>
          <w:b/>
          <w:bCs/>
          <w:szCs w:val="21"/>
        </w:rPr>
      </w:pPr>
      <w:r>
        <w:rPr>
          <w:rFonts w:hint="eastAsia" w:ascii="Times New Roman" w:hAnsi="Times New Roman" w:cs="宋体"/>
          <w:b/>
          <w:bCs/>
          <w:szCs w:val="21"/>
        </w:rPr>
        <w:t xml:space="preserve"> </w:t>
      </w:r>
    </w:p>
    <w:p>
      <w:pPr>
        <w:spacing w:line="360" w:lineRule="auto"/>
        <w:jc w:val="center"/>
        <w:rPr>
          <w:rFonts w:hint="eastAsia" w:ascii="Times New Roman" w:hAnsi="Times New Roman"/>
          <w:b/>
          <w:bCs/>
          <w:sz w:val="24"/>
          <w:szCs w:val="21"/>
        </w:rPr>
      </w:pPr>
      <w:r>
        <w:rPr>
          <w:szCs w:val="21"/>
        </w:rPr>
        <w:br w:type="page" w:clear="all"/>
      </w:r>
      <w:r>
        <w:rPr>
          <w:rFonts w:hint="eastAsia" w:ascii="Times New Roman" w:hAnsi="Times New Roman"/>
          <w:b/>
          <w:bCs/>
          <w:sz w:val="24"/>
          <w:szCs w:val="21"/>
          <w:lang w:val="en-US" w:eastAsia="zh-CN"/>
        </w:rPr>
        <w:t>12</w:t>
      </w:r>
      <w:r>
        <w:rPr>
          <w:rFonts w:hint="eastAsia" w:ascii="Times New Roman" w:hAnsi="Times New Roman"/>
          <w:b/>
          <w:bCs/>
          <w:sz w:val="24"/>
          <w:szCs w:val="21"/>
        </w:rPr>
        <w:t>、监狱企业证明函</w:t>
      </w:r>
    </w:p>
    <w:p>
      <w:pPr>
        <w:widowControl/>
        <w:spacing w:line="360" w:lineRule="auto"/>
        <w:ind w:firstLine="646"/>
        <w:jc w:val="left"/>
        <w:rPr>
          <w:rFonts w:hint="eastAsia" w:ascii="Times New Roman" w:hAnsi="Times New Roman" w:cs="宋体"/>
          <w:sz w:val="24"/>
          <w:szCs w:val="21"/>
        </w:rPr>
      </w:pPr>
      <w:r>
        <w:rPr>
          <w:rFonts w:hint="eastAsia" w:ascii="Times New Roman" w:hAnsi="Times New Roman" w:cs="宋体"/>
          <w:sz w:val="24"/>
          <w:szCs w:val="21"/>
          <w:lang w:bidi="ar"/>
        </w:rPr>
        <w:t>根据《财政部 司法部关于政府采购支持监狱企业发展有关问题的通知》（财库[2014]68号）的规定，          （填写供应商法定全称）为监狱企业。</w:t>
      </w:r>
    </w:p>
    <w:p>
      <w:pPr>
        <w:widowControl/>
        <w:spacing w:line="360" w:lineRule="auto"/>
        <w:ind w:firstLine="646"/>
        <w:jc w:val="left"/>
        <w:rPr>
          <w:rFonts w:hint="eastAsia" w:ascii="Times New Roman" w:hAnsi="Times New Roman" w:cs="宋体"/>
          <w:sz w:val="24"/>
          <w:szCs w:val="21"/>
        </w:rPr>
      </w:pPr>
      <w:r>
        <w:rPr>
          <w:rFonts w:hint="eastAsia" w:ascii="Times New Roman" w:hAnsi="Times New Roman" w:cs="宋体"/>
          <w:sz w:val="24"/>
          <w:szCs w:val="21"/>
          <w:lang w:bidi="ar"/>
        </w:rPr>
        <w:t>特此声明。</w:t>
      </w:r>
    </w:p>
    <w:p>
      <w:pPr>
        <w:widowControl/>
        <w:spacing w:line="360" w:lineRule="auto"/>
        <w:ind w:firstLine="1440"/>
        <w:jc w:val="left"/>
        <w:rPr>
          <w:rFonts w:hint="eastAsia" w:ascii="Times New Roman" w:hAnsi="Times New Roman" w:cs="宋体"/>
          <w:sz w:val="24"/>
          <w:szCs w:val="21"/>
        </w:rPr>
      </w:pPr>
    </w:p>
    <w:p>
      <w:pPr>
        <w:widowControl/>
        <w:spacing w:line="360" w:lineRule="auto"/>
        <w:ind w:firstLine="1440"/>
        <w:jc w:val="left"/>
        <w:rPr>
          <w:rFonts w:hint="eastAsia" w:ascii="Times New Roman" w:hAnsi="Times New Roman" w:cs="宋体"/>
          <w:sz w:val="24"/>
          <w:szCs w:val="21"/>
        </w:rPr>
      </w:pPr>
      <w:r>
        <w:rPr>
          <w:rFonts w:hint="eastAsia" w:ascii="Times New Roman" w:hAnsi="Times New Roman" w:cs="宋体"/>
          <w:sz w:val="24"/>
          <w:szCs w:val="21"/>
          <w:lang w:bidi="ar"/>
        </w:rPr>
        <w:t>省级以上监狱管理局、戒毒管理局（含新疆生产建设兵团）（盖章）：</w:t>
      </w:r>
    </w:p>
    <w:p>
      <w:pPr>
        <w:widowControl/>
        <w:jc w:val="left"/>
        <w:rPr>
          <w:rFonts w:ascii="Times New Roman" w:hAnsi="Times New Roman" w:cs="宋体"/>
          <w:b/>
          <w:bCs/>
          <w:sz w:val="24"/>
          <w:szCs w:val="24"/>
        </w:rPr>
      </w:pPr>
      <w:r>
        <w:rPr>
          <w:rFonts w:hint="eastAsia" w:ascii="Times New Roman" w:hAnsi="Times New Roman" w:cs="宋体"/>
          <w:sz w:val="24"/>
          <w:szCs w:val="21"/>
          <w:lang w:bidi="ar"/>
        </w:rPr>
        <w:t xml:space="preserve">                                    日  期：</w:t>
      </w:r>
    </w:p>
    <w:p>
      <w:pPr>
        <w:rPr>
          <w:rFonts w:hint="eastAsia" w:ascii="宋体" w:hAnsi="宋体" w:eastAsia="宋体" w:cs="宋体"/>
          <w:sz w:val="24"/>
          <w:szCs w:val="24"/>
          <w:lang w:bidi="zh-CN"/>
        </w:rPr>
      </w:pPr>
    </w:p>
    <w:p>
      <w:pPr>
        <w:rPr>
          <w:rFonts w:hint="eastAsia" w:ascii="宋体" w:hAnsi="宋体" w:eastAsia="宋体" w:cs="宋体"/>
          <w:sz w:val="24"/>
          <w:szCs w:val="24"/>
          <w:lang w:bidi="zh-CN"/>
        </w:rPr>
      </w:pPr>
      <w:r>
        <w:rPr>
          <w:rFonts w:hint="eastAsia" w:ascii="宋体" w:hAnsi="宋体" w:eastAsia="宋体" w:cs="宋体"/>
          <w:sz w:val="24"/>
          <w:szCs w:val="24"/>
          <w:lang w:bidi="zh-CN"/>
        </w:rPr>
        <w:br w:type="page"/>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textAlignment w:val="baseline"/>
        <w:rPr>
          <w:rFonts w:hint="eastAsia" w:ascii="宋体" w:hAnsi="宋体" w:eastAsia="宋体" w:cs="宋体"/>
          <w:kern w:val="2"/>
          <w:szCs w:val="24"/>
        </w:rPr>
      </w:pPr>
      <w:r>
        <w:rPr>
          <w:rFonts w:hint="eastAsia" w:ascii="宋体" w:hAnsi="宋体" w:eastAsia="宋体" w:cs="宋体"/>
          <w:sz w:val="24"/>
          <w:szCs w:val="24"/>
          <w:lang w:bidi="zh-CN"/>
        </w:rPr>
        <w:t>附件：</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center"/>
        <w:textAlignment w:val="baseline"/>
        <w:rPr>
          <w:rFonts w:hint="eastAsia" w:ascii="宋体" w:hAnsi="宋体" w:eastAsia="宋体" w:cs="宋体"/>
        </w:rPr>
      </w:pPr>
      <w:r>
        <w:rPr>
          <w:rFonts w:hint="eastAsia" w:ascii="宋体" w:hAnsi="宋体" w:eastAsia="宋体" w:cs="宋体"/>
          <w:b/>
          <w:kern w:val="2"/>
          <w:szCs w:val="24"/>
        </w:rPr>
        <w:t>中小企业划型标准规定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rPr>
      </w:pPr>
      <w:r>
        <w:rPr>
          <w:rFonts w:hint="eastAsia" w:ascii="宋体" w:hAnsi="宋体" w:eastAsia="宋体" w:cs="宋体"/>
          <w:sz w:val="24"/>
        </w:rPr>
        <w:t>各行业划型标准为：</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宋体" w:hAnsi="宋体" w:eastAsia="宋体" w:cs="宋体"/>
          <w:sz w:val="24"/>
        </w:rPr>
      </w:pPr>
      <w:r>
        <w:rPr>
          <w:rFonts w:hint="eastAsia" w:ascii="宋体" w:hAnsi="宋体" w:eastAsia="宋体" w:cs="宋体"/>
          <w:sz w:val="24"/>
        </w:rPr>
        <w:t>（十六）其他未列明行业。从业人员300人以下的为中小微型企业。其中，从业人员100人及以上的为中型企业；从业人员10人及以上的为小型企业；从业人员10人以下的为微型企业。</w:t>
      </w:r>
    </w:p>
    <w:p>
      <w:pPr>
        <w:pStyle w:val="37"/>
        <w:keepNext w:val="0"/>
        <w:keepLines w:val="0"/>
        <w:pageBreakBefore w:val="0"/>
        <w:widowControl w:val="0"/>
        <w:kinsoku/>
        <w:wordWrap/>
        <w:topLinePunct w:val="0"/>
        <w:autoSpaceDE/>
        <w:autoSpaceDN/>
        <w:bidi w:val="0"/>
        <w:spacing w:line="360" w:lineRule="auto"/>
      </w:pPr>
    </w:p>
    <w:p>
      <w:pPr>
        <w:keepNext w:val="0"/>
        <w:keepLines w:val="0"/>
        <w:pageBreakBefore w:val="0"/>
        <w:widowControl w:val="0"/>
        <w:kinsoku/>
        <w:wordWrap/>
        <w:topLinePunct w:val="0"/>
        <w:autoSpaceDE/>
        <w:autoSpaceDN/>
        <w:bidi w:val="0"/>
        <w:spacing w:line="360" w:lineRule="auto"/>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tabs>
          <w:tab w:val="left" w:pos="312"/>
        </w:tabs>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zRkNjBkNGM1MDZjMGQ3YmZiMTBjOGQ5ZTk0YjAifQ=="/>
  </w:docVars>
  <w:rsids>
    <w:rsidRoot w:val="0042773D"/>
    <w:rsid w:val="00005621"/>
    <w:rsid w:val="000105F3"/>
    <w:rsid w:val="000116CF"/>
    <w:rsid w:val="00011718"/>
    <w:rsid w:val="00030656"/>
    <w:rsid w:val="0004233B"/>
    <w:rsid w:val="00042E68"/>
    <w:rsid w:val="00045AD0"/>
    <w:rsid w:val="00045B8C"/>
    <w:rsid w:val="00062F66"/>
    <w:rsid w:val="000633EC"/>
    <w:rsid w:val="00066F50"/>
    <w:rsid w:val="0007689C"/>
    <w:rsid w:val="00076D60"/>
    <w:rsid w:val="0009698F"/>
    <w:rsid w:val="000B6C99"/>
    <w:rsid w:val="000D0AEE"/>
    <w:rsid w:val="000D3147"/>
    <w:rsid w:val="000D7335"/>
    <w:rsid w:val="000E2EB7"/>
    <w:rsid w:val="000F0E95"/>
    <w:rsid w:val="000F2D8B"/>
    <w:rsid w:val="000F3E59"/>
    <w:rsid w:val="000F42CA"/>
    <w:rsid w:val="00105B86"/>
    <w:rsid w:val="00111B21"/>
    <w:rsid w:val="00150A42"/>
    <w:rsid w:val="0015616E"/>
    <w:rsid w:val="0015754E"/>
    <w:rsid w:val="0018047F"/>
    <w:rsid w:val="0019545C"/>
    <w:rsid w:val="0019651E"/>
    <w:rsid w:val="001A75C8"/>
    <w:rsid w:val="001B56D8"/>
    <w:rsid w:val="001B7B5D"/>
    <w:rsid w:val="001F4D5A"/>
    <w:rsid w:val="002034D1"/>
    <w:rsid w:val="00203F3E"/>
    <w:rsid w:val="00205384"/>
    <w:rsid w:val="002063EF"/>
    <w:rsid w:val="002064EC"/>
    <w:rsid w:val="00210D4E"/>
    <w:rsid w:val="002219C9"/>
    <w:rsid w:val="00225C90"/>
    <w:rsid w:val="00231ACD"/>
    <w:rsid w:val="00234A6B"/>
    <w:rsid w:val="00236FC4"/>
    <w:rsid w:val="002375BD"/>
    <w:rsid w:val="00240734"/>
    <w:rsid w:val="0024626E"/>
    <w:rsid w:val="002468A6"/>
    <w:rsid w:val="00255AB3"/>
    <w:rsid w:val="002707F5"/>
    <w:rsid w:val="00271A2C"/>
    <w:rsid w:val="00285BC2"/>
    <w:rsid w:val="00286641"/>
    <w:rsid w:val="002A1341"/>
    <w:rsid w:val="002A415D"/>
    <w:rsid w:val="002A6A48"/>
    <w:rsid w:val="002B6511"/>
    <w:rsid w:val="002B7853"/>
    <w:rsid w:val="002C01E3"/>
    <w:rsid w:val="002E0B7C"/>
    <w:rsid w:val="002E1BA8"/>
    <w:rsid w:val="002E40A5"/>
    <w:rsid w:val="002F64D4"/>
    <w:rsid w:val="002F6EFE"/>
    <w:rsid w:val="002F7C52"/>
    <w:rsid w:val="002F7F56"/>
    <w:rsid w:val="003050C3"/>
    <w:rsid w:val="00307FF6"/>
    <w:rsid w:val="00315628"/>
    <w:rsid w:val="00331324"/>
    <w:rsid w:val="00335864"/>
    <w:rsid w:val="00362918"/>
    <w:rsid w:val="00363D22"/>
    <w:rsid w:val="00364AB1"/>
    <w:rsid w:val="00367528"/>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4EA1"/>
    <w:rsid w:val="004254FC"/>
    <w:rsid w:val="0042773D"/>
    <w:rsid w:val="00433AC8"/>
    <w:rsid w:val="004413CE"/>
    <w:rsid w:val="00447FFB"/>
    <w:rsid w:val="004527FC"/>
    <w:rsid w:val="00454AC9"/>
    <w:rsid w:val="00462B1F"/>
    <w:rsid w:val="00475EA1"/>
    <w:rsid w:val="004867BB"/>
    <w:rsid w:val="00490ACC"/>
    <w:rsid w:val="004A2D24"/>
    <w:rsid w:val="004A2F36"/>
    <w:rsid w:val="004B122F"/>
    <w:rsid w:val="004B496E"/>
    <w:rsid w:val="004D117D"/>
    <w:rsid w:val="004D5E42"/>
    <w:rsid w:val="005078ED"/>
    <w:rsid w:val="005113A5"/>
    <w:rsid w:val="00576289"/>
    <w:rsid w:val="005841A4"/>
    <w:rsid w:val="005A31EB"/>
    <w:rsid w:val="005C3634"/>
    <w:rsid w:val="005C5B61"/>
    <w:rsid w:val="005D1282"/>
    <w:rsid w:val="005D22F2"/>
    <w:rsid w:val="005D73C6"/>
    <w:rsid w:val="00603E35"/>
    <w:rsid w:val="00606BF2"/>
    <w:rsid w:val="00633A81"/>
    <w:rsid w:val="00645528"/>
    <w:rsid w:val="006543CA"/>
    <w:rsid w:val="006741C9"/>
    <w:rsid w:val="006822D2"/>
    <w:rsid w:val="006902A0"/>
    <w:rsid w:val="00693857"/>
    <w:rsid w:val="00694D70"/>
    <w:rsid w:val="00695A9F"/>
    <w:rsid w:val="006A5E64"/>
    <w:rsid w:val="006B4338"/>
    <w:rsid w:val="006C59BF"/>
    <w:rsid w:val="006D3A4D"/>
    <w:rsid w:val="006D5C68"/>
    <w:rsid w:val="006D7BE8"/>
    <w:rsid w:val="007172D8"/>
    <w:rsid w:val="00734530"/>
    <w:rsid w:val="00744D06"/>
    <w:rsid w:val="00751266"/>
    <w:rsid w:val="0077451C"/>
    <w:rsid w:val="007755C4"/>
    <w:rsid w:val="00777BDC"/>
    <w:rsid w:val="00785C7E"/>
    <w:rsid w:val="007B5ED6"/>
    <w:rsid w:val="007C0266"/>
    <w:rsid w:val="007C52C4"/>
    <w:rsid w:val="007D447F"/>
    <w:rsid w:val="007D4AD9"/>
    <w:rsid w:val="007D501E"/>
    <w:rsid w:val="007D7533"/>
    <w:rsid w:val="007E4882"/>
    <w:rsid w:val="007F782E"/>
    <w:rsid w:val="0082282D"/>
    <w:rsid w:val="008324DA"/>
    <w:rsid w:val="008369E9"/>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01FE"/>
    <w:rsid w:val="009317AE"/>
    <w:rsid w:val="0094400C"/>
    <w:rsid w:val="00945E72"/>
    <w:rsid w:val="00947D39"/>
    <w:rsid w:val="00951E5B"/>
    <w:rsid w:val="00956F45"/>
    <w:rsid w:val="00967875"/>
    <w:rsid w:val="00975BB0"/>
    <w:rsid w:val="009823DF"/>
    <w:rsid w:val="009948AB"/>
    <w:rsid w:val="0099591F"/>
    <w:rsid w:val="009A4AAF"/>
    <w:rsid w:val="009B0414"/>
    <w:rsid w:val="009D17F8"/>
    <w:rsid w:val="009D3858"/>
    <w:rsid w:val="009D3B57"/>
    <w:rsid w:val="009E025D"/>
    <w:rsid w:val="009F3280"/>
    <w:rsid w:val="00A00280"/>
    <w:rsid w:val="00A00693"/>
    <w:rsid w:val="00A25E3A"/>
    <w:rsid w:val="00A46B05"/>
    <w:rsid w:val="00A65118"/>
    <w:rsid w:val="00A75D59"/>
    <w:rsid w:val="00A775B1"/>
    <w:rsid w:val="00AA53A1"/>
    <w:rsid w:val="00AB3858"/>
    <w:rsid w:val="00AB397A"/>
    <w:rsid w:val="00AC0645"/>
    <w:rsid w:val="00AC1356"/>
    <w:rsid w:val="00AC167D"/>
    <w:rsid w:val="00AD0E54"/>
    <w:rsid w:val="00AE32E5"/>
    <w:rsid w:val="00AF67B7"/>
    <w:rsid w:val="00B06015"/>
    <w:rsid w:val="00B1621D"/>
    <w:rsid w:val="00B24F83"/>
    <w:rsid w:val="00B36A38"/>
    <w:rsid w:val="00B50963"/>
    <w:rsid w:val="00B5131F"/>
    <w:rsid w:val="00B523EC"/>
    <w:rsid w:val="00B54D9A"/>
    <w:rsid w:val="00B555BD"/>
    <w:rsid w:val="00B65DE5"/>
    <w:rsid w:val="00B76D85"/>
    <w:rsid w:val="00B97CDB"/>
    <w:rsid w:val="00BA0DE5"/>
    <w:rsid w:val="00BA502C"/>
    <w:rsid w:val="00BB48A3"/>
    <w:rsid w:val="00BC3246"/>
    <w:rsid w:val="00BC6EEB"/>
    <w:rsid w:val="00C02F17"/>
    <w:rsid w:val="00C047C7"/>
    <w:rsid w:val="00C16047"/>
    <w:rsid w:val="00C4189B"/>
    <w:rsid w:val="00C514FC"/>
    <w:rsid w:val="00C74113"/>
    <w:rsid w:val="00C74551"/>
    <w:rsid w:val="00C87961"/>
    <w:rsid w:val="00C96A7A"/>
    <w:rsid w:val="00CA125B"/>
    <w:rsid w:val="00CA3A6E"/>
    <w:rsid w:val="00CB2559"/>
    <w:rsid w:val="00CC7436"/>
    <w:rsid w:val="00CD1E8F"/>
    <w:rsid w:val="00CF0C61"/>
    <w:rsid w:val="00CF19FE"/>
    <w:rsid w:val="00CF4BAE"/>
    <w:rsid w:val="00D1283C"/>
    <w:rsid w:val="00D14736"/>
    <w:rsid w:val="00D160B0"/>
    <w:rsid w:val="00D259AD"/>
    <w:rsid w:val="00D31ACC"/>
    <w:rsid w:val="00D37953"/>
    <w:rsid w:val="00D520F7"/>
    <w:rsid w:val="00D56C3B"/>
    <w:rsid w:val="00D66756"/>
    <w:rsid w:val="00D82A58"/>
    <w:rsid w:val="00D8401B"/>
    <w:rsid w:val="00D93C52"/>
    <w:rsid w:val="00D977B3"/>
    <w:rsid w:val="00DB6573"/>
    <w:rsid w:val="00DC04E7"/>
    <w:rsid w:val="00DC24D0"/>
    <w:rsid w:val="00DC7ABA"/>
    <w:rsid w:val="00DD1D76"/>
    <w:rsid w:val="00E03D8E"/>
    <w:rsid w:val="00E07EEE"/>
    <w:rsid w:val="00E27373"/>
    <w:rsid w:val="00E86D63"/>
    <w:rsid w:val="00E90F14"/>
    <w:rsid w:val="00E91EDF"/>
    <w:rsid w:val="00EF525C"/>
    <w:rsid w:val="00F02280"/>
    <w:rsid w:val="00F04F82"/>
    <w:rsid w:val="00F1322E"/>
    <w:rsid w:val="00F16606"/>
    <w:rsid w:val="00F357CB"/>
    <w:rsid w:val="00F5137C"/>
    <w:rsid w:val="00F5357B"/>
    <w:rsid w:val="00F5462E"/>
    <w:rsid w:val="00F574E3"/>
    <w:rsid w:val="00F63459"/>
    <w:rsid w:val="00F63B31"/>
    <w:rsid w:val="00F825EC"/>
    <w:rsid w:val="00FA0374"/>
    <w:rsid w:val="00FB003F"/>
    <w:rsid w:val="00FC398C"/>
    <w:rsid w:val="00FD3CFD"/>
    <w:rsid w:val="00FD532E"/>
    <w:rsid w:val="00FD737A"/>
    <w:rsid w:val="00FE35B6"/>
    <w:rsid w:val="00FF3681"/>
    <w:rsid w:val="0232372D"/>
    <w:rsid w:val="03A83A42"/>
    <w:rsid w:val="03E379A2"/>
    <w:rsid w:val="041E22FB"/>
    <w:rsid w:val="0475016D"/>
    <w:rsid w:val="0A5D1C72"/>
    <w:rsid w:val="0A727010"/>
    <w:rsid w:val="0E6C4D9F"/>
    <w:rsid w:val="10E548CC"/>
    <w:rsid w:val="10EF15A7"/>
    <w:rsid w:val="115B540E"/>
    <w:rsid w:val="133E3283"/>
    <w:rsid w:val="139A7BF0"/>
    <w:rsid w:val="14EA7E81"/>
    <w:rsid w:val="151421A8"/>
    <w:rsid w:val="155F3D53"/>
    <w:rsid w:val="157C1E87"/>
    <w:rsid w:val="159468C1"/>
    <w:rsid w:val="15C2217E"/>
    <w:rsid w:val="15F6320B"/>
    <w:rsid w:val="17BF578A"/>
    <w:rsid w:val="18117D55"/>
    <w:rsid w:val="18263421"/>
    <w:rsid w:val="197565C6"/>
    <w:rsid w:val="1E163551"/>
    <w:rsid w:val="1F0C4400"/>
    <w:rsid w:val="1F8E2FE8"/>
    <w:rsid w:val="203A77C4"/>
    <w:rsid w:val="21B43D41"/>
    <w:rsid w:val="224E366C"/>
    <w:rsid w:val="2335285B"/>
    <w:rsid w:val="252E676F"/>
    <w:rsid w:val="272A0E68"/>
    <w:rsid w:val="274D0351"/>
    <w:rsid w:val="27DE22E9"/>
    <w:rsid w:val="28885E11"/>
    <w:rsid w:val="29C97C61"/>
    <w:rsid w:val="2B9F25ED"/>
    <w:rsid w:val="2BD6675A"/>
    <w:rsid w:val="2C5A6960"/>
    <w:rsid w:val="2C6E5A4D"/>
    <w:rsid w:val="2CC8252C"/>
    <w:rsid w:val="2CCE28B7"/>
    <w:rsid w:val="2DD824AC"/>
    <w:rsid w:val="2E672C1C"/>
    <w:rsid w:val="2F837332"/>
    <w:rsid w:val="30A401EF"/>
    <w:rsid w:val="322E658F"/>
    <w:rsid w:val="32593CE2"/>
    <w:rsid w:val="3329796B"/>
    <w:rsid w:val="34700A2F"/>
    <w:rsid w:val="35CB4299"/>
    <w:rsid w:val="36161DCC"/>
    <w:rsid w:val="366867C2"/>
    <w:rsid w:val="38594DC9"/>
    <w:rsid w:val="388D2136"/>
    <w:rsid w:val="3A3E6499"/>
    <w:rsid w:val="3C2C44E9"/>
    <w:rsid w:val="3DA05553"/>
    <w:rsid w:val="3DEA6E32"/>
    <w:rsid w:val="3DF31169"/>
    <w:rsid w:val="3E246184"/>
    <w:rsid w:val="3EF274D2"/>
    <w:rsid w:val="401C35B7"/>
    <w:rsid w:val="40423602"/>
    <w:rsid w:val="42024E02"/>
    <w:rsid w:val="420764B5"/>
    <w:rsid w:val="42672AE3"/>
    <w:rsid w:val="440A15A0"/>
    <w:rsid w:val="448734FB"/>
    <w:rsid w:val="4561465A"/>
    <w:rsid w:val="47693BAF"/>
    <w:rsid w:val="482C45B3"/>
    <w:rsid w:val="486E3206"/>
    <w:rsid w:val="48FE0BAD"/>
    <w:rsid w:val="49727F94"/>
    <w:rsid w:val="49DC3654"/>
    <w:rsid w:val="4B840262"/>
    <w:rsid w:val="4FC139BA"/>
    <w:rsid w:val="53A23A14"/>
    <w:rsid w:val="542A6B2C"/>
    <w:rsid w:val="544F229E"/>
    <w:rsid w:val="55385BD7"/>
    <w:rsid w:val="56E5418D"/>
    <w:rsid w:val="5A4C01FF"/>
    <w:rsid w:val="5A91106B"/>
    <w:rsid w:val="5B02520C"/>
    <w:rsid w:val="5BD91F04"/>
    <w:rsid w:val="5C855626"/>
    <w:rsid w:val="60480F23"/>
    <w:rsid w:val="61946007"/>
    <w:rsid w:val="633D4A8B"/>
    <w:rsid w:val="64191A38"/>
    <w:rsid w:val="64ED5461"/>
    <w:rsid w:val="64FB113D"/>
    <w:rsid w:val="658F2EA6"/>
    <w:rsid w:val="659772A6"/>
    <w:rsid w:val="6742329A"/>
    <w:rsid w:val="675F7512"/>
    <w:rsid w:val="68A31FFC"/>
    <w:rsid w:val="68A84122"/>
    <w:rsid w:val="68AD6BF3"/>
    <w:rsid w:val="696E2E35"/>
    <w:rsid w:val="6A721EA2"/>
    <w:rsid w:val="6C1132E7"/>
    <w:rsid w:val="6D600F61"/>
    <w:rsid w:val="6E9616EC"/>
    <w:rsid w:val="700D0A38"/>
    <w:rsid w:val="707A560C"/>
    <w:rsid w:val="712D5BF6"/>
    <w:rsid w:val="71AD12AD"/>
    <w:rsid w:val="71EA5EF0"/>
    <w:rsid w:val="720C2DA1"/>
    <w:rsid w:val="72BF1288"/>
    <w:rsid w:val="73392B0C"/>
    <w:rsid w:val="762F76F3"/>
    <w:rsid w:val="76876CD5"/>
    <w:rsid w:val="76B22FC1"/>
    <w:rsid w:val="79173AC2"/>
    <w:rsid w:val="798C7570"/>
    <w:rsid w:val="7B85422E"/>
    <w:rsid w:val="7C1A2204"/>
    <w:rsid w:val="7C462374"/>
    <w:rsid w:val="7D5A2578"/>
    <w:rsid w:val="7E633C7C"/>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3"/>
    <w:autoRedefine/>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4">
    <w:name w:val="heading 2"/>
    <w:basedOn w:val="1"/>
    <w:next w:val="1"/>
    <w:link w:val="44"/>
    <w:autoRedefine/>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5">
    <w:name w:val="heading 4"/>
    <w:basedOn w:val="1"/>
    <w:next w:val="1"/>
    <w:autoRedefine/>
    <w:semiHidden/>
    <w:qFormat/>
    <w:uiPriority w:val="9"/>
    <w:pPr>
      <w:keepNext/>
      <w:keepLines/>
      <w:spacing w:before="280" w:after="290" w:line="372" w:lineRule="auto"/>
      <w:outlineLvl w:val="3"/>
    </w:pPr>
    <w:rPr>
      <w:rFonts w:ascii="Cambria" w:hAnsi="Cambria"/>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rPr>
      <w:rFonts w:ascii="Arial" w:hAnsi="Arial" w:eastAsia="宋体" w:cs="Times New Roman"/>
      <w:sz w:val="24"/>
      <w:szCs w:val="21"/>
    </w:rPr>
  </w:style>
  <w:style w:type="paragraph" w:styleId="6">
    <w:name w:val="Normal Indent"/>
    <w:basedOn w:val="1"/>
    <w:link w:val="42"/>
    <w:autoRedefine/>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7">
    <w:name w:val="Document Map"/>
    <w:basedOn w:val="1"/>
    <w:link w:val="45"/>
    <w:autoRedefine/>
    <w:semiHidden/>
    <w:unhideWhenUsed/>
    <w:qFormat/>
    <w:uiPriority w:val="99"/>
    <w:rPr>
      <w:rFonts w:ascii="宋体" w:eastAsia="宋体"/>
      <w:sz w:val="18"/>
      <w:szCs w:val="18"/>
    </w:rPr>
  </w:style>
  <w:style w:type="paragraph" w:styleId="8">
    <w:name w:val="annotation text"/>
    <w:basedOn w:val="1"/>
    <w:link w:val="48"/>
    <w:autoRedefine/>
    <w:semiHidden/>
    <w:unhideWhenUsed/>
    <w:qFormat/>
    <w:uiPriority w:val="99"/>
    <w:pPr>
      <w:jc w:val="left"/>
    </w:pPr>
  </w:style>
  <w:style w:type="paragraph" w:styleId="9">
    <w:name w:val="Body Text"/>
    <w:basedOn w:val="1"/>
    <w:autoRedefine/>
    <w:qFormat/>
    <w:uiPriority w:val="0"/>
    <w:rPr>
      <w:rFonts w:ascii="楷体_GB2312" w:hAnsi="Arial" w:eastAsia="楷体_GB2312"/>
      <w:sz w:val="28"/>
      <w:szCs w:val="28"/>
    </w:rPr>
  </w:style>
  <w:style w:type="paragraph" w:styleId="10">
    <w:name w:val="Body Text Indent"/>
    <w:basedOn w:val="1"/>
    <w:next w:val="11"/>
    <w:autoRedefine/>
    <w:semiHidden/>
    <w:unhideWhenUsed/>
    <w:qFormat/>
    <w:uiPriority w:val="99"/>
    <w:pPr>
      <w:spacing w:after="120"/>
      <w:ind w:left="420" w:leftChars="200"/>
    </w:pPr>
  </w:style>
  <w:style w:type="paragraph" w:styleId="11">
    <w:name w:val="envelope return"/>
    <w:basedOn w:val="1"/>
    <w:autoRedefine/>
    <w:unhideWhenUsed/>
    <w:qFormat/>
    <w:uiPriority w:val="99"/>
    <w:pPr>
      <w:snapToGrid w:val="0"/>
    </w:pPr>
    <w:rPr>
      <w:rFonts w:ascii="Arial" w:hAnsi="Arial" w:eastAsia="楷体_GB2312" w:cs="Times New Roman"/>
      <w:sz w:val="26"/>
      <w:szCs w:val="20"/>
    </w:rPr>
  </w:style>
  <w:style w:type="paragraph" w:styleId="12">
    <w:name w:val="index 4"/>
    <w:basedOn w:val="1"/>
    <w:next w:val="1"/>
    <w:autoRedefine/>
    <w:qFormat/>
    <w:uiPriority w:val="0"/>
    <w:pPr>
      <w:ind w:left="1260"/>
    </w:pPr>
    <w:rPr>
      <w:rFonts w:ascii="Calibri" w:hAnsi="Calibri" w:eastAsia="宋体" w:cs="Times New Roman"/>
      <w:szCs w:val="20"/>
    </w:rPr>
  </w:style>
  <w:style w:type="paragraph" w:styleId="13">
    <w:name w:val="toc 3"/>
    <w:basedOn w:val="1"/>
    <w:next w:val="1"/>
    <w:autoRedefine/>
    <w:qFormat/>
    <w:uiPriority w:val="0"/>
    <w:pPr>
      <w:ind w:left="840" w:leftChars="400"/>
    </w:pPr>
    <w:rPr>
      <w:rFonts w:ascii="Calibri" w:hAnsi="Calibri" w:eastAsia="宋体" w:cs="Times New Roman"/>
      <w:szCs w:val="20"/>
    </w:rPr>
  </w:style>
  <w:style w:type="paragraph" w:styleId="14">
    <w:name w:val="Plain Text"/>
    <w:basedOn w:val="1"/>
    <w:next w:val="1"/>
    <w:link w:val="54"/>
    <w:autoRedefine/>
    <w:qFormat/>
    <w:uiPriority w:val="99"/>
    <w:rPr>
      <w:rFonts w:ascii="宋体" w:hAnsi="Courier New" w:eastAsia="宋体" w:cs="Times New Roman"/>
      <w:szCs w:val="20"/>
    </w:rPr>
  </w:style>
  <w:style w:type="paragraph" w:styleId="15">
    <w:name w:val="Balloon Text"/>
    <w:basedOn w:val="1"/>
    <w:link w:val="47"/>
    <w:autoRedefine/>
    <w:semiHidden/>
    <w:unhideWhenUsed/>
    <w:qFormat/>
    <w:uiPriority w:val="99"/>
    <w:rPr>
      <w:sz w:val="18"/>
      <w:szCs w:val="18"/>
    </w:rPr>
  </w:style>
  <w:style w:type="paragraph" w:styleId="16">
    <w:name w:val="footer"/>
    <w:basedOn w:val="1"/>
    <w:link w:val="41"/>
    <w:autoRedefine/>
    <w:unhideWhenUsed/>
    <w:qFormat/>
    <w:uiPriority w:val="99"/>
    <w:pPr>
      <w:tabs>
        <w:tab w:val="center" w:pos="4153"/>
        <w:tab w:val="right" w:pos="8306"/>
      </w:tabs>
      <w:snapToGrid w:val="0"/>
      <w:jc w:val="left"/>
    </w:pPr>
    <w:rPr>
      <w:sz w:val="18"/>
      <w:szCs w:val="18"/>
    </w:rPr>
  </w:style>
  <w:style w:type="paragraph" w:styleId="17">
    <w:name w:val="header"/>
    <w:basedOn w:val="1"/>
    <w:link w:val="4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pPr>
      <w:adjustRightInd w:val="0"/>
      <w:jc w:val="left"/>
      <w:textAlignment w:val="baseline"/>
    </w:pPr>
    <w:rPr>
      <w:rFonts w:ascii="Calibri" w:hAnsi="Calibri" w:eastAsia="楷体_GB2312" w:cs="Times New Roman"/>
      <w:sz w:val="24"/>
      <w:szCs w:val="20"/>
    </w:rPr>
  </w:style>
  <w:style w:type="paragraph" w:styleId="19">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20">
    <w:name w:val="annotation subject"/>
    <w:basedOn w:val="8"/>
    <w:next w:val="8"/>
    <w:link w:val="49"/>
    <w:autoRedefine/>
    <w:semiHidden/>
    <w:unhideWhenUsed/>
    <w:qFormat/>
    <w:uiPriority w:val="99"/>
    <w:rPr>
      <w:b/>
      <w:bCs/>
    </w:rPr>
  </w:style>
  <w:style w:type="paragraph" w:styleId="21">
    <w:name w:val="Body Text First Indent"/>
    <w:basedOn w:val="9"/>
    <w:autoRedefine/>
    <w:unhideWhenUsed/>
    <w:qFormat/>
    <w:uiPriority w:val="99"/>
    <w:pPr>
      <w:ind w:firstLine="420" w:firstLineChars="100"/>
    </w:pPr>
  </w:style>
  <w:style w:type="paragraph" w:styleId="22">
    <w:name w:val="Body Text First Indent 2"/>
    <w:basedOn w:val="10"/>
    <w:autoRedefine/>
    <w:unhideWhenUsed/>
    <w:qFormat/>
    <w:uiPriority w:val="99"/>
    <w:pPr>
      <w:ind w:firstLine="420" w:firstLineChars="200"/>
    </w:pPr>
  </w:style>
  <w:style w:type="table" w:styleId="24">
    <w:name w:val="Table Grid"/>
    <w:basedOn w:val="23"/>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autoRedefine/>
    <w:semiHidden/>
    <w:unhideWhenUsed/>
    <w:qFormat/>
    <w:uiPriority w:val="99"/>
    <w:rPr>
      <w:color w:val="800080"/>
      <w:u w:val="none"/>
    </w:rPr>
  </w:style>
  <w:style w:type="character" w:styleId="27">
    <w:name w:val="HTML Definition"/>
    <w:basedOn w:val="25"/>
    <w:autoRedefine/>
    <w:semiHidden/>
    <w:unhideWhenUsed/>
    <w:qFormat/>
    <w:uiPriority w:val="99"/>
  </w:style>
  <w:style w:type="character" w:styleId="28">
    <w:name w:val="HTML Typewriter"/>
    <w:basedOn w:val="25"/>
    <w:autoRedefine/>
    <w:semiHidden/>
    <w:unhideWhenUsed/>
    <w:qFormat/>
    <w:uiPriority w:val="99"/>
    <w:rPr>
      <w:rFonts w:ascii="monospace" w:hAnsi="monospace" w:eastAsia="monospace" w:cs="monospace"/>
      <w:sz w:val="20"/>
    </w:rPr>
  </w:style>
  <w:style w:type="character" w:styleId="29">
    <w:name w:val="HTML Acronym"/>
    <w:basedOn w:val="25"/>
    <w:semiHidden/>
    <w:unhideWhenUsed/>
    <w:qFormat/>
    <w:uiPriority w:val="99"/>
  </w:style>
  <w:style w:type="character" w:styleId="30">
    <w:name w:val="HTML Variable"/>
    <w:basedOn w:val="25"/>
    <w:semiHidden/>
    <w:unhideWhenUsed/>
    <w:qFormat/>
    <w:uiPriority w:val="99"/>
  </w:style>
  <w:style w:type="character" w:styleId="31">
    <w:name w:val="Hyperlink"/>
    <w:basedOn w:val="25"/>
    <w:unhideWhenUsed/>
    <w:qFormat/>
    <w:uiPriority w:val="99"/>
    <w:rPr>
      <w:color w:val="0000FF" w:themeColor="hyperlink"/>
      <w:u w:val="single"/>
      <w14:textFill>
        <w14:solidFill>
          <w14:schemeClr w14:val="hlink"/>
        </w14:solidFill>
      </w14:textFill>
    </w:rPr>
  </w:style>
  <w:style w:type="character" w:styleId="32">
    <w:name w:val="HTML Code"/>
    <w:basedOn w:val="25"/>
    <w:semiHidden/>
    <w:unhideWhenUsed/>
    <w:qFormat/>
    <w:uiPriority w:val="99"/>
    <w:rPr>
      <w:rFonts w:hint="default" w:ascii="monospace" w:hAnsi="monospace" w:eastAsia="monospace" w:cs="monospace"/>
      <w:sz w:val="20"/>
    </w:rPr>
  </w:style>
  <w:style w:type="character" w:styleId="33">
    <w:name w:val="annotation reference"/>
    <w:basedOn w:val="25"/>
    <w:semiHidden/>
    <w:unhideWhenUsed/>
    <w:qFormat/>
    <w:uiPriority w:val="99"/>
    <w:rPr>
      <w:sz w:val="21"/>
      <w:szCs w:val="21"/>
    </w:rPr>
  </w:style>
  <w:style w:type="character" w:styleId="34">
    <w:name w:val="HTML Cite"/>
    <w:basedOn w:val="25"/>
    <w:semiHidden/>
    <w:unhideWhenUsed/>
    <w:qFormat/>
    <w:uiPriority w:val="99"/>
  </w:style>
  <w:style w:type="character" w:styleId="35">
    <w:name w:val="HTML Keyboard"/>
    <w:basedOn w:val="25"/>
    <w:semiHidden/>
    <w:unhideWhenUsed/>
    <w:qFormat/>
    <w:uiPriority w:val="99"/>
    <w:rPr>
      <w:rFonts w:hint="default" w:ascii="monospace" w:hAnsi="monospace" w:eastAsia="monospace" w:cs="monospace"/>
      <w:sz w:val="20"/>
    </w:rPr>
  </w:style>
  <w:style w:type="character" w:styleId="36">
    <w:name w:val="HTML Sample"/>
    <w:basedOn w:val="25"/>
    <w:semiHidden/>
    <w:unhideWhenUsed/>
    <w:qFormat/>
    <w:uiPriority w:val="99"/>
    <w:rPr>
      <w:rFonts w:hint="default" w:ascii="monospace" w:hAnsi="monospace" w:eastAsia="monospace" w:cs="monospace"/>
    </w:rPr>
  </w:style>
  <w:style w:type="paragraph" w:customStyle="1" w:styleId="37">
    <w:name w:val="正文首行缩进 21"/>
    <w:basedOn w:val="38"/>
    <w:next w:val="1"/>
    <w:autoRedefine/>
    <w:unhideWhenUsed/>
    <w:qFormat/>
    <w:uiPriority w:val="0"/>
    <w:pPr>
      <w:ind w:firstLine="420"/>
    </w:pPr>
    <w:rPr>
      <w:lang w:val="en-US" w:eastAsia="en-US"/>
    </w:rPr>
  </w:style>
  <w:style w:type="paragraph" w:customStyle="1" w:styleId="38">
    <w:name w:val="正文文本缩进1"/>
    <w:basedOn w:val="1"/>
    <w:next w:val="39"/>
    <w:autoRedefine/>
    <w:unhideWhenUsed/>
    <w:qFormat/>
    <w:uiPriority w:val="0"/>
    <w:pPr>
      <w:spacing w:after="120"/>
      <w:ind w:left="420"/>
    </w:pPr>
    <w:rPr>
      <w:rFonts w:ascii="Times New Roman" w:hAnsi="Times New Roman"/>
      <w:lang w:val="en-US" w:eastAsia="en-US"/>
    </w:rPr>
  </w:style>
  <w:style w:type="paragraph" w:customStyle="1" w:styleId="39">
    <w:name w:val="寄信人地址1"/>
    <w:basedOn w:val="1"/>
    <w:autoRedefine/>
    <w:unhideWhenUsed/>
    <w:qFormat/>
    <w:uiPriority w:val="99"/>
    <w:rPr>
      <w:rFonts w:ascii="Arial" w:hAnsi="Arial" w:eastAsia="楷体_GB2312" w:cs="Times New Roman"/>
      <w:sz w:val="26"/>
      <w:szCs w:val="20"/>
    </w:rPr>
  </w:style>
  <w:style w:type="character" w:customStyle="1" w:styleId="40">
    <w:name w:val="页眉 Char"/>
    <w:basedOn w:val="25"/>
    <w:link w:val="17"/>
    <w:qFormat/>
    <w:uiPriority w:val="99"/>
    <w:rPr>
      <w:sz w:val="18"/>
      <w:szCs w:val="18"/>
    </w:rPr>
  </w:style>
  <w:style w:type="character" w:customStyle="1" w:styleId="41">
    <w:name w:val="页脚 Char"/>
    <w:basedOn w:val="25"/>
    <w:link w:val="16"/>
    <w:qFormat/>
    <w:uiPriority w:val="99"/>
    <w:rPr>
      <w:sz w:val="18"/>
      <w:szCs w:val="18"/>
    </w:rPr>
  </w:style>
  <w:style w:type="character" w:customStyle="1" w:styleId="42">
    <w:name w:val="正文缩进 Char"/>
    <w:link w:val="6"/>
    <w:qFormat/>
    <w:uiPriority w:val="0"/>
    <w:rPr>
      <w:rFonts w:ascii="Calibri" w:hAnsi="Calibri" w:eastAsia="楷体_GB2312" w:cs="Times New Roman"/>
      <w:kern w:val="0"/>
      <w:sz w:val="24"/>
      <w:szCs w:val="20"/>
    </w:rPr>
  </w:style>
  <w:style w:type="character" w:customStyle="1" w:styleId="43">
    <w:name w:val="标题 1 Char"/>
    <w:basedOn w:val="25"/>
    <w:link w:val="3"/>
    <w:qFormat/>
    <w:uiPriority w:val="0"/>
    <w:rPr>
      <w:rFonts w:ascii="Calibri" w:hAnsi="Calibri" w:eastAsia="楷体_GB2312" w:cs="Times New Roman"/>
      <w:b/>
      <w:kern w:val="44"/>
      <w:sz w:val="44"/>
      <w:szCs w:val="20"/>
    </w:rPr>
  </w:style>
  <w:style w:type="character" w:customStyle="1" w:styleId="44">
    <w:name w:val="标题 2 Char"/>
    <w:basedOn w:val="25"/>
    <w:link w:val="4"/>
    <w:qFormat/>
    <w:uiPriority w:val="9"/>
    <w:rPr>
      <w:rFonts w:asciiTheme="majorHAnsi" w:hAnsiTheme="majorHAnsi" w:eastAsiaTheme="majorEastAsia" w:cstheme="majorBidi"/>
      <w:b/>
      <w:bCs/>
      <w:sz w:val="32"/>
      <w:szCs w:val="32"/>
    </w:rPr>
  </w:style>
  <w:style w:type="character" w:customStyle="1" w:styleId="45">
    <w:name w:val="文档结构图 Char"/>
    <w:basedOn w:val="25"/>
    <w:link w:val="7"/>
    <w:semiHidden/>
    <w:qFormat/>
    <w:uiPriority w:val="99"/>
    <w:rPr>
      <w:rFonts w:ascii="宋体" w:eastAsia="宋体"/>
      <w:sz w:val="18"/>
      <w:szCs w:val="18"/>
    </w:rPr>
  </w:style>
  <w:style w:type="character" w:customStyle="1" w:styleId="46">
    <w:name w:val="NormalCharacter"/>
    <w:qFormat/>
    <w:uiPriority w:val="0"/>
    <w:rPr>
      <w:rFonts w:ascii="Times New Roman" w:hAnsi="Times New Roman" w:eastAsia="宋体" w:cs="Times New Roman"/>
    </w:rPr>
  </w:style>
  <w:style w:type="character" w:customStyle="1" w:styleId="47">
    <w:name w:val="批注框文本 Char"/>
    <w:basedOn w:val="25"/>
    <w:link w:val="15"/>
    <w:semiHidden/>
    <w:qFormat/>
    <w:uiPriority w:val="99"/>
    <w:rPr>
      <w:kern w:val="2"/>
      <w:sz w:val="18"/>
      <w:szCs w:val="18"/>
    </w:rPr>
  </w:style>
  <w:style w:type="character" w:customStyle="1" w:styleId="48">
    <w:name w:val="批注文字 Char"/>
    <w:basedOn w:val="25"/>
    <w:link w:val="8"/>
    <w:semiHidden/>
    <w:qFormat/>
    <w:uiPriority w:val="99"/>
    <w:rPr>
      <w:kern w:val="2"/>
      <w:sz w:val="21"/>
      <w:szCs w:val="22"/>
    </w:rPr>
  </w:style>
  <w:style w:type="character" w:customStyle="1" w:styleId="49">
    <w:name w:val="批注主题 Char"/>
    <w:basedOn w:val="48"/>
    <w:link w:val="20"/>
    <w:semiHidden/>
    <w:qFormat/>
    <w:uiPriority w:val="99"/>
    <w:rPr>
      <w:b/>
      <w:bCs/>
      <w:kern w:val="2"/>
      <w:sz w:val="21"/>
      <w:szCs w:val="22"/>
    </w:rPr>
  </w:style>
  <w:style w:type="character" w:customStyle="1" w:styleId="50">
    <w:name w:val="普通正文 Char"/>
    <w:link w:val="51"/>
    <w:qFormat/>
    <w:uiPriority w:val="0"/>
    <w:rPr>
      <w:rFonts w:ascii="Arial" w:hAnsi="Arial"/>
      <w:sz w:val="24"/>
      <w:szCs w:val="24"/>
    </w:rPr>
  </w:style>
  <w:style w:type="paragraph" w:customStyle="1" w:styleId="51">
    <w:name w:val="普通正文"/>
    <w:basedOn w:val="1"/>
    <w:link w:val="50"/>
    <w:qFormat/>
    <w:uiPriority w:val="99"/>
    <w:pPr>
      <w:adjustRightInd w:val="0"/>
      <w:spacing w:before="120" w:after="120" w:line="360" w:lineRule="auto"/>
      <w:ind w:left="-2" w:right="120" w:firstLine="480"/>
      <w:jc w:val="center"/>
      <w:textAlignment w:val="baseline"/>
    </w:pPr>
    <w:rPr>
      <w:rFonts w:ascii="Arial" w:hAnsi="Arial"/>
      <w:kern w:val="0"/>
      <w:sz w:val="24"/>
      <w:szCs w:val="24"/>
    </w:rPr>
  </w:style>
  <w:style w:type="paragraph" w:customStyle="1" w:styleId="52">
    <w:name w:val="Normal_6"/>
    <w:qFormat/>
    <w:uiPriority w:val="0"/>
    <w:rPr>
      <w:rFonts w:ascii="Times New Roman" w:hAnsi="Times New Roman" w:eastAsia="Times New Roman" w:cs="Times New Roman"/>
      <w:sz w:val="24"/>
      <w:szCs w:val="24"/>
      <w:lang w:val="en-US" w:eastAsia="zh-CN" w:bidi="ar-SA"/>
    </w:rPr>
  </w:style>
  <w:style w:type="paragraph" w:customStyle="1" w:styleId="53">
    <w:name w:val="Normal_5"/>
    <w:qFormat/>
    <w:uiPriority w:val="0"/>
    <w:rPr>
      <w:rFonts w:ascii="Times New Roman" w:hAnsi="Times New Roman" w:eastAsia="Times New Roman" w:cs="Times New Roman"/>
      <w:sz w:val="24"/>
      <w:szCs w:val="24"/>
      <w:lang w:val="en-US" w:eastAsia="zh-CN" w:bidi="ar-SA"/>
    </w:rPr>
  </w:style>
  <w:style w:type="character" w:customStyle="1" w:styleId="54">
    <w:name w:val="纯文本 Char"/>
    <w:basedOn w:val="25"/>
    <w:link w:val="14"/>
    <w:qFormat/>
    <w:locked/>
    <w:uiPriority w:val="0"/>
    <w:rPr>
      <w:rFonts w:ascii="宋体" w:hAnsi="Courier New" w:eastAsia="宋体" w:cs="Times New Roman"/>
      <w:kern w:val="2"/>
      <w:sz w:val="21"/>
    </w:rPr>
  </w:style>
  <w:style w:type="paragraph" w:styleId="55">
    <w:name w:val="List Paragraph"/>
    <w:basedOn w:val="1"/>
    <w:qFormat/>
    <w:uiPriority w:val="34"/>
    <w:pPr>
      <w:ind w:firstLine="420" w:firstLineChars="200"/>
    </w:pPr>
    <w:rPr>
      <w:rFonts w:ascii="Times New Roman" w:hAnsi="Times New Roman" w:eastAsia="宋体" w:cs="Times New Roman"/>
      <w:szCs w:val="21"/>
    </w:rPr>
  </w:style>
  <w:style w:type="paragraph" w:customStyle="1" w:styleId="56">
    <w:name w:val="正文1"/>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customStyle="1" w:styleId="57">
    <w:name w:val="列出段落2"/>
    <w:basedOn w:val="1"/>
    <w:qFormat/>
    <w:uiPriority w:val="99"/>
    <w:pPr>
      <w:ind w:firstLine="420" w:firstLineChars="200"/>
    </w:pPr>
    <w:rPr>
      <w:rFonts w:ascii="Times New Roman" w:hAnsi="Times New Roman"/>
      <w:szCs w:val="24"/>
    </w:rPr>
  </w:style>
  <w:style w:type="character" w:customStyle="1" w:styleId="58">
    <w:name w:val="样式 小四 加粗"/>
    <w:basedOn w:val="25"/>
    <w:qFormat/>
    <w:uiPriority w:val="0"/>
    <w:rPr>
      <w:rFonts w:eastAsia="黑体"/>
      <w:b/>
      <w:bCs/>
      <w:sz w:val="24"/>
    </w:rPr>
  </w:style>
  <w:style w:type="character" w:customStyle="1" w:styleId="59">
    <w:name w:val="first-child"/>
    <w:basedOn w:val="25"/>
    <w:qFormat/>
    <w:uiPriority w:val="0"/>
  </w:style>
  <w:style w:type="character" w:customStyle="1" w:styleId="60">
    <w:name w:val="hover3"/>
    <w:basedOn w:val="25"/>
    <w:qFormat/>
    <w:uiPriority w:val="0"/>
    <w:rPr>
      <w:color w:val="5FB878"/>
    </w:rPr>
  </w:style>
  <w:style w:type="character" w:customStyle="1" w:styleId="61">
    <w:name w:val="hover4"/>
    <w:basedOn w:val="25"/>
    <w:qFormat/>
    <w:uiPriority w:val="0"/>
    <w:rPr>
      <w:color w:val="5FB878"/>
    </w:rPr>
  </w:style>
  <w:style w:type="character" w:customStyle="1" w:styleId="62">
    <w:name w:val="hover5"/>
    <w:basedOn w:val="25"/>
    <w:qFormat/>
    <w:uiPriority w:val="0"/>
    <w:rPr>
      <w:color w:val="FFFFFF"/>
    </w:rPr>
  </w:style>
  <w:style w:type="character" w:customStyle="1" w:styleId="63">
    <w:name w:val="layui-this"/>
    <w:basedOn w:val="25"/>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D749-82EB-4CF5-A9C1-4770C2D469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15209</Words>
  <Characters>15586</Characters>
  <Lines>120</Lines>
  <Paragraphs>33</Paragraphs>
  <TotalTime>1</TotalTime>
  <ScaleCrop>false</ScaleCrop>
  <LinksUpToDate>false</LinksUpToDate>
  <CharactersWithSpaces>15693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2023-06-15T08:52:00Z</dcterms:created>
  <dc:creator>Administrator</dc:creator>
  <cp:lastModifiedBy>小白</cp:lastModifiedBy>
  <dcterms:modified xsi:type="dcterms:W3CDTF">2024-01-04T00:47:29Z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079A696EDF02486BB848DA2AE0392408_13</vt:lpwstr>
  </property>
</Properties>
</file>