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tabs>
          <w:tab w:val="left" w:pos="5760"/>
          <w:tab w:val="left" w:pos="6300"/>
        </w:tabs>
        <w:spacing w:line="360" w:lineRule="auto"/>
        <w:jc w:val="left"/>
        <w:textAlignment w:val="baseline"/>
        <w:rPr>
          <w:rFonts w:ascii="Times New Roman" w:hAnsi="Times New Roman" w:eastAsia="宋体"/>
          <w:sz w:val="44"/>
          <w:szCs w:val="44"/>
        </w:rPr>
      </w:pPr>
    </w:p>
    <w:p>
      <w:pPr>
        <w:spacing w:line="360" w:lineRule="auto"/>
        <w:jc w:val="center"/>
        <w:textAlignment w:val="baseline"/>
        <w:rPr>
          <w:rFonts w:ascii="Times New Roman" w:hAnsi="Times New Roman" w:eastAsia="宋体"/>
          <w:b/>
          <w:sz w:val="56"/>
          <w:szCs w:val="56"/>
        </w:rPr>
      </w:pPr>
      <w:r>
        <w:rPr>
          <w:rFonts w:hint="eastAsia" w:ascii="Times New Roman" w:hAnsi="Times New Roman" w:eastAsia="宋体"/>
          <w:b/>
          <w:sz w:val="52"/>
          <w:szCs w:val="56"/>
        </w:rPr>
        <w:t>南通市第三人民医院艾滋病精细化管理系统采购项目</w:t>
      </w: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2022年06月29日</w:t>
      </w:r>
    </w:p>
    <w:p>
      <w:pPr>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6"/>
        <w:overflowPunct w:val="0"/>
        <w:ind w:firstLine="0"/>
        <w:jc w:val="center"/>
        <w:rPr>
          <w:rFonts w:ascii="Times New Roman" w:hAnsi="Times New Roman" w:eastAsia="宋体"/>
          <w:sz w:val="30"/>
        </w:rPr>
      </w:pP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 </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第三章 项目需求</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5"/>
        <w:tabs>
          <w:tab w:val="right" w:leader="dot" w:pos="9528"/>
        </w:tabs>
        <w:spacing w:line="1200" w:lineRule="exact"/>
        <w:rPr>
          <w:rFonts w:ascii="Times New Roman" w:hAnsi="Times New Roman" w:eastAsia="宋体"/>
          <w:sz w:val="32"/>
          <w:szCs w:val="32"/>
        </w:rPr>
      </w:pPr>
      <w:r>
        <w:rPr>
          <w:rFonts w:hint="eastAsia" w:ascii="Times New Roman" w:hAnsi="Times New Roman" w:eastAsia="宋体"/>
          <w:sz w:val="32"/>
          <w:szCs w:val="32"/>
        </w:rPr>
        <w:t>第五章</w:t>
      </w:r>
      <w:r>
        <w:rPr>
          <w:rFonts w:ascii="Times New Roman" w:hAnsi="Times New Roman" w:eastAsia="宋体"/>
          <w:sz w:val="32"/>
          <w:szCs w:val="32"/>
        </w:rPr>
        <w:t xml:space="preserve"> </w:t>
      </w:r>
      <w:r>
        <w:rPr>
          <w:rFonts w:hint="eastAsia" w:ascii="Times New Roman" w:hAnsi="Times New Roman" w:eastAsia="宋体"/>
          <w:sz w:val="32"/>
          <w:szCs w:val="32"/>
        </w:rPr>
        <w:t>合同授予</w:t>
      </w:r>
    </w:p>
    <w:p>
      <w:pPr>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spacing w:line="1200" w:lineRule="exact"/>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widowControl/>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
        <w:rPr>
          <w:rFonts w:ascii="Times New Roman" w:hAnsi="Times New Roman" w:eastAsia="宋体"/>
        </w:rPr>
      </w:pPr>
      <w:r>
        <w:rPr>
          <w:rFonts w:ascii="Times New Roman" w:hAnsi="Times New Roman" w:eastAsia="宋体"/>
        </w:rPr>
        <w:br w:type="page"/>
      </w:r>
    </w:p>
    <w:p>
      <w:pPr>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南通市第三人民医院艾滋病精细化管理系统采购项目的潜在供应商应在南通市第三人民医院官网获取采购文件，并于</w:t>
      </w:r>
      <w:r>
        <w:rPr>
          <w:rFonts w:hint="eastAsia" w:ascii="Times New Roman" w:hAnsi="Times New Roman" w:eastAsia="宋体" w:cs="宋体"/>
          <w:sz w:val="24"/>
          <w:szCs w:val="24"/>
          <w:u w:val="single"/>
        </w:rPr>
        <w:t>2022</w:t>
      </w:r>
      <w:r>
        <w:rPr>
          <w:rFonts w:hint="eastAsia" w:ascii="Times New Roman" w:hAnsi="Times New Roman" w:eastAsia="宋体" w:cs="宋体"/>
          <w:bCs/>
          <w:sz w:val="24"/>
          <w:szCs w:val="24"/>
          <w:u w:val="single"/>
        </w:rPr>
        <w:t>年07月08日09时00分</w:t>
      </w:r>
      <w:r>
        <w:rPr>
          <w:rFonts w:hint="eastAsia" w:ascii="Times New Roman" w:hAnsi="Times New Roman" w:eastAsia="宋体" w:cs="宋体"/>
          <w:bCs/>
          <w:sz w:val="24"/>
          <w:szCs w:val="24"/>
        </w:rPr>
        <w:t>（北京时间）</w:t>
      </w:r>
      <w:r>
        <w:rPr>
          <w:rFonts w:hint="eastAsia" w:ascii="Times New Roman" w:hAnsi="Times New Roman" w:eastAsia="宋体" w:cs="Times New Roman"/>
          <w:sz w:val="24"/>
          <w:szCs w:val="24"/>
        </w:rPr>
        <w:t>前提交响应文件。</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一、项目基本情况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1、项目编号：/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2、项目名称：南通市第三人民医院艾滋病精细化管理系统采购项目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3、采购方式：□竞争性谈判 </w:t>
      </w:r>
      <w:r>
        <w:rPr>
          <w:rFonts w:hint="eastAsia" w:ascii="Times New Roman" w:hAnsi="Times New Roman" w:eastAsia="MS Mincho" w:cs="MS Mincho"/>
          <w:sz w:val="24"/>
          <w:szCs w:val="24"/>
        </w:rPr>
        <w:t>☑</w:t>
      </w:r>
      <w:r>
        <w:rPr>
          <w:rFonts w:hint="eastAsia" w:ascii="Times New Roman" w:hAnsi="Times New Roman" w:eastAsia="宋体" w:cs="宋体"/>
          <w:sz w:val="24"/>
          <w:szCs w:val="24"/>
        </w:rPr>
        <w:t>竞争性磋商 □询价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4、预算金额：约18万元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5、最高限价：18万元</w:t>
      </w:r>
      <w:r>
        <w:rPr>
          <w:rFonts w:hint="eastAsia" w:ascii="Times New Roman" w:hAnsi="Times New Roman" w:eastAsia="宋体" w:cs="仿宋"/>
          <w:bCs/>
          <w:sz w:val="24"/>
          <w:szCs w:val="20"/>
        </w:rPr>
        <w:t>，报价超过最高限价的为无效响应文件；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6、采购需求：南通市第三人民医院采购艾滋病精细化管理系统；具体内容详见竞争性磋商文件第三章项目需求。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7、合同履行期限：合同签订后30日历天内完成系统上线运行。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8、本项目不接受联合体。</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rPr>
        <w:t>无</w:t>
      </w:r>
      <w:r>
        <w:rPr>
          <w:rFonts w:hint="eastAsia" w:ascii="Times New Roman" w:hAnsi="Times New Roman" w:eastAsia="宋体" w:cs="宋体"/>
          <w:sz w:val="24"/>
          <w:szCs w:val="24"/>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（1）供应商须具有独立法人资格，具有有效的三证合一的营业执照，有能力按本招标文件规定的要求提供招标物及提供相关伴随服务。</w:t>
      </w:r>
    </w:p>
    <w:p>
      <w:pPr>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rPr>
        <w:t>（2）法定代表人参加投标的，必须提供法定代表人身份证明及法定代表人本人身份证复印件；非法定代表人参加投标的，必须提供法定代表人签字或盖章的授权委托书、法定代表人本人身份证复印件及被授权人本人身份证复印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4、未被“信用中国”网站（www.creditchina.gov.cn）列入失信被执行人、重大税收违法案件当事人名单、政府采购严重失信行为记录名单；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5、拒绝下述供应商参加本次采购活动：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（1）供应商单位负责人为同一人或者存在直接控股、管理关系的不同供应商，不得参加同一合同项下的政府采购活动。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（2）凡为采购项目提供整体设计、规范编制或者项目管理、监理、检测等服务的供应商，不得再参加本项目的采购活动。</w:t>
      </w:r>
    </w:p>
    <w:p>
      <w:pPr>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及投标报名</w:t>
      </w:r>
    </w:p>
    <w:p>
      <w:pPr>
        <w:spacing w:line="360" w:lineRule="auto"/>
        <w:ind w:firstLine="480" w:firstLineChars="200"/>
        <w:rPr>
          <w:rFonts w:ascii="Times New Roman" w:hAnsi="Times New Roman" w:eastAsia="宋体" w:cs="宋体"/>
          <w:sz w:val="24"/>
          <w:szCs w:val="24"/>
        </w:rPr>
      </w:pPr>
      <w:bookmarkStart w:id="2" w:name="_Toc28359082"/>
      <w:bookmarkStart w:id="3" w:name="_Toc35393793"/>
      <w:bookmarkStart w:id="4" w:name="_Toc35393624"/>
      <w:bookmarkStart w:id="5" w:name="_Toc28359005"/>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自本磋商公告发布之日起至2022年07月08日09时00分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2、方式：在南通市第三人民医院官网（http://www.ntdsyy.com/）自行下载采购文件。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3、售价：300元/份，随磋商响应文件递交，售后不退。</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4、报名方式：请有意参与本项目投标的供应商于2022年07月07日18时00分前至代理机构处报名，未报名单位不得参加本项目的投标。</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四、</w:t>
      </w:r>
      <w:bookmarkEnd w:id="2"/>
      <w:bookmarkEnd w:id="3"/>
      <w:bookmarkEnd w:id="4"/>
      <w:bookmarkEnd w:id="5"/>
      <w:r>
        <w:rPr>
          <w:rFonts w:hint="eastAsia" w:ascii="Times New Roman" w:hAnsi="Times New Roman" w:eastAsia="宋体" w:cs="宋体"/>
          <w:b/>
          <w:kern w:val="0"/>
          <w:sz w:val="24"/>
          <w:szCs w:val="24"/>
        </w:rPr>
        <w:t>响应文件提交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1、提交响应文件截止时间：</w:t>
      </w:r>
      <w:r>
        <w:rPr>
          <w:rFonts w:hint="eastAsia" w:ascii="Times New Roman" w:hAnsi="Times New Roman" w:eastAsia="宋体" w:cs="宋体"/>
          <w:sz w:val="24"/>
          <w:szCs w:val="24"/>
          <w:u w:val="single"/>
        </w:rPr>
        <w:t>2022年07月08日09时00分</w:t>
      </w:r>
      <w:r>
        <w:rPr>
          <w:rFonts w:hint="eastAsia" w:ascii="Times New Roman" w:hAnsi="Times New Roman" w:eastAsia="宋体" w:cs="宋体"/>
          <w:sz w:val="24"/>
          <w:szCs w:val="24"/>
        </w:rPr>
        <w:t>（北京时间）。</w:t>
      </w:r>
      <w:r>
        <w:rPr>
          <w:rFonts w:hint="eastAsia" w:ascii="Times New Roman" w:hAnsi="Times New Roman" w:eastAsia="宋体"/>
          <w:sz w:val="24"/>
        </w:rPr>
        <w:t>逾时，采购人将拒绝接受响应文件纸质文档。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2、提交响应文件地点：</w:t>
      </w:r>
      <w:r>
        <w:rPr>
          <w:rFonts w:hint="eastAsia" w:ascii="Times New Roman" w:hAnsi="Times New Roman" w:eastAsia="宋体" w:cs="宋体"/>
          <w:sz w:val="24"/>
          <w:szCs w:val="24"/>
          <w:u w:val="single"/>
        </w:rPr>
        <w:t>南通市第三人民医院</w:t>
      </w:r>
      <w:r>
        <w:rPr>
          <w:rFonts w:hint="eastAsia"/>
          <w:sz w:val="24"/>
          <w:szCs w:val="24"/>
          <w:u w:val="single"/>
        </w:rPr>
        <w:t>5</w:t>
      </w:r>
      <w:r>
        <w:rPr>
          <w:rFonts w:hint="eastAsia" w:ascii="Times New Roman" w:hAnsi="Times New Roman" w:eastAsia="宋体" w:cs="宋体"/>
          <w:sz w:val="24"/>
          <w:szCs w:val="24"/>
          <w:u w:val="single"/>
        </w:rPr>
        <w:t>号楼5楼会议室</w:t>
      </w:r>
      <w:r>
        <w:rPr>
          <w:rFonts w:hint="eastAsia" w:ascii="Times New Roman" w:hAnsi="Times New Roman" w:eastAsia="宋体" w:cs="宋体"/>
          <w:sz w:val="24"/>
          <w:szCs w:val="24"/>
        </w:rPr>
        <w:t>，如有变动另行通知。</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6" w:name="_Toc35393625"/>
      <w:bookmarkStart w:id="7" w:name="_Toc35393794"/>
      <w:bookmarkStart w:id="8" w:name="_Toc28359084"/>
      <w:bookmarkStart w:id="9" w:name="_Toc28359007"/>
      <w:r>
        <w:rPr>
          <w:rFonts w:hint="eastAsia" w:ascii="Times New Roman" w:hAnsi="Times New Roman" w:eastAsia="宋体" w:cs="宋体"/>
          <w:b/>
          <w:kern w:val="0"/>
          <w:sz w:val="24"/>
          <w:szCs w:val="24"/>
        </w:rPr>
        <w:t>五、开启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2022年07月08日09时00分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2、地点：</w:t>
      </w:r>
      <w:r>
        <w:rPr>
          <w:rFonts w:hint="eastAsia" w:ascii="Times New Roman" w:hAnsi="Times New Roman" w:eastAsia="宋体" w:cs="宋体"/>
          <w:sz w:val="24"/>
          <w:szCs w:val="24"/>
          <w:u w:val="single"/>
        </w:rPr>
        <w:t>南通市第三人民医院5号楼5楼会议室</w:t>
      </w:r>
      <w:r>
        <w:rPr>
          <w:rFonts w:hint="eastAsia" w:ascii="Times New Roman" w:hAnsi="Times New Roman" w:eastAsia="宋体" w:cs="宋体"/>
          <w:sz w:val="24"/>
          <w:szCs w:val="24"/>
        </w:rPr>
        <w:t>。</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六、公告期限</w:t>
      </w:r>
      <w:bookmarkEnd w:id="6"/>
      <w:bookmarkEnd w:id="7"/>
      <w:bookmarkEnd w:id="8"/>
      <w:bookmarkEnd w:id="9"/>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自本公告发布之日起</w:t>
      </w:r>
      <w:r>
        <w:rPr>
          <w:rFonts w:hint="eastAsia" w:ascii="Times New Roman" w:hAnsi="Times New Roman" w:eastAsia="宋体" w:cs="宋体"/>
          <w:kern w:val="0"/>
          <w:sz w:val="24"/>
          <w:szCs w:val="24"/>
          <w:lang w:val="en-US" w:eastAsia="zh-CN"/>
        </w:rPr>
        <w:t>5</w:t>
      </w:r>
      <w:r>
        <w:rPr>
          <w:rFonts w:hint="eastAsia" w:ascii="Times New Roman" w:hAnsi="Times New Roman" w:eastAsia="宋体" w:cs="宋体"/>
          <w:kern w:val="0"/>
          <w:sz w:val="24"/>
          <w:szCs w:val="24"/>
        </w:rPr>
        <w:t>个工作日。</w:t>
      </w:r>
    </w:p>
    <w:p>
      <w:pPr>
        <w:spacing w:line="360" w:lineRule="auto"/>
        <w:ind w:firstLine="482" w:firstLineChars="200"/>
        <w:textAlignment w:val="baseline"/>
        <w:rPr>
          <w:rFonts w:ascii="Times New Roman" w:hAnsi="Times New Roman" w:eastAsia="宋体" w:cs="宋体"/>
          <w:bCs/>
          <w:sz w:val="24"/>
          <w:szCs w:val="24"/>
        </w:rPr>
      </w:pPr>
      <w:r>
        <w:rPr>
          <w:rFonts w:hint="eastAsia" w:ascii="Times New Roman" w:hAnsi="Times New Roman" w:eastAsia="宋体" w:cs="宋体"/>
          <w:b/>
          <w:bCs/>
          <w:sz w:val="24"/>
          <w:szCs w:val="24"/>
        </w:rPr>
        <w:t>七、</w:t>
      </w:r>
      <w:r>
        <w:rPr>
          <w:rFonts w:hint="eastAsia" w:ascii="Times New Roman" w:hAnsi="Times New Roman" w:eastAsia="宋体" w:cs="宋体"/>
          <w:b/>
          <w:sz w:val="24"/>
          <w:szCs w:val="24"/>
        </w:rPr>
        <w:t>其他补充事宜</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1、本项目不收取磋商保证金，采购文件中涉及磋商保证金的事项，均按免收保证金执行。</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2、对项目需求部分（供应商其他资格要求、项目需求、评分标准）的询问、质疑请向采购人提出，由采购人负责答复；对</w:t>
      </w:r>
      <w:r>
        <w:rPr>
          <w:rFonts w:hint="eastAsia" w:ascii="Times New Roman" w:hAnsi="Times New Roman" w:eastAsia="宋体"/>
          <w:sz w:val="24"/>
          <w:szCs w:val="24"/>
        </w:rPr>
        <w:t>项目磋商文件</w:t>
      </w:r>
      <w:r>
        <w:rPr>
          <w:rFonts w:hint="eastAsia" w:ascii="Times New Roman" w:hAnsi="Times New Roman" w:eastAsia="宋体" w:cs="宋体"/>
          <w:sz w:val="24"/>
          <w:szCs w:val="24"/>
        </w:rPr>
        <w:t>其它部分的询问请向采购人或招标代理提出。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4、针对疫情防控期间，投标人须知事项：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各投标单位只允许委派一人参加投标，其余人员一律不得入内。疫情期间，参加投标的授权委托人应出具绿色的行程码和健康码，其中来自中高风险地区或健康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地址：江苏省南通市青年中路60号</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 xml:space="preserve">联系人：钱老师  </w:t>
      </w:r>
    </w:p>
    <w:p>
      <w:pPr>
        <w:spacing w:line="360" w:lineRule="auto"/>
        <w:ind w:firstLine="480" w:firstLineChars="200"/>
        <w:rPr>
          <w:rFonts w:hint="default" w:ascii="Times New Roman" w:hAnsi="Times New Roman" w:eastAsia="宋体" w:cs="宋体"/>
          <w:bCs/>
          <w:sz w:val="24"/>
          <w:lang w:val="en-US" w:eastAsia="zh-CN"/>
        </w:rPr>
      </w:pPr>
      <w:r>
        <w:rPr>
          <w:rFonts w:hint="eastAsia" w:ascii="Times New Roman" w:hAnsi="Times New Roman" w:eastAsia="宋体" w:cs="宋体"/>
          <w:bCs/>
          <w:sz w:val="24"/>
        </w:rPr>
        <w:t>联系电话：</w:t>
      </w:r>
      <w:r>
        <w:rPr>
          <w:rFonts w:hint="eastAsia" w:ascii="Times New Roman" w:hAnsi="Times New Roman" w:eastAsia="宋体" w:cs="宋体"/>
          <w:bCs/>
          <w:sz w:val="24"/>
          <w:lang w:val="en-US" w:eastAsia="zh-CN"/>
        </w:rPr>
        <w:t>0513-85116168</w:t>
      </w:r>
      <w:bookmarkStart w:id="16" w:name="_GoBack"/>
      <w:bookmarkEnd w:id="16"/>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pStyle w:val="2"/>
        <w:rPr>
          <w:rFonts w:ascii="Times New Roman" w:hAnsi="Times New Roman" w:eastAsia="宋体"/>
        </w:rPr>
      </w:pPr>
    </w:p>
    <w:p>
      <w:pPr>
        <w:widowControl/>
        <w:jc w:val="left"/>
        <w:rPr>
          <w:rFonts w:ascii="Times New Roman" w:hAnsi="Times New Roman" w:eastAsia="宋体" w:cs="Times New Roman"/>
          <w:b/>
          <w:w w:val="80"/>
          <w:kern w:val="44"/>
          <w:sz w:val="48"/>
          <w:szCs w:val="44"/>
        </w:rPr>
      </w:pPr>
      <w:r>
        <w:rPr>
          <w:rFonts w:ascii="Times New Roman" w:hAnsi="Times New Roman" w:eastAsia="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4、澄清或者修改的内容可能影响到响应文件编制的，代理机构应当在提交响应文件接收截止之日5个工作日前，发布澄清或者修改公告，不足5个工作日的，当顺延提交响应文件接收截止时间。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响应文件均为一式肆份，其中“正本”壹份和“副本”叁份。</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3、在每份响应文件上要明确标注项目名称、对应的响应文件名称、供应商的全称、日期、“正本”、“副本”字样。“正本”和“副本”若有差异，概以“正本”为准。</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5、响应文件中的所有“正本”，其正文内容须按磋商文件要求由供应商法定代表人或被授权人签字（或盖章）并加盖单位公章。“副本”可复印，但须加盖单位公章。</w:t>
      </w:r>
    </w:p>
    <w:p>
      <w:pPr>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的“正本”或“副本”中，均不得含有报价响应文件中报价表（报价单）内的任何项目价格，否则作无效投标处理。</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投标人应充分考虑服务实施期间各类市场价格和政策性价格调整因素，确定价格风险计入总报价，今后不作调整。（投标报价应包括完成本项目所需的一切费用，不限于采购货物或产品的材料费、安装调试、运输到指定地点的装运费用（含装卸力资）、相关安装辅助材料费、成品保护费、竣工测试费、验收费、检测费、培训费、售后服务计划及购买、代理服务费、税金、政策性文件规定及合同包含的所有风险、责任等所有预见和不可预见的费用。即招标物交付使用前的所有费用以及免保期内的服务费用等包含响应招标文件采购要求的所有费用；在安装、调试、验收过程中，如发现有漏项、缺件，部件不符，卖方应无条件、无偿补发，由此所发生的费用中标人自行承担。同时，报价也应包含合同履行过程中可能发生的一切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1、磋商文件每套售价300元（现金），在递交磋商响应文件的同时提交给招标代理机构。</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招标向成交供应商收取代理服务费，按国家计委颁发的[2002]1980号文《招标代理服务收费管理暂行办法》及国家发改委颁发的[2011]534号文《国家发改委关于降低部分建设项目收费标准规范收费行为等有关问题的通知》的有关规定执行，具体如下：中标服务费按差额定率累进法计算，以成交通知书确定的中标金额作为收费的计算依据，按招标收费标准下浮40%计算，不满1500元的，按1500元收取。</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1、从磋商响应文件接收截止之日算起，45个“日历天”内响应文件应保持有效。有效期短于这个规定期限的磋商，将被拒绝。</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widowControl/>
        <w:jc w:val="left"/>
        <w:rPr>
          <w:rFonts w:ascii="Times New Roman" w:hAnsi="Times New Roman" w:eastAsia="宋体" w:cs="宋体"/>
          <w:b/>
          <w:w w:val="80"/>
          <w:kern w:val="44"/>
          <w:sz w:val="44"/>
          <w:szCs w:val="44"/>
        </w:rPr>
      </w:pPr>
    </w:p>
    <w:p>
      <w:pPr>
        <w:widowControl/>
        <w:jc w:val="left"/>
        <w:rPr>
          <w:rFonts w:ascii="Times New Roman" w:hAnsi="Times New Roman" w:eastAsia="宋体" w:cs="宋体"/>
          <w:b/>
          <w:w w:val="80"/>
          <w:kern w:val="44"/>
          <w:sz w:val="48"/>
          <w:szCs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spacing w:line="360" w:lineRule="auto"/>
        <w:ind w:firstLine="482" w:firstLineChars="200"/>
        <w:rPr>
          <w:rFonts w:ascii="Times New Roman" w:hAnsi="Times New Roman" w:eastAsia="宋体" w:cs="Times New Roman"/>
          <w:kern w:val="0"/>
          <w:sz w:val="24"/>
          <w:szCs w:val="24"/>
        </w:rPr>
      </w:pPr>
      <w:r>
        <w:rPr>
          <w:rFonts w:ascii="Times New Roman" w:hAnsi="Times New Roman" w:eastAsia="宋体" w:cs="Times New Roman"/>
          <w:b/>
          <w:kern w:val="0"/>
          <w:sz w:val="24"/>
          <w:szCs w:val="24"/>
          <w:lang w:val="zh-CN"/>
        </w:rPr>
        <w:t>请投标人在网上报名前和制作投标文件时仔细研究项目需求说明。</w:t>
      </w:r>
      <w:r>
        <w:rPr>
          <w:rFonts w:ascii="Times New Roman" w:hAnsi="Times New Roman" w:eastAsia="宋体" w:cs="Times New Roman"/>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w:t>
      </w:r>
      <w:r>
        <w:rPr>
          <w:rFonts w:hint="eastAsia" w:ascii="Times New Roman" w:hAnsi="Times New Roman" w:eastAsia="宋体" w:cs="Times New Roman"/>
          <w:kern w:val="0"/>
          <w:sz w:val="24"/>
          <w:szCs w:val="24"/>
          <w:lang w:val="zh-CN"/>
        </w:rPr>
        <w:t>《技术商务条款响应正负偏离表》</w:t>
      </w:r>
      <w:r>
        <w:rPr>
          <w:rFonts w:ascii="Times New Roman" w:hAnsi="Times New Roman" w:eastAsia="宋体" w:cs="Times New Roman"/>
          <w:kern w:val="0"/>
          <w:sz w:val="24"/>
          <w:szCs w:val="24"/>
        </w:rPr>
        <w:t>上明示，如不明示的视同完全响应</w:t>
      </w:r>
      <w:r>
        <w:rPr>
          <w:rFonts w:ascii="Times New Roman" w:hAnsi="Times New Roman" w:eastAsia="宋体" w:cs="Times New Roman"/>
          <w:kern w:val="0"/>
          <w:sz w:val="24"/>
          <w:szCs w:val="24"/>
          <w:lang w:val="zh-CN"/>
        </w:rPr>
        <w:t>。</w:t>
      </w:r>
    </w:p>
    <w:p>
      <w:pPr>
        <w:spacing w:line="360" w:lineRule="auto"/>
        <w:ind w:firstLine="482" w:firstLineChars="200"/>
        <w:rPr>
          <w:rFonts w:ascii="Times New Roman" w:hAnsi="Times New Roman" w:eastAsia="宋体" w:cs="Times New Roman"/>
          <w:b/>
          <w:bCs/>
          <w:kern w:val="0"/>
          <w:sz w:val="24"/>
          <w:szCs w:val="24"/>
          <w:lang w:val="zh-CN"/>
        </w:rPr>
      </w:pPr>
      <w:r>
        <w:rPr>
          <w:rFonts w:hint="eastAsia" w:ascii="Times New Roman" w:hAnsi="Times New Roman" w:eastAsia="宋体" w:cs="Times New Roman"/>
          <w:b/>
          <w:bCs/>
          <w:kern w:val="0"/>
          <w:sz w:val="24"/>
          <w:szCs w:val="24"/>
          <w:lang w:val="zh-CN"/>
        </w:rPr>
        <w:t>一、项目采购内容</w:t>
      </w:r>
    </w:p>
    <w:tbl>
      <w:tblPr>
        <w:tblStyle w:val="18"/>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3005"/>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op w:val="single" w:color="auto" w:sz="4" w:space="0"/>
              <w:left w:val="single" w:color="auto" w:sz="4" w:space="0"/>
              <w:bottom w:val="single" w:color="auto" w:sz="4" w:space="0"/>
              <w:right w:val="single" w:color="auto" w:sz="4" w:space="0"/>
            </w:tcBorders>
            <w:shd w:val="pct10" w:color="auto" w:fill="auto"/>
            <w:vAlign w:val="center"/>
          </w:tcPr>
          <w:p>
            <w:pPr>
              <w:tabs>
                <w:tab w:val="left" w:pos="420"/>
                <w:tab w:val="left" w:pos="840"/>
                <w:tab w:val="left" w:pos="1260"/>
                <w:tab w:val="left" w:pos="1619"/>
                <w:tab w:val="left" w:pos="1680"/>
                <w:tab w:val="left" w:pos="2100"/>
                <w:tab w:val="left" w:pos="2520"/>
                <w:tab w:val="left" w:pos="2940"/>
                <w:tab w:val="left" w:pos="3360"/>
                <w:tab w:val="left" w:pos="3780"/>
                <w:tab w:val="left" w:pos="4200"/>
                <w:tab w:val="left" w:pos="4620"/>
                <w:tab w:val="left" w:pos="5040"/>
                <w:tab w:val="left" w:pos="5460"/>
              </w:tabs>
              <w:spacing w:line="360" w:lineRule="auto"/>
              <w:jc w:val="center"/>
              <w:rPr>
                <w:rFonts w:ascii="宋体" w:hAnsi="宋体" w:eastAsia="宋体" w:cs="宋体"/>
                <w:b/>
                <w:bCs/>
                <w:sz w:val="24"/>
                <w:szCs w:val="24"/>
                <w:u w:color="000000"/>
              </w:rPr>
            </w:pPr>
            <w:r>
              <w:rPr>
                <w:rFonts w:hint="eastAsia" w:ascii="宋体" w:hAnsi="宋体" w:eastAsia="宋体" w:cs="宋体"/>
                <w:b/>
                <w:bCs/>
                <w:sz w:val="24"/>
                <w:szCs w:val="24"/>
              </w:rPr>
              <w:t>序号</w:t>
            </w:r>
          </w:p>
        </w:tc>
        <w:tc>
          <w:tcPr>
            <w:tcW w:w="3005" w:type="dxa"/>
            <w:tcBorders>
              <w:top w:val="single" w:color="auto" w:sz="4" w:space="0"/>
              <w:left w:val="single" w:color="auto" w:sz="4" w:space="0"/>
              <w:bottom w:val="single" w:color="auto" w:sz="4" w:space="0"/>
              <w:right w:val="single" w:color="auto" w:sz="4" w:space="0"/>
            </w:tcBorders>
            <w:shd w:val="pct10" w:color="auto" w:fill="auto"/>
            <w:vAlign w:val="center"/>
          </w:tcPr>
          <w:p>
            <w:pPr>
              <w:tabs>
                <w:tab w:val="left" w:pos="420"/>
                <w:tab w:val="left" w:pos="840"/>
                <w:tab w:val="left" w:pos="1260"/>
                <w:tab w:val="left" w:pos="1619"/>
                <w:tab w:val="left" w:pos="1680"/>
                <w:tab w:val="left" w:pos="2100"/>
                <w:tab w:val="left" w:pos="2520"/>
                <w:tab w:val="left" w:pos="2940"/>
                <w:tab w:val="left" w:pos="3360"/>
                <w:tab w:val="left" w:pos="3780"/>
                <w:tab w:val="left" w:pos="4200"/>
                <w:tab w:val="left" w:pos="4620"/>
                <w:tab w:val="left" w:pos="5040"/>
                <w:tab w:val="left" w:pos="5460"/>
              </w:tabs>
              <w:spacing w:line="360" w:lineRule="auto"/>
              <w:jc w:val="center"/>
              <w:rPr>
                <w:rFonts w:ascii="宋体" w:hAnsi="宋体" w:eastAsia="宋体" w:cs="宋体"/>
                <w:b/>
                <w:bCs/>
                <w:sz w:val="24"/>
                <w:szCs w:val="24"/>
                <w:u w:color="000000"/>
              </w:rPr>
            </w:pPr>
            <w:r>
              <w:rPr>
                <w:rFonts w:hint="eastAsia" w:ascii="宋体" w:hAnsi="宋体" w:eastAsia="宋体" w:cs="宋体"/>
                <w:b/>
                <w:bCs/>
                <w:sz w:val="24"/>
                <w:szCs w:val="24"/>
              </w:rPr>
              <w:t>项目名称</w:t>
            </w:r>
          </w:p>
        </w:tc>
        <w:tc>
          <w:tcPr>
            <w:tcW w:w="3005" w:type="dxa"/>
            <w:tcBorders>
              <w:top w:val="single" w:color="auto" w:sz="4" w:space="0"/>
              <w:left w:val="single" w:color="auto" w:sz="4" w:space="0"/>
              <w:bottom w:val="single" w:color="auto" w:sz="4" w:space="0"/>
              <w:right w:val="single" w:color="auto" w:sz="4" w:space="0"/>
            </w:tcBorders>
            <w:shd w:val="pct10" w:color="auto" w:fill="auto"/>
            <w:vAlign w:val="center"/>
          </w:tcPr>
          <w:p>
            <w:pPr>
              <w:tabs>
                <w:tab w:val="left" w:pos="420"/>
                <w:tab w:val="left" w:pos="840"/>
                <w:tab w:val="left" w:pos="1260"/>
                <w:tab w:val="left" w:pos="1619"/>
                <w:tab w:val="left" w:pos="1680"/>
                <w:tab w:val="left" w:pos="2100"/>
                <w:tab w:val="left" w:pos="2520"/>
                <w:tab w:val="left" w:pos="2940"/>
                <w:tab w:val="left" w:pos="3360"/>
                <w:tab w:val="left" w:pos="3780"/>
                <w:tab w:val="left" w:pos="4200"/>
                <w:tab w:val="left" w:pos="4620"/>
                <w:tab w:val="left" w:pos="5040"/>
                <w:tab w:val="left" w:pos="5460"/>
              </w:tabs>
              <w:spacing w:line="360" w:lineRule="auto"/>
              <w:jc w:val="center"/>
              <w:rPr>
                <w:rFonts w:ascii="宋体" w:hAnsi="宋体" w:eastAsia="宋体" w:cs="宋体"/>
                <w:b/>
                <w:bCs/>
                <w:sz w:val="24"/>
                <w:szCs w:val="24"/>
                <w:u w:color="000000"/>
              </w:rPr>
            </w:pPr>
            <w:r>
              <w:rPr>
                <w:rFonts w:hint="eastAsia" w:ascii="宋体" w:hAnsi="宋体" w:eastAsia="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005" w:type="dxa"/>
            <w:tcBorders>
              <w:top w:val="single" w:color="auto" w:sz="4" w:space="0"/>
              <w:left w:val="single" w:color="auto" w:sz="4" w:space="0"/>
              <w:bottom w:val="single" w:color="auto" w:sz="4" w:space="0"/>
              <w:right w:val="single" w:color="auto" w:sz="4" w:space="0"/>
            </w:tcBorders>
            <w:vAlign w:val="center"/>
          </w:tcPr>
          <w:p>
            <w:pPr>
              <w:tabs>
                <w:tab w:val="left" w:pos="420"/>
                <w:tab w:val="left" w:pos="840"/>
                <w:tab w:val="left" w:pos="1260"/>
                <w:tab w:val="left" w:pos="1619"/>
                <w:tab w:val="left" w:pos="1680"/>
                <w:tab w:val="left" w:pos="2100"/>
                <w:tab w:val="left" w:pos="2520"/>
                <w:tab w:val="left" w:pos="2940"/>
                <w:tab w:val="left" w:pos="3360"/>
                <w:tab w:val="left" w:pos="3780"/>
                <w:tab w:val="left" w:pos="4200"/>
                <w:tab w:val="left" w:pos="4620"/>
                <w:tab w:val="left" w:pos="5040"/>
                <w:tab w:val="left" w:pos="5460"/>
              </w:tabs>
              <w:spacing w:line="360" w:lineRule="auto"/>
              <w:jc w:val="center"/>
              <w:rPr>
                <w:rFonts w:ascii="宋体" w:hAnsi="宋体" w:eastAsia="宋体" w:cs="宋体"/>
                <w:bCs/>
                <w:sz w:val="24"/>
                <w:szCs w:val="24"/>
                <w:u w:color="000000"/>
              </w:rPr>
            </w:pPr>
            <w:r>
              <w:rPr>
                <w:rFonts w:hint="eastAsia" w:ascii="宋体" w:hAnsi="宋体" w:eastAsia="宋体" w:cs="宋体"/>
                <w:bCs/>
                <w:sz w:val="24"/>
                <w:szCs w:val="24"/>
              </w:rPr>
              <w:t>1</w:t>
            </w:r>
          </w:p>
        </w:tc>
        <w:tc>
          <w:tcPr>
            <w:tcW w:w="3005"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840"/>
                <w:tab w:val="left" w:pos="1260"/>
                <w:tab w:val="left" w:pos="1619"/>
                <w:tab w:val="left" w:pos="1680"/>
                <w:tab w:val="left" w:pos="2100"/>
                <w:tab w:val="left" w:pos="2520"/>
                <w:tab w:val="left" w:pos="2940"/>
                <w:tab w:val="left" w:pos="3360"/>
                <w:tab w:val="left" w:pos="3780"/>
                <w:tab w:val="left" w:pos="4200"/>
                <w:tab w:val="left" w:pos="4620"/>
                <w:tab w:val="left" w:pos="5040"/>
                <w:tab w:val="left" w:pos="5460"/>
              </w:tabs>
              <w:spacing w:line="360" w:lineRule="auto"/>
              <w:jc w:val="center"/>
              <w:rPr>
                <w:rFonts w:ascii="宋体" w:hAnsi="宋体" w:eastAsia="宋体" w:cs="宋体"/>
                <w:kern w:val="0"/>
                <w:sz w:val="24"/>
                <w:szCs w:val="24"/>
                <w:u w:color="000000"/>
              </w:rPr>
            </w:pPr>
            <w:r>
              <w:rPr>
                <w:rFonts w:hint="eastAsia" w:ascii="宋体" w:hAnsi="宋体" w:eastAsia="宋体" w:cs="宋体"/>
                <w:kern w:val="0"/>
                <w:sz w:val="24"/>
                <w:szCs w:val="24"/>
                <w:u w:color="000000"/>
              </w:rPr>
              <w:t>艾滋病精细化管理系统</w:t>
            </w:r>
          </w:p>
        </w:tc>
        <w:tc>
          <w:tcPr>
            <w:tcW w:w="3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Calibri"/>
                <w:bCs/>
                <w:color w:val="000000"/>
                <w:sz w:val="24"/>
                <w:szCs w:val="24"/>
                <w:u w:color="000000"/>
              </w:rPr>
            </w:pPr>
            <w:r>
              <w:rPr>
                <w:rFonts w:hint="eastAsia" w:ascii="宋体" w:hAnsi="宋体" w:eastAsia="宋体" w:cs="Calibri"/>
                <w:bCs/>
                <w:color w:val="000000"/>
                <w:sz w:val="24"/>
                <w:szCs w:val="24"/>
                <w:u w:color="000000"/>
              </w:rPr>
              <w:t>1套</w:t>
            </w: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二、采购内容技术要求</w:t>
      </w:r>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26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46" w:type="dxa"/>
            <w:vAlign w:val="center"/>
          </w:tcPr>
          <w:p>
            <w:pPr>
              <w:spacing w:line="360" w:lineRule="auto"/>
              <w:jc w:val="center"/>
              <w:textAlignment w:val="center"/>
              <w:rPr>
                <w:rFonts w:ascii="宋体" w:hAnsi="宋体" w:eastAsia="宋体" w:cs="等线"/>
                <w:b/>
                <w:kern w:val="0"/>
                <w:sz w:val="24"/>
                <w:szCs w:val="24"/>
              </w:rPr>
            </w:pPr>
            <w:r>
              <w:rPr>
                <w:rFonts w:hint="eastAsia" w:ascii="宋体" w:hAnsi="宋体" w:eastAsia="宋体" w:cs="等线"/>
                <w:b/>
                <w:kern w:val="0"/>
                <w:sz w:val="24"/>
                <w:szCs w:val="24"/>
              </w:rPr>
              <w:t>序号</w:t>
            </w:r>
          </w:p>
        </w:tc>
        <w:tc>
          <w:tcPr>
            <w:tcW w:w="1417" w:type="dxa"/>
            <w:vAlign w:val="center"/>
          </w:tcPr>
          <w:p>
            <w:pPr>
              <w:spacing w:line="360" w:lineRule="auto"/>
              <w:jc w:val="center"/>
              <w:textAlignment w:val="center"/>
              <w:rPr>
                <w:rFonts w:ascii="宋体" w:hAnsi="宋体" w:eastAsia="宋体" w:cs="等线"/>
                <w:b/>
                <w:kern w:val="0"/>
                <w:sz w:val="24"/>
                <w:szCs w:val="24"/>
              </w:rPr>
            </w:pPr>
            <w:r>
              <w:rPr>
                <w:rFonts w:hint="eastAsia" w:ascii="宋体" w:hAnsi="宋体" w:eastAsia="宋体" w:cs="等线"/>
                <w:b/>
                <w:kern w:val="0"/>
                <w:sz w:val="24"/>
                <w:szCs w:val="24"/>
              </w:rPr>
              <w:t>功能模块</w:t>
            </w:r>
          </w:p>
        </w:tc>
        <w:tc>
          <w:tcPr>
            <w:tcW w:w="2268" w:type="dxa"/>
            <w:vAlign w:val="center"/>
          </w:tcPr>
          <w:p>
            <w:pPr>
              <w:spacing w:line="360" w:lineRule="auto"/>
              <w:jc w:val="center"/>
              <w:textAlignment w:val="center"/>
              <w:rPr>
                <w:rFonts w:ascii="宋体" w:hAnsi="宋体" w:eastAsia="宋体" w:cs="Times New Roman"/>
                <w:b/>
                <w:kern w:val="0"/>
                <w:sz w:val="24"/>
                <w:szCs w:val="24"/>
              </w:rPr>
            </w:pPr>
            <w:r>
              <w:rPr>
                <w:rFonts w:hint="eastAsia" w:ascii="宋体" w:hAnsi="宋体" w:eastAsia="宋体" w:cs="等线"/>
                <w:b/>
                <w:kern w:val="0"/>
                <w:sz w:val="24"/>
                <w:szCs w:val="24"/>
              </w:rPr>
              <w:t>子模块</w:t>
            </w:r>
          </w:p>
        </w:tc>
        <w:tc>
          <w:tcPr>
            <w:tcW w:w="4536" w:type="dxa"/>
            <w:vAlign w:val="center"/>
          </w:tcPr>
          <w:p>
            <w:pPr>
              <w:spacing w:line="360" w:lineRule="auto"/>
              <w:jc w:val="center"/>
              <w:textAlignment w:val="center"/>
              <w:rPr>
                <w:rFonts w:ascii="宋体" w:hAnsi="宋体" w:eastAsia="宋体" w:cs="等线"/>
                <w:b/>
                <w:kern w:val="0"/>
                <w:sz w:val="24"/>
                <w:szCs w:val="24"/>
              </w:rPr>
            </w:pPr>
            <w:r>
              <w:rPr>
                <w:rFonts w:hint="eastAsia" w:ascii="宋体" w:hAnsi="宋体" w:eastAsia="宋体" w:cs="等线"/>
                <w:b/>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6"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1</w:t>
            </w:r>
          </w:p>
        </w:tc>
        <w:tc>
          <w:tcPr>
            <w:tcW w:w="1417"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病人建档</w:t>
            </w: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病人基本信息</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填写病人基本信息，包括姓名、身份证号、联系方式、户籍、职业、学历、医保等；</w:t>
            </w:r>
          </w:p>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与HIS系统对接，可同步患者基本信息；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档案基本信息</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病人HIV档案基本信息填写，包括治疗编号、治疗类型、感染途径等；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病历临床</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病人症状、体征、用药、WHO临床分期、预防用药、现病史、既往史、合并症、合并用药等数据录入；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检查检验</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针对CD4、CD8、HIV病毒载量、生化检验、尿检、检查等查检/检验结果快速导入，检查、检验项目可自定义添加。</w:t>
            </w:r>
          </w:p>
          <w:p>
            <w:pPr>
              <w:spacing w:line="360" w:lineRule="auto"/>
              <w:textAlignment w:val="center"/>
              <w:rPr>
                <w:rFonts w:ascii="宋体" w:hAnsi="宋体" w:eastAsia="宋体" w:cs="等线"/>
                <w:kern w:val="0"/>
                <w:sz w:val="24"/>
                <w:szCs w:val="24"/>
              </w:rPr>
            </w:pPr>
            <w:r>
              <w:rPr>
                <w:rFonts w:ascii="宋体" w:hAnsi="宋体" w:eastAsia="宋体" w:cs="等线"/>
                <w:kern w:val="0"/>
                <w:sz w:val="24"/>
                <w:szCs w:val="24"/>
              </w:rPr>
              <w:t xml:space="preserve">需要与相关系统对接获取检查检验数据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病历处方</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选择门诊处方快速导入病人用药数据，并可定义用药方案，用药方案可为用药方案统计提供数据支持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随访计划</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定义下次随访日期及随访注意事项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46"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2</w:t>
            </w:r>
          </w:p>
        </w:tc>
        <w:tc>
          <w:tcPr>
            <w:tcW w:w="1417"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人员档案</w:t>
            </w: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病人档案查询</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通过姓名、抗病毒治疗号、身份证号、病人状态等查询病人档案信息及随访计划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病人建档查询</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查看病人建档数据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Times New Roman"/>
                <w:kern w:val="0"/>
                <w:sz w:val="24"/>
                <w:szCs w:val="24"/>
              </w:rPr>
              <w:t>随访档案查询</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查看病人历次随访记录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3</w:t>
            </w:r>
          </w:p>
        </w:tc>
        <w:tc>
          <w:tcPr>
            <w:tcW w:w="1417"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随访控制</w:t>
            </w:r>
          </w:p>
        </w:tc>
        <w:tc>
          <w:tcPr>
            <w:tcW w:w="2268" w:type="dxa"/>
            <w:vAlign w:val="center"/>
          </w:tcPr>
          <w:p>
            <w:pPr>
              <w:snapToGrid w:val="0"/>
              <w:spacing w:line="360" w:lineRule="auto"/>
              <w:rPr>
                <w:rFonts w:ascii="宋体" w:hAnsi="宋体" w:eastAsia="宋体" w:cs="宋体"/>
                <w:kern w:val="0"/>
                <w:sz w:val="24"/>
                <w:szCs w:val="24"/>
              </w:rPr>
            </w:pPr>
            <w:r>
              <w:rPr>
                <w:rFonts w:hint="eastAsia" w:ascii="宋体" w:hAnsi="宋体" w:eastAsia="宋体" w:cs="等线"/>
                <w:kern w:val="0"/>
                <w:sz w:val="24"/>
                <w:szCs w:val="24"/>
              </w:rPr>
              <w:t>失访随访</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对失访病人进行计划随访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计划随访</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对病人指定随访计划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jc w:val="center"/>
              <w:textAlignment w:val="center"/>
              <w:rPr>
                <w:rFonts w:ascii="宋体" w:hAnsi="宋体" w:eastAsia="宋体" w:cs="等线"/>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7天内随访</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对7天内需要随访的病人进行查询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4</w:t>
            </w:r>
          </w:p>
        </w:tc>
        <w:tc>
          <w:tcPr>
            <w:tcW w:w="1417" w:type="dxa"/>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药品申领</w:t>
            </w:r>
          </w:p>
        </w:tc>
        <w:tc>
          <w:tcPr>
            <w:tcW w:w="2268" w:type="dxa"/>
            <w:vAlign w:val="center"/>
          </w:tcPr>
          <w:p>
            <w:pPr>
              <w:spacing w:line="360" w:lineRule="auto"/>
              <w:textAlignment w:val="center"/>
              <w:rPr>
                <w:rFonts w:ascii="宋体" w:hAnsi="宋体" w:eastAsia="宋体" w:cs="宋体"/>
                <w:kern w:val="0"/>
                <w:sz w:val="24"/>
                <w:szCs w:val="24"/>
              </w:rPr>
            </w:pPr>
            <w:r>
              <w:rPr>
                <w:rFonts w:hint="eastAsia" w:ascii="宋体" w:hAnsi="宋体" w:eastAsia="宋体" w:cs="等线"/>
                <w:kern w:val="0"/>
                <w:sz w:val="24"/>
                <w:szCs w:val="24"/>
              </w:rPr>
              <w:t>药品申领</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病人用药申领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5</w:t>
            </w:r>
          </w:p>
        </w:tc>
        <w:tc>
          <w:tcPr>
            <w:tcW w:w="1417" w:type="dxa"/>
            <w:vAlign w:val="center"/>
          </w:tcPr>
          <w:p>
            <w:pPr>
              <w:spacing w:line="360" w:lineRule="auto"/>
              <w:jc w:val="center"/>
              <w:textAlignment w:val="center"/>
              <w:rPr>
                <w:rFonts w:ascii="宋体" w:hAnsi="宋体" w:eastAsia="宋体" w:cs="等线"/>
                <w:kern w:val="0"/>
                <w:sz w:val="24"/>
                <w:szCs w:val="24"/>
              </w:rPr>
            </w:pPr>
            <w:r>
              <w:rPr>
                <w:rFonts w:ascii="宋体" w:hAnsi="宋体" w:eastAsia="宋体" w:cs="等线"/>
                <w:kern w:val="0"/>
                <w:sz w:val="24"/>
                <w:szCs w:val="24"/>
              </w:rPr>
              <w:t>常用指标</w:t>
            </w: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检验常用指标管理</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对病人固定检验项目、生化检验项目、尿常规检验项目进行管理，同时可随时添加、删除检验项目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6</w:t>
            </w:r>
          </w:p>
        </w:tc>
        <w:tc>
          <w:tcPr>
            <w:tcW w:w="1417" w:type="dxa"/>
            <w:vAlign w:val="center"/>
          </w:tcPr>
          <w:p>
            <w:pPr>
              <w:spacing w:line="360" w:lineRule="auto"/>
              <w:jc w:val="center"/>
              <w:textAlignment w:val="center"/>
              <w:rPr>
                <w:rFonts w:ascii="宋体" w:hAnsi="宋体" w:eastAsia="宋体" w:cs="等线"/>
                <w:kern w:val="0"/>
                <w:sz w:val="24"/>
                <w:szCs w:val="24"/>
              </w:rPr>
            </w:pPr>
            <w:r>
              <w:rPr>
                <w:rFonts w:ascii="宋体" w:hAnsi="宋体" w:eastAsia="宋体" w:cs="等线"/>
                <w:kern w:val="0"/>
                <w:sz w:val="24"/>
                <w:szCs w:val="24"/>
              </w:rPr>
              <w:t>统计管理</w:t>
            </w:r>
          </w:p>
        </w:tc>
        <w:tc>
          <w:tcPr>
            <w:tcW w:w="2268" w:type="dxa"/>
            <w:vAlign w:val="center"/>
          </w:tcPr>
          <w:p>
            <w:pPr>
              <w:spacing w:line="360" w:lineRule="auto"/>
              <w:textAlignment w:val="center"/>
              <w:rPr>
                <w:rFonts w:ascii="宋体" w:hAnsi="宋体" w:eastAsia="宋体" w:cs="等线"/>
                <w:kern w:val="0"/>
                <w:sz w:val="24"/>
                <w:szCs w:val="24"/>
              </w:rPr>
            </w:pPr>
            <w:r>
              <w:rPr>
                <w:rFonts w:ascii="宋体" w:hAnsi="宋体" w:eastAsia="宋体" w:cs="等线"/>
                <w:kern w:val="0"/>
                <w:sz w:val="24"/>
                <w:szCs w:val="24"/>
              </w:rPr>
              <w:t>综合统计查询</w:t>
            </w:r>
          </w:p>
        </w:tc>
        <w:tc>
          <w:tcPr>
            <w:tcW w:w="4536" w:type="dxa"/>
            <w:vAlign w:val="center"/>
          </w:tcPr>
          <w:p>
            <w:pPr>
              <w:spacing w:line="360" w:lineRule="auto"/>
              <w:textAlignment w:val="center"/>
              <w:rPr>
                <w:rFonts w:ascii="宋体" w:hAnsi="宋体" w:eastAsia="宋体" w:cs="等线"/>
                <w:kern w:val="0"/>
                <w:sz w:val="24"/>
                <w:szCs w:val="24"/>
              </w:rPr>
            </w:pPr>
            <w:r>
              <w:rPr>
                <w:rFonts w:ascii="宋体" w:hAnsi="宋体" w:eastAsia="宋体" w:cs="等线"/>
                <w:kern w:val="0"/>
                <w:sz w:val="24"/>
                <w:szCs w:val="24"/>
              </w:rPr>
              <w:t>对</w:t>
            </w:r>
            <w:r>
              <w:rPr>
                <w:rFonts w:hint="eastAsia" w:ascii="宋体" w:hAnsi="宋体" w:eastAsia="宋体" w:cs="宋体"/>
                <w:kern w:val="0"/>
                <w:sz w:val="24"/>
                <w:szCs w:val="24"/>
              </w:rPr>
              <w:t>CD4统计、检验统计、结核筛查率、配偶筛查率、随访率、实际治疗率、新发感染、干预成本等进行统计查询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restart"/>
            <w:vAlign w:val="center"/>
          </w:tcPr>
          <w:p>
            <w:pPr>
              <w:spacing w:line="360" w:lineRule="auto"/>
              <w:ind w:firstLine="196" w:firstLineChars="82"/>
              <w:textAlignment w:val="center"/>
              <w:rPr>
                <w:rFonts w:ascii="宋体" w:hAnsi="宋体" w:eastAsia="宋体" w:cs="等线"/>
                <w:kern w:val="0"/>
                <w:sz w:val="24"/>
                <w:szCs w:val="24"/>
              </w:rPr>
            </w:pPr>
            <w:r>
              <w:rPr>
                <w:rFonts w:ascii="宋体" w:hAnsi="宋体" w:eastAsia="宋体" w:cs="等线"/>
                <w:kern w:val="0"/>
                <w:sz w:val="24"/>
                <w:szCs w:val="24"/>
              </w:rPr>
              <w:t>7</w:t>
            </w:r>
          </w:p>
        </w:tc>
        <w:tc>
          <w:tcPr>
            <w:tcW w:w="1417" w:type="dxa"/>
            <w:vMerge w:val="restart"/>
            <w:vAlign w:val="center"/>
          </w:tcPr>
          <w:p>
            <w:pPr>
              <w:spacing w:line="360" w:lineRule="auto"/>
              <w:jc w:val="center"/>
              <w:textAlignment w:val="center"/>
              <w:rPr>
                <w:rFonts w:ascii="宋体" w:hAnsi="宋体" w:eastAsia="宋体" w:cs="等线"/>
                <w:kern w:val="0"/>
                <w:sz w:val="24"/>
                <w:szCs w:val="24"/>
              </w:rPr>
            </w:pPr>
            <w:r>
              <w:rPr>
                <w:rFonts w:hint="eastAsia" w:ascii="宋体" w:hAnsi="宋体" w:eastAsia="宋体" w:cs="等线"/>
                <w:kern w:val="0"/>
                <w:sz w:val="24"/>
                <w:szCs w:val="24"/>
              </w:rPr>
              <w:t>维护管理</w:t>
            </w: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基础数据维护</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费用来源、治疗类型、感染途径、艾滋病症状、艾滋病体征、毒副反应等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ind w:firstLine="482" w:firstLineChars="200"/>
              <w:jc w:val="center"/>
              <w:textAlignment w:val="center"/>
              <w:rPr>
                <w:rFonts w:ascii="宋体" w:hAnsi="宋体" w:eastAsia="宋体" w:cs="等线"/>
                <w:b/>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药品信息维护</w:t>
            </w:r>
          </w:p>
        </w:tc>
        <w:tc>
          <w:tcPr>
            <w:tcW w:w="4536"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Times New Roman"/>
                <w:kern w:val="0"/>
                <w:sz w:val="24"/>
                <w:szCs w:val="24"/>
              </w:rPr>
              <w:t>药品信息编辑管理、HIS系统药品信息同步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ind w:firstLine="482" w:firstLineChars="200"/>
              <w:jc w:val="center"/>
              <w:textAlignment w:val="center"/>
              <w:rPr>
                <w:rFonts w:ascii="宋体" w:hAnsi="宋体" w:eastAsia="宋体" w:cs="等线"/>
                <w:b/>
                <w:kern w:val="0"/>
                <w:sz w:val="24"/>
                <w:szCs w:val="24"/>
              </w:rPr>
            </w:pPr>
          </w:p>
        </w:tc>
        <w:tc>
          <w:tcPr>
            <w:tcW w:w="1417" w:type="dxa"/>
            <w:vMerge w:val="continue"/>
            <w:vAlign w:val="center"/>
          </w:tcPr>
          <w:p>
            <w:pPr>
              <w:spacing w:line="360" w:lineRule="auto"/>
              <w:ind w:firstLine="480" w:firstLineChars="200"/>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处方模板维护</w:t>
            </w:r>
          </w:p>
        </w:tc>
        <w:tc>
          <w:tcPr>
            <w:tcW w:w="4536" w:type="dxa"/>
            <w:vAlign w:val="center"/>
          </w:tcPr>
          <w:p>
            <w:pPr>
              <w:spacing w:line="360" w:lineRule="auto"/>
              <w:textAlignment w:val="center"/>
              <w:rPr>
                <w:rFonts w:ascii="宋体" w:hAnsi="宋体" w:eastAsia="宋体" w:cs="Times New Roman"/>
                <w:kern w:val="0"/>
                <w:sz w:val="24"/>
                <w:szCs w:val="24"/>
              </w:rPr>
            </w:pPr>
            <w:r>
              <w:rPr>
                <w:rFonts w:hint="eastAsia" w:ascii="宋体" w:hAnsi="宋体" w:eastAsia="宋体" w:cs="等线"/>
                <w:kern w:val="0"/>
                <w:sz w:val="24"/>
                <w:szCs w:val="24"/>
              </w:rPr>
              <w:t>自定义用药方案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ind w:firstLine="482" w:firstLineChars="200"/>
              <w:jc w:val="center"/>
              <w:textAlignment w:val="center"/>
              <w:rPr>
                <w:rFonts w:ascii="宋体" w:hAnsi="宋体" w:eastAsia="宋体" w:cs="等线"/>
                <w:b/>
                <w:kern w:val="0"/>
                <w:sz w:val="24"/>
                <w:szCs w:val="24"/>
              </w:rPr>
            </w:pPr>
          </w:p>
        </w:tc>
        <w:tc>
          <w:tcPr>
            <w:tcW w:w="1417" w:type="dxa"/>
            <w:vMerge w:val="continue"/>
            <w:vAlign w:val="center"/>
          </w:tcPr>
          <w:p>
            <w:pPr>
              <w:spacing w:line="360" w:lineRule="auto"/>
              <w:ind w:firstLine="480" w:firstLineChars="200"/>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检查项目维护</w:t>
            </w:r>
          </w:p>
        </w:tc>
        <w:tc>
          <w:tcPr>
            <w:tcW w:w="4536" w:type="dxa"/>
            <w:vAlign w:val="center"/>
          </w:tcPr>
          <w:p>
            <w:pPr>
              <w:spacing w:line="360" w:lineRule="auto"/>
              <w:textAlignment w:val="center"/>
              <w:rPr>
                <w:rFonts w:ascii="宋体" w:hAnsi="宋体" w:eastAsia="宋体" w:cs="等线"/>
                <w:kern w:val="0"/>
                <w:sz w:val="24"/>
                <w:szCs w:val="24"/>
              </w:rPr>
            </w:pPr>
            <w:r>
              <w:rPr>
                <w:rFonts w:ascii="宋体" w:hAnsi="宋体" w:eastAsia="宋体" w:cs="等线"/>
                <w:kern w:val="0"/>
                <w:sz w:val="24"/>
                <w:szCs w:val="24"/>
              </w:rPr>
              <w:t>检验检查项目维护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46" w:type="dxa"/>
            <w:vMerge w:val="continue"/>
            <w:vAlign w:val="center"/>
          </w:tcPr>
          <w:p>
            <w:pPr>
              <w:spacing w:line="360" w:lineRule="auto"/>
              <w:jc w:val="center"/>
              <w:textAlignment w:val="center"/>
              <w:rPr>
                <w:rFonts w:ascii="宋体" w:hAnsi="宋体" w:eastAsia="宋体" w:cs="等线"/>
                <w:b/>
                <w:kern w:val="0"/>
                <w:sz w:val="24"/>
                <w:szCs w:val="24"/>
              </w:rPr>
            </w:pPr>
          </w:p>
        </w:tc>
        <w:tc>
          <w:tcPr>
            <w:tcW w:w="1417" w:type="dxa"/>
            <w:vMerge w:val="continue"/>
            <w:vAlign w:val="center"/>
          </w:tcPr>
          <w:p>
            <w:pPr>
              <w:spacing w:line="360" w:lineRule="auto"/>
              <w:jc w:val="center"/>
              <w:textAlignment w:val="center"/>
              <w:rPr>
                <w:rFonts w:ascii="宋体" w:hAnsi="宋体" w:eastAsia="宋体" w:cs="等线"/>
                <w:kern w:val="0"/>
                <w:sz w:val="24"/>
                <w:szCs w:val="24"/>
              </w:rPr>
            </w:pPr>
          </w:p>
        </w:tc>
        <w:tc>
          <w:tcPr>
            <w:tcW w:w="2268" w:type="dxa"/>
            <w:vAlign w:val="center"/>
          </w:tcPr>
          <w:p>
            <w:pPr>
              <w:spacing w:line="360" w:lineRule="auto"/>
              <w:textAlignment w:val="center"/>
              <w:rPr>
                <w:rFonts w:ascii="宋体" w:hAnsi="宋体" w:eastAsia="宋体" w:cs="等线"/>
                <w:kern w:val="0"/>
                <w:sz w:val="24"/>
                <w:szCs w:val="24"/>
              </w:rPr>
            </w:pPr>
            <w:r>
              <w:rPr>
                <w:rFonts w:hint="eastAsia" w:ascii="宋体" w:hAnsi="宋体" w:eastAsia="宋体" w:cs="等线"/>
                <w:kern w:val="0"/>
                <w:sz w:val="24"/>
                <w:szCs w:val="24"/>
              </w:rPr>
              <w:t>账号维护</w:t>
            </w:r>
          </w:p>
        </w:tc>
        <w:tc>
          <w:tcPr>
            <w:tcW w:w="4536" w:type="dxa"/>
            <w:vAlign w:val="center"/>
          </w:tcPr>
          <w:p>
            <w:pPr>
              <w:spacing w:line="360" w:lineRule="auto"/>
              <w:textAlignment w:val="center"/>
              <w:rPr>
                <w:rFonts w:ascii="宋体" w:hAnsi="宋体" w:eastAsia="宋体" w:cs="等线"/>
                <w:kern w:val="0"/>
                <w:sz w:val="24"/>
                <w:szCs w:val="24"/>
              </w:rPr>
            </w:pPr>
            <w:r>
              <w:rPr>
                <w:rFonts w:ascii="宋体" w:hAnsi="宋体" w:eastAsia="宋体" w:cs="等线"/>
                <w:kern w:val="0"/>
                <w:sz w:val="24"/>
                <w:szCs w:val="24"/>
              </w:rPr>
              <w:t>各用户名称、权限进行维护</w:t>
            </w: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三、项目工期要求</w:t>
      </w:r>
    </w:p>
    <w:p>
      <w:pPr>
        <w:spacing w:line="360" w:lineRule="auto"/>
        <w:ind w:firstLine="482" w:firstLineChars="200"/>
        <w:jc w:val="left"/>
        <w:rPr>
          <w:rFonts w:ascii="Times New Roman" w:hAnsi="Times New Roman" w:eastAsia="宋体" w:cs="Times New Roman"/>
          <w:b/>
          <w:sz w:val="24"/>
          <w:szCs w:val="20"/>
          <w:u w:color="000000"/>
        </w:rPr>
      </w:pPr>
      <w:r>
        <w:rPr>
          <w:rFonts w:hint="eastAsia" w:ascii="Times New Roman" w:hAnsi="Times New Roman" w:eastAsia="宋体" w:cs="Times New Roman"/>
          <w:b/>
          <w:sz w:val="24"/>
          <w:szCs w:val="20"/>
          <w:u w:color="000000"/>
        </w:rPr>
        <w:t>本项目要求合同签订后</w:t>
      </w:r>
      <w:r>
        <w:rPr>
          <w:rFonts w:ascii="Times New Roman" w:hAnsi="Times New Roman" w:eastAsia="宋体" w:cs="Times New Roman"/>
          <w:b/>
          <w:sz w:val="24"/>
          <w:szCs w:val="20"/>
          <w:u w:color="000000"/>
        </w:rPr>
        <w:t>3</w:t>
      </w:r>
      <w:r>
        <w:rPr>
          <w:rFonts w:hint="eastAsia" w:ascii="Times New Roman" w:hAnsi="Times New Roman" w:eastAsia="宋体" w:cs="Times New Roman"/>
          <w:b/>
          <w:sz w:val="24"/>
          <w:szCs w:val="20"/>
          <w:u w:color="000000"/>
        </w:rPr>
        <w:t>0日历天内完成系统上线运行。</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四、售后服务要求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（一）系统扩充、升级方面技术支持服务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系统需要支持后期不断升级完善服务，在项目质保期内，安排专人负责售后维护工作，包括系统运行维护、系统需求整理反馈等；</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同时，系统需要符合省级监管部门对艾滋病专项管理信息化建设要求。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（二）保修年限、范围、保修条件</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中标人必须至少提供系统验收合格正式运行后</w:t>
      </w:r>
      <w:r>
        <w:rPr>
          <w:rFonts w:ascii="Times New Roman" w:hAnsi="Times New Roman" w:eastAsia="宋体"/>
          <w:bCs/>
          <w:sz w:val="24"/>
          <w:szCs w:val="24"/>
        </w:rPr>
        <w:t>1</w:t>
      </w:r>
      <w:r>
        <w:rPr>
          <w:rFonts w:hint="eastAsia" w:ascii="Times New Roman" w:hAnsi="Times New Roman" w:eastAsia="宋体"/>
          <w:bCs/>
          <w:sz w:val="24"/>
          <w:szCs w:val="24"/>
        </w:rPr>
        <w:t>年内的免费维护，并在投标文件中列出免费质保期满后的每年售后维保费（不限次数）。</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（三）解决问题、排除故障效率</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如发生系统故障，技术人员在得到通知后2小时内提供在线支持，若系统无法正常运行，24小时内到达医院，排除故障。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（四）售后服务的形式</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在合同签定后，根据院方具体问题提供以下几种形式的技术服务：</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1、培训系统管理员</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系统试运行期间，负责为院方免费培训1-2名系统维护人员，通过培训，使维护人员能熟练规范的进行操作，对一般故障能进行处理和日常维护。所有的培训费用必须计入投标总价。</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2、电话咨询</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免费提供每周7天/每天24小时不间断的电话支持服务，解答院方在系统使用、维护过程中遇到的问题，及时提出解决问题的建议和操作方法。</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3、远程在线诊断和故障排除</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能帮助医院建立远程维护系统，对于电话咨询无法解决的问题，</w:t>
      </w:r>
      <w:r>
        <w:rPr>
          <w:rFonts w:ascii="Times New Roman" w:hAnsi="Times New Roman" w:eastAsia="宋体"/>
          <w:bCs/>
          <w:sz w:val="24"/>
          <w:szCs w:val="24"/>
        </w:rPr>
        <w:t>技术</w:t>
      </w:r>
      <w:r>
        <w:rPr>
          <w:rFonts w:hint="eastAsia" w:ascii="Times New Roman" w:hAnsi="Times New Roman" w:eastAsia="宋体"/>
          <w:bCs/>
          <w:sz w:val="24"/>
          <w:szCs w:val="24"/>
        </w:rPr>
        <w:t>工程师经院方授权通过电话线、宽带网等方式远程登录到院方网络系统进行的故障诊断和故障排除。</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4、重大技术问题处理</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对重大的技术问题，技术支持部门应协调组织专业技术小组讨论并解决问题，以确保系统的正常运行。</w:t>
      </w:r>
    </w:p>
    <w:p>
      <w:pPr>
        <w:spacing w:line="360" w:lineRule="auto"/>
        <w:ind w:firstLine="482" w:firstLineChars="200"/>
        <w:rPr>
          <w:rFonts w:ascii="Times New Roman" w:hAnsi="Times New Roman" w:eastAsia="宋体" w:cstheme="majorBidi"/>
          <w:b/>
          <w:bCs/>
          <w:sz w:val="24"/>
          <w:szCs w:val="24"/>
          <w:shd w:val="clear" w:color="auto" w:fill="FFFFFF"/>
        </w:rPr>
      </w:pPr>
      <w:r>
        <w:rPr>
          <w:rFonts w:hint="eastAsia" w:ascii="Times New Roman" w:hAnsi="Times New Roman" w:eastAsia="宋体" w:cstheme="majorBidi"/>
          <w:b/>
          <w:bCs/>
          <w:sz w:val="24"/>
          <w:szCs w:val="24"/>
          <w:shd w:val="clear" w:color="auto" w:fill="FFFFFF"/>
        </w:rPr>
        <w:t>五、验收</w:t>
      </w:r>
    </w:p>
    <w:p>
      <w:pPr>
        <w:spacing w:line="360" w:lineRule="auto"/>
        <w:ind w:firstLine="480" w:firstLineChars="200"/>
        <w:rPr>
          <w:rFonts w:ascii="Times New Roman" w:hAnsi="Times New Roman" w:eastAsia="宋体" w:cs="宋体"/>
          <w:bCs/>
          <w:sz w:val="24"/>
          <w:szCs w:val="24"/>
          <w:shd w:val="clear" w:color="auto" w:fill="FFFFFF"/>
        </w:rPr>
      </w:pPr>
      <w:r>
        <w:rPr>
          <w:rFonts w:hint="eastAsia" w:ascii="Times New Roman" w:hAnsi="Times New Roman" w:eastAsia="宋体" w:cs="宋体"/>
          <w:bCs/>
          <w:sz w:val="24"/>
          <w:szCs w:val="24"/>
          <w:shd w:val="clear" w:color="auto" w:fill="FFFFFF"/>
        </w:rPr>
        <w:t>验收要求：由采购人组织，服务成果需符合现有国家、江苏省及项目所在地要求、行业及地方通用标准和惯例以及采购人的设计验收标准。</w:t>
      </w:r>
    </w:p>
    <w:p>
      <w:pPr>
        <w:widowControl/>
        <w:spacing w:line="440" w:lineRule="exact"/>
        <w:ind w:firstLine="480"/>
        <w:jc w:val="left"/>
        <w:rPr>
          <w:rFonts w:ascii="Times New Roman" w:hAnsi="Times New Roman" w:eastAsia="宋体" w:cs="Times New Roman"/>
          <w:b/>
          <w:kern w:val="0"/>
          <w:sz w:val="24"/>
          <w:szCs w:val="24"/>
          <w:lang w:val="en-GB"/>
        </w:rPr>
      </w:pPr>
      <w:r>
        <w:rPr>
          <w:rFonts w:hint="eastAsia" w:ascii="Times New Roman" w:hAnsi="Times New Roman" w:eastAsia="宋体" w:cs="Times New Roman"/>
          <w:b/>
          <w:kern w:val="0"/>
          <w:sz w:val="24"/>
          <w:szCs w:val="24"/>
          <w:lang w:val="en-GB"/>
        </w:rPr>
        <w:t>六、付款方式</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合同签订后支付合同总价的30%，项目验收合格后支付合同总价的60%，验收合格满一年后支付合同总价的10%。</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以上付款均不计利息，中标人应出具由税务部门认可的正式发票。</w:t>
      </w:r>
    </w:p>
    <w:p>
      <w:pPr>
        <w:spacing w:line="360" w:lineRule="auto"/>
        <w:ind w:firstLine="707" w:firstLineChars="200"/>
        <w:jc w:val="left"/>
        <w:rPr>
          <w:rFonts w:ascii="Times New Roman" w:hAnsi="Times New Roman" w:eastAsia="宋体" w:cs="宋体"/>
          <w:bCs/>
          <w:sz w:val="24"/>
          <w:szCs w:val="24"/>
        </w:rPr>
      </w:pPr>
      <w:r>
        <w:rPr>
          <w:rFonts w:ascii="Times New Roman" w:hAnsi="Times New Roman" w:eastAsia="宋体"/>
          <w:b/>
          <w:w w:val="80"/>
          <w:sz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0" w:name="_Toc182848996"/>
      <w:bookmarkStart w:id="11" w:name="_Toc38121794"/>
      <w:bookmarkStart w:id="12" w:name="_Toc43217893"/>
      <w:bookmarkStart w:id="13" w:name="_Toc37322565"/>
      <w:bookmarkStart w:id="14" w:name="_Toc85627670"/>
      <w:r>
        <w:rPr>
          <w:rFonts w:hint="eastAsia" w:ascii="Times New Roman" w:hAnsi="Times New Roman" w:eastAsia="宋体" w:cs="宋体"/>
          <w:w w:val="80"/>
          <w:sz w:val="48"/>
          <w:szCs w:val="44"/>
        </w:rPr>
        <w:t xml:space="preserve"> 评审方法和程序</w:t>
      </w:r>
      <w:bookmarkEnd w:id="10"/>
      <w:bookmarkEnd w:id="11"/>
      <w:bookmarkEnd w:id="12"/>
      <w:bookmarkEnd w:id="13"/>
      <w:bookmarkEnd w:id="14"/>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5" w:name="_Toc363573857"/>
      <w:bookmarkEnd w:id="15"/>
      <w:r>
        <w:rPr>
          <w:rFonts w:hint="eastAsia" w:ascii="Times New Roman" w:hAnsi="Times New Roman" w:cs="宋体"/>
          <w:b/>
          <w:bCs/>
          <w:szCs w:val="24"/>
          <w:shd w:val="clear" w:color="auto" w:fill="FFFFFF"/>
        </w:rPr>
        <w:t>一、代理机构组织磋商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1、本次竞争性磋商依据《中华人民共和国政府采购法》、《政府采购竞争性磋商采购方式管理暂行办法》及有关法规成立磋商小组。磋商小组由3人以上单数组成。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rPr>
        <w:t>70%（权重）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rPr>
        <w:t>30%（权重）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四、综合评分评审标准</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（一）技术分：（70分）</w:t>
      </w:r>
    </w:p>
    <w:tbl>
      <w:tblPr>
        <w:tblStyle w:val="18"/>
        <w:tblW w:w="9854" w:type="dxa"/>
        <w:tblInd w:w="0" w:type="dxa"/>
        <w:tblLayout w:type="fixed"/>
        <w:tblCellMar>
          <w:top w:w="0" w:type="dxa"/>
          <w:left w:w="108" w:type="dxa"/>
          <w:bottom w:w="0" w:type="dxa"/>
          <w:right w:w="108" w:type="dxa"/>
        </w:tblCellMar>
      </w:tblPr>
      <w:tblGrid>
        <w:gridCol w:w="656"/>
        <w:gridCol w:w="1579"/>
        <w:gridCol w:w="6945"/>
        <w:gridCol w:w="674"/>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序号</w:t>
            </w:r>
          </w:p>
        </w:tc>
        <w:tc>
          <w:tcPr>
            <w:tcW w:w="157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评审内容</w:t>
            </w:r>
          </w:p>
        </w:tc>
        <w:tc>
          <w:tcPr>
            <w:tcW w:w="6945"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szCs w:val="21"/>
              </w:rPr>
              <w:t>评审细则</w:t>
            </w:r>
          </w:p>
        </w:tc>
        <w:tc>
          <w:tcPr>
            <w:tcW w:w="674"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Cs w:val="21"/>
              </w:rPr>
              <w:t>分值</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1</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szCs w:val="21"/>
              </w:rPr>
              <w:t>企业综合实力评价</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1.投标人有高新技术企业证书得</w:t>
            </w:r>
            <w:r>
              <w:rPr>
                <w:rFonts w:ascii="Times New Roman" w:hAnsi="Times New Roman" w:eastAsia="宋体" w:cs="仿宋"/>
                <w:szCs w:val="21"/>
              </w:rPr>
              <w:t>2</w:t>
            </w:r>
            <w:r>
              <w:rPr>
                <w:rFonts w:hint="eastAsia" w:ascii="Times New Roman" w:hAnsi="Times New Roman" w:eastAsia="宋体" w:cs="仿宋"/>
                <w:szCs w:val="21"/>
              </w:rPr>
              <w:t>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2.投标人有软件企业证书得</w:t>
            </w:r>
            <w:r>
              <w:rPr>
                <w:rFonts w:ascii="Times New Roman" w:hAnsi="Times New Roman" w:eastAsia="宋体" w:cs="仿宋"/>
                <w:szCs w:val="21"/>
              </w:rPr>
              <w:t>2</w:t>
            </w:r>
            <w:r>
              <w:rPr>
                <w:rFonts w:hint="eastAsia" w:ascii="Times New Roman" w:hAnsi="Times New Roman" w:eastAsia="宋体" w:cs="仿宋"/>
                <w:szCs w:val="21"/>
              </w:rPr>
              <w:t>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3.投标人有ISO9001质量体系认证证书得2分，没有不得分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4.投标人具有企业资信等级AAA，得2分；AA级，得1分，否则不得分；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5.投标人有信息安全管理体系认证证书得2分，没有不得分；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6.投标人有信息技术服务管理体系认证证书得2分，没有不得分；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7.投标人有软件成熟度3级（C</w:t>
            </w:r>
            <w:r>
              <w:rPr>
                <w:rFonts w:ascii="Times New Roman" w:hAnsi="Times New Roman" w:eastAsia="宋体" w:cs="仿宋"/>
                <w:szCs w:val="21"/>
              </w:rPr>
              <w:t>MMMI3）</w:t>
            </w:r>
            <w:r>
              <w:rPr>
                <w:rFonts w:hint="eastAsia" w:ascii="Times New Roman" w:hAnsi="Times New Roman" w:eastAsia="宋体" w:cs="仿宋"/>
                <w:szCs w:val="21"/>
              </w:rPr>
              <w:t>认证证书得2分，没有不得分；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8.投标人有环境管理体系认证证书得</w:t>
            </w:r>
            <w:r>
              <w:rPr>
                <w:rFonts w:ascii="Times New Roman" w:hAnsi="Times New Roman" w:eastAsia="宋体" w:cs="仿宋"/>
                <w:szCs w:val="21"/>
              </w:rPr>
              <w:t>2</w:t>
            </w:r>
            <w:r>
              <w:rPr>
                <w:rFonts w:hint="eastAsia" w:ascii="Times New Roman" w:hAnsi="Times New Roman" w:eastAsia="宋体" w:cs="仿宋"/>
                <w:szCs w:val="21"/>
              </w:rPr>
              <w:t>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9.投标人从事医院信息化建设，提供与医院信息化相关的软件产品著作权证书，一个得1分，最多得4分，没有不得分。</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10.投标人提供艾滋病专项管理系统著作权证书得5分，没有不得分。</w:t>
            </w:r>
          </w:p>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Cs w:val="21"/>
              </w:rPr>
              <w:t>注：投标文件中提供相关证书复印件，原件备查。</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25</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Cs w:val="21"/>
              </w:rPr>
            </w:pPr>
            <w:r>
              <w:rPr>
                <w:rFonts w:hint="eastAsia" w:ascii="Times New Roman" w:hAnsi="Times New Roman" w:eastAsia="宋体" w:cs="Times New Roman"/>
                <w:szCs w:val="21"/>
              </w:rPr>
              <w:t>成功案例评价</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自2018年1月1日以来，供应商具有艾滋病专项管理系统建设的成功案例（提供合同复印件、原件备查），有一个得5分，没有不得分。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3</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cs="Times New Roman"/>
                <w:szCs w:val="21"/>
              </w:rPr>
              <w:t>技术评价</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根据投标人对招标内容中的技术要求响应状况综合打分。评委根据投标文件中的技术响应情况进行核对，所有技术指标完全响应或优于招标文件要求的得满分30分，有一项不符合扣1.5分，扣完为止。</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 投标文件技术响应需提供相关功能截图，不能提供功能截图的不得分。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 w:val="20"/>
                <w:szCs w:val="21"/>
              </w:rPr>
            </w:pPr>
            <w:r>
              <w:rPr>
                <w:rFonts w:hint="eastAsia" w:ascii="Times New Roman" w:hAnsi="Times New Roman" w:eastAsia="宋体" w:cs="仿宋"/>
                <w:szCs w:val="21"/>
              </w:rPr>
              <w:t>30</w:t>
            </w:r>
          </w:p>
        </w:tc>
      </w:tr>
      <w:tr>
        <w:tblPrEx>
          <w:tblCellMar>
            <w:top w:w="0" w:type="dxa"/>
            <w:left w:w="108" w:type="dxa"/>
            <w:bottom w:w="0" w:type="dxa"/>
            <w:right w:w="108" w:type="dxa"/>
          </w:tblCellMar>
        </w:tblPrEx>
        <w:trPr>
          <w:trHeight w:val="471" w:hRule="atLeast"/>
        </w:trPr>
        <w:tc>
          <w:tcPr>
            <w:tcW w:w="656" w:type="dxa"/>
            <w:tcBorders>
              <w:top w:val="nil"/>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4</w:t>
            </w:r>
          </w:p>
        </w:tc>
        <w:tc>
          <w:tcPr>
            <w:tcW w:w="1579" w:type="dxa"/>
            <w:tcBorders>
              <w:top w:val="nil"/>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cs="Times New Roman"/>
                <w:szCs w:val="21"/>
                <w:highlight w:val="red"/>
              </w:rPr>
            </w:pPr>
            <w:r>
              <w:rPr>
                <w:rFonts w:hint="eastAsia" w:ascii="Times New Roman" w:hAnsi="Times New Roman" w:eastAsia="宋体" w:cs="Times New Roman"/>
                <w:szCs w:val="21"/>
              </w:rPr>
              <w:t>项目实施方案评价</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highlight w:val="red"/>
              </w:rPr>
            </w:pPr>
            <w:r>
              <w:rPr>
                <w:rFonts w:hint="eastAsia" w:ascii="Times New Roman" w:hAnsi="Times New Roman" w:eastAsia="宋体" w:cs="仿宋"/>
                <w:szCs w:val="21"/>
              </w:rPr>
              <w:t>根据招标文件中的功能需求，是否有完整的实施方案，涵盖系统需求分析、测试、试运行、验收、进度安排等，其项目管理制度及管理方案是否具有科学性、合理性和可执行性。酌情分档给分，最优者得5分，良好者得3分，一般者得1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Cs w:val="21"/>
                <w:highlight w:val="red"/>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471" w:hRule="atLeast"/>
        </w:trPr>
        <w:tc>
          <w:tcPr>
            <w:tcW w:w="656" w:type="dxa"/>
            <w:tcBorders>
              <w:top w:val="nil"/>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5</w:t>
            </w:r>
          </w:p>
        </w:tc>
        <w:tc>
          <w:tcPr>
            <w:tcW w:w="1579" w:type="dxa"/>
            <w:tcBorders>
              <w:top w:val="nil"/>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cs="Times New Roman"/>
                <w:szCs w:val="21"/>
              </w:rPr>
            </w:pPr>
            <w:r>
              <w:rPr>
                <w:rFonts w:hint="eastAsia" w:ascii="Times New Roman" w:hAnsi="Times New Roman" w:eastAsia="宋体" w:cs="Times New Roman"/>
                <w:szCs w:val="21"/>
              </w:rPr>
              <w:t>售后及培训方案评价</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1.根据投标人针对招标文件服务要求所做的承诺，逐条响应的得3分。如有一条未完全响应或服务承诺不完整或表述不清的扣0.5分，扣完为止。</w:t>
            </w:r>
          </w:p>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2.根据投标人的培训方案（培训计划、培训课程、授课人员、培训对象与人数、培训地点、培训时间等），优者得2分，良者得1分，一般者不得分。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Cs w:val="21"/>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260"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合计</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70</w:t>
            </w:r>
          </w:p>
        </w:tc>
      </w:tr>
    </w:tbl>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注：以上证明材料提供原件复印件并将原件带至开标现场备查，未携带原件或因携带原件不全所引起的后果由投标供应商自行承担。</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（二）报价分：（30分）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rPr>
        <w:t>本次项目最高限价：18</w:t>
      </w:r>
      <w:r>
        <w:rPr>
          <w:rFonts w:hint="eastAsia" w:ascii="Times New Roman" w:hAnsi="Times New Roman" w:eastAsia="宋体" w:cs="Arial"/>
          <w:b/>
          <w:bCs/>
          <w:kern w:val="0"/>
          <w:sz w:val="24"/>
        </w:rPr>
        <w:t>万元</w:t>
      </w:r>
      <w:r>
        <w:rPr>
          <w:rFonts w:hint="eastAsia" w:ascii="Times New Roman" w:hAnsi="Times New Roman" w:eastAsia="宋体" w:cs="宋体"/>
          <w:b/>
          <w:sz w:val="24"/>
          <w:szCs w:val="24"/>
        </w:rPr>
        <w:t>，超过限价作无效标处理</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2、满足磋商文件要求且最后报价最低的供应商的价格为磋商基准价，其报价分为满分。其他供应商的报价分统一按照下列公式计算：</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报价分 =（磋商基准价/最后磋商报价）×30%×100</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1、未按规定时间、数额、规定形式提交磋商保证金的；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2、响应文件未按规定要求装订、密封、签署、盖章及主要资料不齐全的；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3、响应文件的资料有虚报或者谎报的；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4、响应文件中资格审查文件及技术响应文件出现磋商报价的内容；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5、不具备磋商文件规定的资格要求的；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6、响应文件有重大漏项或重大不合理的；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7、项目技术、方案不满足项目需求中的要求，有重大偏离或保留的；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8、磋商响应报价超出项目预算的；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9、被认定为低于成本报价磋商竞标的；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10、供应商的磋商报价高于自己前一轮的；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11、不符合法律、法规和磋商文件中规定的其他实质性响应要求的；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12、磋商小组依据法律法规可以认定为无效投标的其他情况；</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13、未按要求提供样品的</w:t>
      </w:r>
      <w:r>
        <w:rPr>
          <w:rFonts w:hint="eastAsia" w:ascii="Times New Roman" w:hAnsi="Times New Roman" w:eastAsia="宋体" w:cs="宋体"/>
          <w:color w:val="000000" w:themeColor="text1"/>
          <w:sz w:val="24"/>
          <w:szCs w:val="24"/>
        </w:rPr>
        <w:t>（如有）</w:t>
      </w:r>
      <w:r>
        <w:rPr>
          <w:rFonts w:hint="eastAsia" w:ascii="Times New Roman" w:hAnsi="Times New Roman" w:eastAsia="宋体" w:cs="宋体"/>
          <w:sz w:val="24"/>
          <w:szCs w:val="24"/>
        </w:rPr>
        <w:t>。</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2、因情况变化，不再符合规定的竞争性磋商采购方式所适用情形的；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成交供应商在《成交通知书》发出15日内须按照磋商文件确定的事项签订政府采购合同。合同一式四份，采购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两份、供应商两份。所签合同不得对磋商文件作实质性修改。采购单位不得向成交供应商提出不合理的要求作为签订合同的条件，不得与成交供应商私下订立背离磋商文件实质性内容的协议。 </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 xml:space="preserve"> 二、采购单位按合同约定积极配合中标人履约，中标人履约到位后，请以书面形式向采购单位提出验收申请，采购</w:t>
      </w:r>
      <w:r>
        <w:rPr>
          <w:rFonts w:hint="eastAsia" w:ascii="Times New Roman" w:hAnsi="Times New Roman" w:eastAsia="宋体" w:cs="宋体"/>
          <w:kern w:val="0"/>
          <w:sz w:val="24"/>
          <w:szCs w:val="24"/>
        </w:rPr>
        <w:t>单位</w:t>
      </w:r>
      <w:r>
        <w:rPr>
          <w:rFonts w:hint="eastAsia" w:ascii="Times New Roman" w:hAnsi="Times New Roman" w:eastAsia="宋体" w:cs="宋体"/>
          <w:sz w:val="24"/>
        </w:rPr>
        <w:t>接到申请后原则上在5个工作日内及时组织相关专业技术人员，必要时邀请质检等部门共同参与验收，并出具验收报告，验收合格的原则上5个工作日内支付相应款项。</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五、按政府采购合同</w:t>
      </w:r>
      <w:r>
        <w:rPr>
          <w:rFonts w:hint="eastAsia" w:ascii="Times New Roman" w:hAnsi="Times New Roman" w:eastAsia="宋体" w:cs="宋体"/>
          <w:kern w:val="0"/>
          <w:sz w:val="24"/>
        </w:rPr>
        <w:t>约定</w:t>
      </w:r>
      <w:r>
        <w:rPr>
          <w:rFonts w:hint="eastAsia" w:ascii="Times New Roman" w:hAnsi="Times New Roman" w:eastAsia="宋体" w:cs="宋体"/>
          <w:sz w:val="24"/>
        </w:rPr>
        <w:t>支付的货款，实行财政国库直接支付。</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六、不响应付款方式的，视同响应文件无效，按无效响应文件处理。</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七、付款方式详见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spacing w:line="360" w:lineRule="auto"/>
        <w:ind w:firstLine="480" w:firstLineChars="200"/>
        <w:rPr>
          <w:rFonts w:ascii="Times New Roman" w:hAnsi="Times New Roman" w:eastAsia="宋体" w:cs="宋体"/>
          <w:b/>
          <w:iCs/>
          <w:color w:val="000000" w:themeColor="text1"/>
          <w:w w:val="80"/>
          <w:sz w:val="44"/>
          <w:szCs w:val="44"/>
        </w:rPr>
      </w:pPr>
      <w:r>
        <w:rPr>
          <w:rFonts w:hint="eastAsia" w:ascii="Times New Roman" w:hAnsi="Times New Roman" w:eastAsia="宋体" w:cs="宋体"/>
          <w:sz w:val="24"/>
        </w:rPr>
        <w:t>八、以上项目款的支付不计息。</w:t>
      </w:r>
    </w:p>
    <w:p>
      <w:pPr>
        <w:rPr>
          <w:rFonts w:ascii="Times New Roman" w:hAnsi="Times New Roman" w:eastAsia="宋体"/>
          <w:w w:val="80"/>
          <w:kern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widowControl/>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1、提供供应商的《营业执照》（副本）及《税务登记证》（副本）（或提供新版“三证合一”具有统一社会信用代码的营业执照）原件的复印件（须加盖公章）；</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如为法定代表人参加磋商的，必须提供法定代表人身份证明及本人身份证原件的复印件。如为被委托授权人参加投标的，还须提供法人代表签名或盖章的授权委托书及被委托授权人身份证的这两项原件的复印件（须加盖公章）（</w:t>
      </w:r>
      <w:r>
        <w:rPr>
          <w:rFonts w:hint="eastAsia" w:ascii="Times New Roman" w:hAnsi="Times New Roman" w:eastAsia="宋体" w:cs="宋体"/>
          <w:sz w:val="24"/>
          <w:szCs w:val="24"/>
        </w:rPr>
        <w:t>格式参见附件）</w:t>
      </w:r>
      <w:r>
        <w:rPr>
          <w:rFonts w:hint="eastAsia"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3、投标供应商符合《中华人民共和国政府采购法》第二十二条规定条件的承诺函（格式参见附件）；</w:t>
      </w:r>
      <w:r>
        <w:rPr>
          <w:rFonts w:ascii="Times New Roman" w:hAnsi="Times New Roman" w:eastAsia="宋体"/>
          <w:sz w:val="24"/>
          <w:szCs w:val="24"/>
        </w:rPr>
        <w:t xml:space="preserve"> </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4、投标供应商须提供诚信承诺书（</w:t>
      </w:r>
      <w:r>
        <w:rPr>
          <w:rFonts w:hint="eastAsia" w:ascii="Times New Roman" w:hAnsi="Times New Roman" w:eastAsia="宋体" w:cs="宋体"/>
          <w:sz w:val="24"/>
          <w:szCs w:val="24"/>
        </w:rPr>
        <w:t>格式参见附件）；</w:t>
      </w:r>
    </w:p>
    <w:p>
      <w:pPr>
        <w:spacing w:line="360" w:lineRule="auto"/>
        <w:ind w:firstLine="482" w:firstLineChars="200"/>
        <w:jc w:val="left"/>
        <w:textAlignment w:val="baseline"/>
        <w:rPr>
          <w:rFonts w:ascii="Times New Roman" w:hAnsi="Times New Roman" w:eastAsia="宋体"/>
          <w:b/>
          <w:sz w:val="24"/>
          <w:szCs w:val="24"/>
        </w:rPr>
      </w:pPr>
      <w:r>
        <w:rPr>
          <w:rFonts w:hint="eastAsia" w:ascii="Times New Roman" w:hAnsi="Times New Roman" w:eastAsia="宋体"/>
          <w:b/>
          <w:sz w:val="24"/>
          <w:szCs w:val="24"/>
        </w:rPr>
        <w:t>以上材料如为复印件均需加盖投标单位公章。</w:t>
      </w:r>
    </w:p>
    <w:p>
      <w:pPr>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二、技术响应文件（单独密封）：</w:t>
      </w:r>
    </w:p>
    <w:p>
      <w:pPr>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1、磋商文件中评分标准所涉及的事项需提供的所有资料；</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2、磋商文件中未涉及的事项，投标供应商认为需要提交的其他资料。</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1、竞争性磋商响应函（格式参见附件）；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2、磋商响应报价表（格式参见附件）；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3、磋商响应报价明细表（格式自拟）；</w:t>
      </w:r>
    </w:p>
    <w:p>
      <w:pPr>
        <w:spacing w:line="360" w:lineRule="auto"/>
        <w:ind w:firstLine="480" w:firstLineChars="200"/>
        <w:textAlignment w:val="baseline"/>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spacing w:line="360" w:lineRule="auto"/>
        <w:jc w:val="center"/>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rPr>
        <w:t>南通市第三人民医院艾滋病精细化管理系统采购项目</w:t>
      </w:r>
      <w:r>
        <w:rPr>
          <w:rFonts w:hint="eastAsia" w:ascii="Times New Roman" w:hAnsi="Times New Roman" w:eastAsia="宋体" w:cs="宋体"/>
          <w:sz w:val="24"/>
          <w:szCs w:val="24"/>
        </w:rPr>
        <w:t>（竞争性磋商项目名称)项目的磋商活动，全权代表我公司处理该磋商活动的有关事宜。</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rPr>
        <w:t>南通市第三人民医院艾滋病精细化管理系统采购项目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spacing w:line="360" w:lineRule="auto"/>
        <w:ind w:left="1" w:firstLine="480" w:firstLineChars="200"/>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widowControl/>
        <w:spacing w:line="360" w:lineRule="auto"/>
        <w:jc w:val="left"/>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3、投标人符合《中华人民共和国政府采购法》第二十二条规定条件的承诺函</w:t>
      </w:r>
    </w:p>
    <w:p>
      <w:pPr>
        <w:snapToGrid w:val="0"/>
        <w:spacing w:line="360" w:lineRule="auto"/>
        <w:rPr>
          <w:rFonts w:ascii="Times New Roman" w:hAnsi="Times New Roman" w:eastAsia="宋体" w:cs="Times New Roman"/>
          <w:sz w:val="24"/>
          <w:szCs w:val="21"/>
          <w:u w:val="single"/>
        </w:rPr>
      </w:pPr>
    </w:p>
    <w:p>
      <w:pPr>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rPr>
        <w:t>南通市第三人民医院</w:t>
      </w:r>
      <w:r>
        <w:rPr>
          <w:rFonts w:ascii="Times New Roman" w:hAnsi="Times New Roman" w:eastAsia="宋体" w:cs="Times New Roman"/>
          <w:bCs/>
          <w:sz w:val="24"/>
          <w:szCs w:val="21"/>
        </w:rPr>
        <w:t>：</w:t>
      </w:r>
    </w:p>
    <w:p>
      <w:pPr>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spacing w:line="400" w:lineRule="exact"/>
        <w:rPr>
          <w:rFonts w:ascii="Times New Roman" w:hAnsi="Times New Roman" w:eastAsia="宋体" w:cs="Times New Roman"/>
          <w:sz w:val="28"/>
          <w:szCs w:val="20"/>
        </w:rPr>
      </w:pPr>
    </w:p>
    <w:p>
      <w:pPr>
        <w:spacing w:line="480" w:lineRule="auto"/>
        <w:ind w:firstLine="480" w:firstLineChars="200"/>
        <w:jc w:val="right"/>
        <w:rPr>
          <w:rFonts w:ascii="Times New Roman" w:hAnsi="Times New Roman" w:eastAsia="宋体" w:cs="宋体"/>
          <w:sz w:val="24"/>
          <w:szCs w:val="24"/>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spacing w:line="360" w:lineRule="auto"/>
        <w:ind w:firstLine="560" w:firstLineChars="200"/>
        <w:rPr>
          <w:rFonts w:ascii="Times New Roman" w:hAnsi="Times New Roman" w:eastAsia="宋体" w:cs="宋体"/>
          <w:bCs/>
          <w:sz w:val="28"/>
          <w:szCs w:val="28"/>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jc w:val="center"/>
        <w:rPr>
          <w:rFonts w:ascii="Times New Roman" w:hAnsi="Times New Roman" w:eastAsia="宋体"/>
          <w:b/>
          <w:sz w:val="24"/>
          <w:szCs w:val="24"/>
        </w:rPr>
      </w:pPr>
      <w:r>
        <w:rPr>
          <w:rFonts w:hint="eastAsia" w:ascii="Times New Roman" w:hAnsi="Times New Roman" w:eastAsia="宋体"/>
          <w:b/>
          <w:sz w:val="24"/>
          <w:szCs w:val="24"/>
        </w:rPr>
        <w:t>5、技术商务条款响应正负偏离表</w:t>
      </w:r>
    </w:p>
    <w:p>
      <w:pPr>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5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953"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ind w:firstLine="480"/>
              <w:textAlignment w:val="baseline"/>
              <w:rPr>
                <w:rFonts w:ascii="Times New Roman" w:hAnsi="Times New Roman" w:eastAsia="宋体" w:cs="宋体"/>
                <w:sz w:val="24"/>
                <w:szCs w:val="24"/>
              </w:rPr>
            </w:pP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bl>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1、响应人提交的响应文件中与磋商文件第三部分“项目需求说明”中的商务、技术部分的要求有不同时，应逐条填列在偏离表中，否则将认为响应人接受磋商文件的所有要求。完全响应部分不填到。</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2、“偏离说明”一栏选择“正偏离”、“负偏离”进行填写。正偏离的确认和负偏离的是否相应磋商文件，经三分之二评委认定。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spacing w:line="400" w:lineRule="exact"/>
        <w:rPr>
          <w:rFonts w:ascii="Times New Roman" w:hAnsi="Times New Roman" w:eastAsia="宋体" w:cs="仿宋"/>
          <w:sz w:val="28"/>
          <w:szCs w:val="28"/>
        </w:rPr>
      </w:pPr>
    </w:p>
    <w:p>
      <w:pPr>
        <w:widowControl/>
        <w:jc w:val="center"/>
        <w:rPr>
          <w:rFonts w:ascii="Times New Roman" w:hAnsi="Times New Roman" w:eastAsia="宋体" w:cs="宋体"/>
          <w:b/>
          <w:bCs/>
          <w:sz w:val="24"/>
          <w:szCs w:val="24"/>
        </w:rPr>
      </w:pPr>
    </w:p>
    <w:p>
      <w:pPr>
        <w:widowControl/>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widowControl/>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6、竞争性磋商响应函</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Times New Roman" w:hAnsi="Times New Roman" w:eastAsia="宋体"/>
          <w:sz w:val="24"/>
          <w:szCs w:val="24"/>
        </w:rPr>
      </w:pPr>
    </w:p>
    <w:p>
      <w:pPr>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widowControl/>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7、磋商响应报价表</w:t>
      </w:r>
    </w:p>
    <w:p>
      <w:pPr>
        <w:spacing w:line="360" w:lineRule="auto"/>
        <w:ind w:firstLine="241" w:firstLineChars="100"/>
        <w:textAlignment w:val="baseline"/>
        <w:rPr>
          <w:rFonts w:ascii="Times New Roman" w:hAnsi="Times New Roman" w:eastAsia="宋体"/>
          <w:b/>
          <w:sz w:val="24"/>
          <w:szCs w:val="24"/>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rPr>
        <w:t>南通市第三人民医院艾滋病精细化管理系统采购项目</w:t>
      </w:r>
    </w:p>
    <w:tbl>
      <w:tblPr>
        <w:tblStyle w:val="18"/>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ascii="Times New Roman" w:hAnsi="Times New Roman" w:eastAsia="宋体"/>
                <w:b/>
                <w:bCs/>
                <w:sz w:val="20"/>
                <w:szCs w:val="21"/>
              </w:rPr>
            </w:pPr>
            <w:r>
              <w:rPr>
                <w:rFonts w:hint="eastAsia" w:ascii="Times New Roman" w:hAnsi="Times New Roman" w:eastAsia="宋体"/>
                <w:b/>
                <w:sz w:val="22"/>
                <w:szCs w:val="24"/>
              </w:rPr>
              <w:t>南通市第三人民医院艾滋病精细化管理系统采购项目</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bl>
    <w:p>
      <w:pPr>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textAlignment w:val="baseline"/>
        <w:rPr>
          <w:rFonts w:ascii="Times New Roman" w:hAnsi="Times New Roman" w:eastAsia="宋体"/>
          <w:sz w:val="20"/>
        </w:rPr>
      </w:pPr>
    </w:p>
    <w:p>
      <w:pPr>
        <w:pStyle w:val="9"/>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9"/>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eastAsia="宋体" w:cs="宋体"/>
          <w:b/>
          <w:bCs/>
          <w:sz w:val="24"/>
          <w:szCs w:val="24"/>
        </w:rPr>
      </w:pP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w:t>
      </w:r>
      <w:r>
        <w:rPr>
          <w:rFonts w:hint="eastAsia" w:ascii="Times New Roman" w:hAnsi="Times New Roman" w:eastAsia="宋体" w:cs="宋体"/>
          <w:kern w:val="0"/>
          <w:sz w:val="24"/>
          <w:szCs w:val="24"/>
        </w:rPr>
        <w:t>采购货物或产品的材料费、安装调试、运输到指定地点的装运费用（含装卸力资）、相关安装辅助材料费、成品保护费、竣工测试费、验收费、检测费、培训费、售后服务计划及购买、代理服务费、税金、政策性文件规定及合同包含的所有风险、责任等所有预见和不可预见的费用。即招标物交付使用前的所有费用以及免保期内的服务费用等包含响应招标文件采购要求的所有费用；在安装、调试、验收过程中，如发现有漏项、缺件，部件不符，卖方应无条件、无偿补发，由此所发生的费用中标人自行承担。同时，报价也应包含合同履行过程中可能发生的一切风险。</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rPr>
        <w:t>第二次报价将在开标现场填写，响应文件密封提交时只需填写磋商报价总计（首次）。报价明细表总价金额应当与首次报价表金额相等，且第二次报价时，磋商响应报价明细表按同比例下浮。</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numPr>
          <w:ilvl w:val="0"/>
          <w:numId w:val="1"/>
        </w:num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磋商响应报价明细表</w:t>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（格式自拟）</w:t>
      </w:r>
    </w:p>
    <w:p>
      <w:pPr>
        <w:pStyle w:val="2"/>
        <w:ind w:left="0" w:leftChars="0" w:firstLine="0" w:firstLineChars="0"/>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CF87C"/>
    <w:multiLevelType w:val="singleLevel"/>
    <w:tmpl w:val="167CF87C"/>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5NzRkNjBkNGM1MDZjMGQ3YmZiMTBjOGQ5ZTk0YjAifQ=="/>
  </w:docVars>
  <w:rsids>
    <w:rsidRoot w:val="0042773D"/>
    <w:rsid w:val="00005621"/>
    <w:rsid w:val="000105F3"/>
    <w:rsid w:val="000116CF"/>
    <w:rsid w:val="00011718"/>
    <w:rsid w:val="00030656"/>
    <w:rsid w:val="00042E68"/>
    <w:rsid w:val="00045AD0"/>
    <w:rsid w:val="00045B8C"/>
    <w:rsid w:val="00062F66"/>
    <w:rsid w:val="000633EC"/>
    <w:rsid w:val="00066F50"/>
    <w:rsid w:val="00076D60"/>
    <w:rsid w:val="0009698F"/>
    <w:rsid w:val="000B6C99"/>
    <w:rsid w:val="000D3147"/>
    <w:rsid w:val="000E2EB7"/>
    <w:rsid w:val="000F0E95"/>
    <w:rsid w:val="000F3E59"/>
    <w:rsid w:val="00111B21"/>
    <w:rsid w:val="0015616E"/>
    <w:rsid w:val="001656E3"/>
    <w:rsid w:val="0018047F"/>
    <w:rsid w:val="0019545C"/>
    <w:rsid w:val="0019651E"/>
    <w:rsid w:val="001B56D8"/>
    <w:rsid w:val="001B7B5D"/>
    <w:rsid w:val="001E6C58"/>
    <w:rsid w:val="001F4D5A"/>
    <w:rsid w:val="002034D1"/>
    <w:rsid w:val="00203F3E"/>
    <w:rsid w:val="00205384"/>
    <w:rsid w:val="002063EF"/>
    <w:rsid w:val="002219C9"/>
    <w:rsid w:val="00231ACD"/>
    <w:rsid w:val="00234A6B"/>
    <w:rsid w:val="002375BD"/>
    <w:rsid w:val="00240734"/>
    <w:rsid w:val="002468A6"/>
    <w:rsid w:val="002707F5"/>
    <w:rsid w:val="00285BC2"/>
    <w:rsid w:val="00286641"/>
    <w:rsid w:val="002A1341"/>
    <w:rsid w:val="002B6511"/>
    <w:rsid w:val="002C01E3"/>
    <w:rsid w:val="002E1BA8"/>
    <w:rsid w:val="002E40A5"/>
    <w:rsid w:val="002F6EFE"/>
    <w:rsid w:val="002F7C52"/>
    <w:rsid w:val="002F7F56"/>
    <w:rsid w:val="00331324"/>
    <w:rsid w:val="00362918"/>
    <w:rsid w:val="00364AB1"/>
    <w:rsid w:val="00370501"/>
    <w:rsid w:val="00384F42"/>
    <w:rsid w:val="003A3B0E"/>
    <w:rsid w:val="003A55F0"/>
    <w:rsid w:val="003B571B"/>
    <w:rsid w:val="003C18C2"/>
    <w:rsid w:val="003C3D48"/>
    <w:rsid w:val="003C6028"/>
    <w:rsid w:val="003D4871"/>
    <w:rsid w:val="003D6A6B"/>
    <w:rsid w:val="003E584E"/>
    <w:rsid w:val="00403F33"/>
    <w:rsid w:val="004069DE"/>
    <w:rsid w:val="00414EA1"/>
    <w:rsid w:val="004254FC"/>
    <w:rsid w:val="0042773D"/>
    <w:rsid w:val="004413CE"/>
    <w:rsid w:val="00447FFB"/>
    <w:rsid w:val="004527FC"/>
    <w:rsid w:val="00454AC9"/>
    <w:rsid w:val="00475EA1"/>
    <w:rsid w:val="004867BB"/>
    <w:rsid w:val="004A2D24"/>
    <w:rsid w:val="004A2F36"/>
    <w:rsid w:val="004B122F"/>
    <w:rsid w:val="004B496E"/>
    <w:rsid w:val="004D117D"/>
    <w:rsid w:val="004D5E42"/>
    <w:rsid w:val="005078ED"/>
    <w:rsid w:val="00576289"/>
    <w:rsid w:val="005841A4"/>
    <w:rsid w:val="005A31EB"/>
    <w:rsid w:val="005C3634"/>
    <w:rsid w:val="005C5B61"/>
    <w:rsid w:val="005D1282"/>
    <w:rsid w:val="005D73C6"/>
    <w:rsid w:val="00603E35"/>
    <w:rsid w:val="00631831"/>
    <w:rsid w:val="00633A81"/>
    <w:rsid w:val="00645528"/>
    <w:rsid w:val="006902A0"/>
    <w:rsid w:val="00693857"/>
    <w:rsid w:val="00694D70"/>
    <w:rsid w:val="00695A9F"/>
    <w:rsid w:val="006A5E64"/>
    <w:rsid w:val="006B4338"/>
    <w:rsid w:val="006C59BF"/>
    <w:rsid w:val="006D3A4D"/>
    <w:rsid w:val="006D5C68"/>
    <w:rsid w:val="00734530"/>
    <w:rsid w:val="00744D06"/>
    <w:rsid w:val="0077451C"/>
    <w:rsid w:val="00785C7E"/>
    <w:rsid w:val="007B5ED6"/>
    <w:rsid w:val="007C52C4"/>
    <w:rsid w:val="007D447F"/>
    <w:rsid w:val="007D4AD9"/>
    <w:rsid w:val="007D501E"/>
    <w:rsid w:val="007D7533"/>
    <w:rsid w:val="007E4882"/>
    <w:rsid w:val="007F782E"/>
    <w:rsid w:val="0082282D"/>
    <w:rsid w:val="008324DA"/>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17AE"/>
    <w:rsid w:val="0094400C"/>
    <w:rsid w:val="00951E5B"/>
    <w:rsid w:val="00956F45"/>
    <w:rsid w:val="00967875"/>
    <w:rsid w:val="00975BB0"/>
    <w:rsid w:val="009823DF"/>
    <w:rsid w:val="009948AB"/>
    <w:rsid w:val="0099591F"/>
    <w:rsid w:val="009A4AAF"/>
    <w:rsid w:val="009D17F8"/>
    <w:rsid w:val="009F3280"/>
    <w:rsid w:val="00A00280"/>
    <w:rsid w:val="00A46B05"/>
    <w:rsid w:val="00A775B1"/>
    <w:rsid w:val="00AA53A1"/>
    <w:rsid w:val="00AB3858"/>
    <w:rsid w:val="00AB397A"/>
    <w:rsid w:val="00AC1356"/>
    <w:rsid w:val="00AC167D"/>
    <w:rsid w:val="00AD0E54"/>
    <w:rsid w:val="00AF67B7"/>
    <w:rsid w:val="00B1621D"/>
    <w:rsid w:val="00B24F83"/>
    <w:rsid w:val="00B36A38"/>
    <w:rsid w:val="00B50963"/>
    <w:rsid w:val="00B5131F"/>
    <w:rsid w:val="00B523EC"/>
    <w:rsid w:val="00B54D9A"/>
    <w:rsid w:val="00B76D85"/>
    <w:rsid w:val="00B97CDB"/>
    <w:rsid w:val="00BA0DE5"/>
    <w:rsid w:val="00BA502C"/>
    <w:rsid w:val="00BB48A3"/>
    <w:rsid w:val="00BC3246"/>
    <w:rsid w:val="00C02F17"/>
    <w:rsid w:val="00C047C7"/>
    <w:rsid w:val="00C74551"/>
    <w:rsid w:val="00C87961"/>
    <w:rsid w:val="00C96A7A"/>
    <w:rsid w:val="00CA125B"/>
    <w:rsid w:val="00CA3A6E"/>
    <w:rsid w:val="00CB2559"/>
    <w:rsid w:val="00CC7436"/>
    <w:rsid w:val="00CD1E8F"/>
    <w:rsid w:val="00CF0C61"/>
    <w:rsid w:val="00CF19FE"/>
    <w:rsid w:val="00CF4BAE"/>
    <w:rsid w:val="00D1283C"/>
    <w:rsid w:val="00D160B0"/>
    <w:rsid w:val="00D31ACC"/>
    <w:rsid w:val="00D520F7"/>
    <w:rsid w:val="00D56C3B"/>
    <w:rsid w:val="00D66756"/>
    <w:rsid w:val="00D82A58"/>
    <w:rsid w:val="00D8401B"/>
    <w:rsid w:val="00D977B3"/>
    <w:rsid w:val="00DB6573"/>
    <w:rsid w:val="00DC04E7"/>
    <w:rsid w:val="00DC24D0"/>
    <w:rsid w:val="00DC7ABA"/>
    <w:rsid w:val="00E03D8E"/>
    <w:rsid w:val="00E07EEE"/>
    <w:rsid w:val="00E86D63"/>
    <w:rsid w:val="00E90F14"/>
    <w:rsid w:val="00E91EDF"/>
    <w:rsid w:val="00F04F82"/>
    <w:rsid w:val="00F1322E"/>
    <w:rsid w:val="00F16606"/>
    <w:rsid w:val="00F357CB"/>
    <w:rsid w:val="00F5137C"/>
    <w:rsid w:val="00F63B31"/>
    <w:rsid w:val="00F825EC"/>
    <w:rsid w:val="00FA0374"/>
    <w:rsid w:val="00FB003F"/>
    <w:rsid w:val="00FC398C"/>
    <w:rsid w:val="00FD532E"/>
    <w:rsid w:val="00FD737A"/>
    <w:rsid w:val="00FE35B6"/>
    <w:rsid w:val="15F6320B"/>
    <w:rsid w:val="322E658F"/>
    <w:rsid w:val="3329796B"/>
    <w:rsid w:val="34700A2F"/>
    <w:rsid w:val="411779E3"/>
    <w:rsid w:val="4AC91B6E"/>
    <w:rsid w:val="712D5BF6"/>
    <w:rsid w:val="72BF1288"/>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5">
    <w:name w:val="heading 2"/>
    <w:basedOn w:val="1"/>
    <w:next w:val="1"/>
    <w:link w:val="27"/>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Normal Indent"/>
    <w:basedOn w:val="1"/>
    <w:link w:val="25"/>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index 4"/>
    <w:basedOn w:val="1"/>
    <w:next w:val="1"/>
    <w:qFormat/>
    <w:uiPriority w:val="0"/>
    <w:pPr>
      <w:ind w:left="1260"/>
    </w:pPr>
    <w:rPr>
      <w:rFonts w:ascii="Calibri" w:hAnsi="Calibri" w:eastAsia="宋体" w:cs="Times New Roman"/>
      <w:szCs w:val="20"/>
    </w:rPr>
  </w:style>
  <w:style w:type="paragraph" w:styleId="10">
    <w:name w:val="toc 3"/>
    <w:basedOn w:val="1"/>
    <w:next w:val="1"/>
    <w:qFormat/>
    <w:uiPriority w:val="0"/>
    <w:pPr>
      <w:ind w:left="840" w:leftChars="400"/>
    </w:pPr>
    <w:rPr>
      <w:rFonts w:ascii="Calibri" w:hAnsi="Calibri" w:eastAsia="宋体" w:cs="Times New Roman"/>
      <w:szCs w:val="20"/>
    </w:rPr>
  </w:style>
  <w:style w:type="paragraph" w:styleId="11">
    <w:name w:val="Plain Text"/>
    <w:basedOn w:val="1"/>
    <w:next w:val="1"/>
    <w:qFormat/>
    <w:uiPriority w:val="0"/>
    <w:rPr>
      <w:rFonts w:ascii="宋体" w:hAnsi="Courier New" w:eastAsia="宋体" w:cs="Times New Roman"/>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adjustRightInd w:val="0"/>
      <w:jc w:val="left"/>
      <w:textAlignment w:val="baseline"/>
    </w:pPr>
    <w:rPr>
      <w:rFonts w:ascii="Calibri" w:hAnsi="Calibri" w:eastAsia="楷体_GB2312" w:cs="Times New Roman"/>
      <w:sz w:val="24"/>
      <w:szCs w:val="20"/>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7">
    <w:name w:val="annotation subject"/>
    <w:basedOn w:val="8"/>
    <w:next w:val="8"/>
    <w:link w:val="32"/>
    <w:semiHidden/>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正文缩进 Char"/>
    <w:link w:val="6"/>
    <w:qFormat/>
    <w:uiPriority w:val="0"/>
    <w:rPr>
      <w:rFonts w:ascii="Calibri" w:hAnsi="Calibri" w:eastAsia="楷体_GB2312" w:cs="Times New Roman"/>
      <w:kern w:val="0"/>
      <w:sz w:val="24"/>
      <w:szCs w:val="20"/>
    </w:rPr>
  </w:style>
  <w:style w:type="character" w:customStyle="1" w:styleId="26">
    <w:name w:val="标题 1 Char"/>
    <w:basedOn w:val="20"/>
    <w:link w:val="4"/>
    <w:qFormat/>
    <w:uiPriority w:val="0"/>
    <w:rPr>
      <w:rFonts w:ascii="Calibri" w:hAnsi="Calibri" w:eastAsia="楷体_GB2312" w:cs="Times New Roman"/>
      <w:b/>
      <w:kern w:val="44"/>
      <w:sz w:val="44"/>
      <w:szCs w:val="20"/>
    </w:rPr>
  </w:style>
  <w:style w:type="character" w:customStyle="1" w:styleId="27">
    <w:name w:val="标题 2 Char"/>
    <w:basedOn w:val="20"/>
    <w:link w:val="5"/>
    <w:qFormat/>
    <w:uiPriority w:val="9"/>
    <w:rPr>
      <w:rFonts w:asciiTheme="majorHAnsi" w:hAnsiTheme="majorHAnsi" w:eastAsiaTheme="majorEastAsia" w:cstheme="majorBidi"/>
      <w:b/>
      <w:bCs/>
      <w:sz w:val="32"/>
      <w:szCs w:val="32"/>
    </w:rPr>
  </w:style>
  <w:style w:type="character" w:customStyle="1" w:styleId="28">
    <w:name w:val="文档结构图 Char"/>
    <w:basedOn w:val="20"/>
    <w:link w:val="7"/>
    <w:semiHidden/>
    <w:qFormat/>
    <w:uiPriority w:val="99"/>
    <w:rPr>
      <w:rFonts w:ascii="宋体" w:eastAsia="宋体"/>
      <w:sz w:val="18"/>
      <w:szCs w:val="18"/>
    </w:rPr>
  </w:style>
  <w:style w:type="character" w:customStyle="1" w:styleId="29">
    <w:name w:val="NormalCharacter"/>
    <w:qFormat/>
    <w:uiPriority w:val="0"/>
    <w:rPr>
      <w:rFonts w:ascii="Times New Roman" w:hAnsi="Times New Roman" w:eastAsia="宋体" w:cs="Times New Roman"/>
    </w:rPr>
  </w:style>
  <w:style w:type="character" w:customStyle="1" w:styleId="30">
    <w:name w:val="批注框文本 Char"/>
    <w:basedOn w:val="20"/>
    <w:link w:val="12"/>
    <w:semiHidden/>
    <w:qFormat/>
    <w:uiPriority w:val="99"/>
    <w:rPr>
      <w:kern w:val="2"/>
      <w:sz w:val="18"/>
      <w:szCs w:val="18"/>
    </w:rPr>
  </w:style>
  <w:style w:type="character" w:customStyle="1" w:styleId="31">
    <w:name w:val="批注文字 Char"/>
    <w:basedOn w:val="20"/>
    <w:link w:val="8"/>
    <w:semiHidden/>
    <w:qFormat/>
    <w:uiPriority w:val="99"/>
    <w:rPr>
      <w:kern w:val="2"/>
      <w:sz w:val="21"/>
      <w:szCs w:val="22"/>
    </w:rPr>
  </w:style>
  <w:style w:type="character" w:customStyle="1" w:styleId="32">
    <w:name w:val="批注主题 Char"/>
    <w:basedOn w:val="31"/>
    <w:link w:val="17"/>
    <w:semiHidden/>
    <w:qFormat/>
    <w:uiPriority w:val="99"/>
    <w:rPr>
      <w:b/>
      <w:bCs/>
      <w:kern w:val="2"/>
      <w:sz w:val="21"/>
      <w:szCs w:val="22"/>
    </w:rPr>
  </w:style>
  <w:style w:type="character" w:customStyle="1" w:styleId="33">
    <w:name w:val="普通正文 Char"/>
    <w:link w:val="34"/>
    <w:qFormat/>
    <w:uiPriority w:val="0"/>
    <w:rPr>
      <w:rFonts w:ascii="Arial" w:hAnsi="Arial"/>
      <w:sz w:val="24"/>
      <w:szCs w:val="24"/>
    </w:rPr>
  </w:style>
  <w:style w:type="paragraph" w:customStyle="1" w:styleId="34">
    <w:name w:val="普通正文"/>
    <w:basedOn w:val="1"/>
    <w:link w:val="33"/>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31</Pages>
  <Words>15651</Words>
  <Characters>15948</Characters>
  <Lines>119</Lines>
  <Paragraphs>33</Paragraphs>
  <TotalTime>79</TotalTime>
  <ScaleCrop>false</ScaleCrop>
  <LinksUpToDate>false</LinksUpToDate>
  <CharactersWithSpaces>16066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2022-06-28T09:31:00Z</dcterms:created>
  <dc:creator>Administrator</dc:creator>
  <cp:lastModifiedBy>小白</cp:lastModifiedBy>
  <dcterms:modified xsi:type="dcterms:W3CDTF">2022-07-01T08:21:30Z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C12715B770C9490C98D7BDB5AACE502D</vt:lpwstr>
  </property>
</Properties>
</file>